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0F7123" w:rsidP="000511FB">
      <w:pPr>
        <w:tabs>
          <w:tab w:val="left" w:pos="8364"/>
        </w:tabs>
        <w:rPr>
          <w:rFonts w:ascii="Arial" w:hAnsi="Arial" w:cs="Arial"/>
          <w:sz w:val="28"/>
        </w:rPr>
      </w:pPr>
      <w:r w:rsidRPr="005361CF">
        <w:rPr>
          <w:rFonts w:ascii="Arial" w:hAnsi="Arial" w:cs="Arial"/>
          <w:sz w:val="28"/>
        </w:rPr>
        <w:t>3GPP TSG-RAN WG4 Meeting #</w:t>
      </w:r>
      <w:r w:rsidR="00C02DF4">
        <w:rPr>
          <w:rFonts w:ascii="Arial" w:hAnsi="Arial" w:cs="Arial"/>
          <w:sz w:val="28"/>
        </w:rPr>
        <w:t>79</w:t>
      </w:r>
      <w:r w:rsidRPr="00E00A26">
        <w:rPr>
          <w:rFonts w:ascii="Arial" w:hAnsi="Arial" w:cs="Arial"/>
          <w:sz w:val="28"/>
        </w:rPr>
        <w:tab/>
      </w:r>
      <w:r w:rsidR="0060325A">
        <w:rPr>
          <w:rFonts w:ascii="Arial" w:hAnsi="Arial" w:cs="Arial"/>
          <w:sz w:val="28"/>
        </w:rPr>
        <w:t>R4-</w:t>
      </w:r>
      <w:r w:rsidR="00C02DF4">
        <w:rPr>
          <w:rFonts w:ascii="Arial" w:hAnsi="Arial" w:cs="Arial"/>
          <w:sz w:val="28"/>
        </w:rPr>
        <w:t>16</w:t>
      </w:r>
      <w:r w:rsidR="000511FB">
        <w:rPr>
          <w:rFonts w:ascii="Arial" w:hAnsi="Arial" w:cs="Arial"/>
          <w:sz w:val="28"/>
        </w:rPr>
        <w:t>4179</w:t>
      </w:r>
    </w:p>
    <w:p w:rsidR="000F7123" w:rsidRPr="00E00A26" w:rsidRDefault="00C02DF4" w:rsidP="000F7123">
      <w:pPr>
        <w:tabs>
          <w:tab w:val="center" w:pos="4153"/>
          <w:tab w:val="right" w:pos="9781"/>
          <w:tab w:val="right" w:pos="13323"/>
        </w:tabs>
        <w:rPr>
          <w:rFonts w:ascii="Arial" w:hAnsi="Arial" w:cs="Arial"/>
          <w:sz w:val="28"/>
          <w:szCs w:val="28"/>
        </w:rPr>
      </w:pPr>
      <w:r>
        <w:rPr>
          <w:rFonts w:ascii="Arial" w:hAnsi="Arial" w:cs="Arial"/>
          <w:sz w:val="28"/>
          <w:szCs w:val="28"/>
        </w:rPr>
        <w:t>Nanjing, China</w:t>
      </w:r>
      <w:r w:rsidR="000F7123" w:rsidRPr="005361CF">
        <w:rPr>
          <w:rFonts w:ascii="Arial" w:hAnsi="Arial" w:cs="Arial"/>
          <w:sz w:val="28"/>
          <w:szCs w:val="28"/>
        </w:rPr>
        <w:t xml:space="preserve">, </w:t>
      </w:r>
      <w:r>
        <w:rPr>
          <w:rFonts w:ascii="Arial" w:hAnsi="Arial" w:cs="Arial"/>
          <w:sz w:val="28"/>
          <w:szCs w:val="28"/>
        </w:rPr>
        <w:t>2</w:t>
      </w:r>
      <w:r w:rsidR="000F7123">
        <w:rPr>
          <w:rFonts w:ascii="Arial" w:hAnsi="Arial" w:cs="Arial"/>
          <w:sz w:val="28"/>
          <w:szCs w:val="28"/>
        </w:rPr>
        <w:t>3</w:t>
      </w:r>
      <w:r w:rsidR="000F7123" w:rsidRPr="005361CF">
        <w:rPr>
          <w:rFonts w:ascii="Arial" w:hAnsi="Arial" w:cs="Arial"/>
          <w:sz w:val="28"/>
          <w:szCs w:val="28"/>
        </w:rPr>
        <w:t xml:space="preserve"> – </w:t>
      </w:r>
      <w:r>
        <w:rPr>
          <w:rFonts w:ascii="Arial" w:hAnsi="Arial" w:cs="Arial"/>
          <w:sz w:val="28"/>
          <w:szCs w:val="28"/>
        </w:rPr>
        <w:t>27</w:t>
      </w:r>
      <w:r w:rsidR="000F7123" w:rsidRPr="005361CF">
        <w:rPr>
          <w:rFonts w:ascii="Arial" w:hAnsi="Arial" w:cs="Arial"/>
          <w:sz w:val="28"/>
          <w:szCs w:val="28"/>
        </w:rPr>
        <w:t xml:space="preserve"> </w:t>
      </w:r>
      <w:r w:rsidR="000F7123">
        <w:rPr>
          <w:rFonts w:ascii="Arial" w:hAnsi="Arial" w:cs="Arial"/>
          <w:sz w:val="28"/>
          <w:szCs w:val="28"/>
        </w:rPr>
        <w:t>May</w:t>
      </w:r>
      <w:r w:rsidR="000F7123" w:rsidRPr="005361CF">
        <w:rPr>
          <w:rFonts w:ascii="Arial" w:hAnsi="Arial" w:cs="Arial"/>
          <w:sz w:val="28"/>
          <w:szCs w:val="28"/>
        </w:rPr>
        <w:t xml:space="preserve"> 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C02DF4">
        <w:rPr>
          <w:rFonts w:ascii="Arial" w:hAnsi="Arial"/>
          <w:b/>
        </w:rPr>
        <w:t>6</w:t>
      </w:r>
      <w:r>
        <w:rPr>
          <w:rFonts w:ascii="Arial" w:hAnsi="Arial"/>
          <w:b/>
        </w:rPr>
        <w:t>.</w:t>
      </w:r>
      <w:r w:rsidR="00C02DF4">
        <w:rPr>
          <w:rFonts w:ascii="Arial" w:hAnsi="Arial"/>
          <w:b/>
        </w:rPr>
        <w:t>13</w:t>
      </w:r>
      <w:r>
        <w:rPr>
          <w:rFonts w:ascii="Arial" w:hAnsi="Arial"/>
          <w:b/>
        </w:rPr>
        <w:t>.</w:t>
      </w:r>
      <w:r w:rsidR="00C02DF4">
        <w:rPr>
          <w:rFonts w:ascii="Arial" w:hAnsi="Arial"/>
          <w:b/>
        </w:rPr>
        <w:t>3.5</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5F6C03">
        <w:rPr>
          <w:rFonts w:ascii="Arial" w:hAnsi="Arial" w:cs="Arial"/>
          <w:b/>
        </w:rPr>
        <w:t>Proposal</w:t>
      </w:r>
      <w:r w:rsidR="00180235">
        <w:rPr>
          <w:rFonts w:ascii="Arial" w:hAnsi="Arial" w:cs="Arial"/>
          <w:b/>
        </w:rPr>
        <w:t>s</w:t>
      </w:r>
      <w:r w:rsidR="0006701B" w:rsidRPr="0006701B">
        <w:rPr>
          <w:rFonts w:ascii="Arial" w:hAnsi="Arial" w:cs="Arial"/>
          <w:b/>
        </w:rPr>
        <w:t xml:space="preserve"> on </w:t>
      </w:r>
      <w:r w:rsidR="00E03AF8">
        <w:rPr>
          <w:rFonts w:ascii="Arial" w:hAnsi="Arial" w:cs="Arial"/>
          <w:b/>
        </w:rPr>
        <w:t xml:space="preserve">BS </w:t>
      </w:r>
      <w:r w:rsidR="00180235">
        <w:rPr>
          <w:rFonts w:ascii="Arial" w:hAnsi="Arial" w:cs="Arial"/>
          <w:b/>
        </w:rPr>
        <w:t xml:space="preserve">RX core requirements </w:t>
      </w:r>
      <w:r w:rsidR="0006701B" w:rsidRPr="0006701B">
        <w:rPr>
          <w:rFonts w:ascii="Arial" w:hAnsi="Arial" w:cs="Arial"/>
          <w:b/>
        </w:rPr>
        <w:t xml:space="preserve">for </w:t>
      </w:r>
      <w:r w:rsidR="00E03AF8">
        <w:rPr>
          <w:rFonts w:ascii="Arial" w:hAnsi="Arial" w:cs="Arial"/>
          <w:b/>
        </w:rPr>
        <w:t>NB-</w:t>
      </w:r>
      <w:proofErr w:type="spellStart"/>
      <w:r w:rsidR="00E03AF8">
        <w:rPr>
          <w:rFonts w:ascii="Arial" w:hAnsi="Arial" w:cs="Arial"/>
          <w:b/>
        </w:rPr>
        <w:t>IoT</w:t>
      </w:r>
      <w:proofErr w:type="spellEnd"/>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rsidR="00666FC2">
        <w:t>, including the BS emission mask</w:t>
      </w:r>
      <w:r>
        <w:t>.</w:t>
      </w:r>
    </w:p>
    <w:p w:rsidR="0006701B" w:rsidRPr="00E11E48" w:rsidRDefault="00745471" w:rsidP="0006701B">
      <w:pPr>
        <w:pStyle w:val="BodyText"/>
      </w:pPr>
      <w:r>
        <w:t xml:space="preserve">The </w:t>
      </w:r>
      <w:r w:rsidR="005F6C03">
        <w:t xml:space="preserve">updated </w:t>
      </w:r>
      <w:r>
        <w:t xml:space="preserve">way forward </w:t>
      </w:r>
      <w:r w:rsidR="00B9404C">
        <w:t xml:space="preserve">documents </w:t>
      </w:r>
      <w:r w:rsidRPr="00745471">
        <w:t xml:space="preserve">on </w:t>
      </w:r>
      <w:r w:rsidR="003A2165" w:rsidRPr="003A2165">
        <w:t xml:space="preserve">BS </w:t>
      </w:r>
      <w:r w:rsidR="00D0698D">
        <w:t>receiver (</w:t>
      </w:r>
      <w:r w:rsidR="003A2165" w:rsidRPr="003A2165">
        <w:t>RX</w:t>
      </w:r>
      <w:r w:rsidR="00D0698D">
        <w:t>)</w:t>
      </w:r>
      <w:r w:rsidR="003A2165" w:rsidRPr="003A2165">
        <w:t xml:space="preserve"> requirements </w:t>
      </w:r>
      <w:r>
        <w:t>w</w:t>
      </w:r>
      <w:r w:rsidR="00B9404C">
        <w:t>ere</w:t>
      </w:r>
      <w:r>
        <w:t xml:space="preserve"> approved at </w:t>
      </w:r>
      <w:r w:rsidR="005F6C03">
        <w:t>RAN4#78Bis [2</w:t>
      </w:r>
      <w:r w:rsidR="00B9404C">
        <w:t>, 3</w:t>
      </w:r>
      <w:r w:rsidR="005F6C03">
        <w:t>]</w:t>
      </w:r>
      <w:r>
        <w:t xml:space="preserve">, where </w:t>
      </w:r>
      <w:r w:rsidR="00A24CCE">
        <w:t>several topics are for FFS</w:t>
      </w:r>
      <w:r>
        <w:t xml:space="preserve">. </w:t>
      </w:r>
      <w:r w:rsidR="00C02DF4">
        <w:t xml:space="preserve">These topics were further discussed in RAN#78AH, but no conclusion was made except the </w:t>
      </w:r>
      <w:r w:rsidR="00C02DF4" w:rsidRPr="00D0698D">
        <w:t xml:space="preserve">FRC </w:t>
      </w:r>
      <w:r w:rsidR="00C02DF4">
        <w:t xml:space="preserve">parameters for the </w:t>
      </w:r>
      <w:r w:rsidR="00C02DF4">
        <w:rPr>
          <w:lang w:val="en-US"/>
        </w:rPr>
        <w:t>reference sensitivity level</w:t>
      </w:r>
      <w:r w:rsidR="00C02DF4" w:rsidRPr="00C02DF4">
        <w:t xml:space="preserve"> </w:t>
      </w:r>
      <w:r w:rsidR="00C02DF4">
        <w:t xml:space="preserve">and dynamic range requirements. </w:t>
      </w:r>
      <w:r w:rsidR="0006701B">
        <w:t xml:space="preserve">In this paper, </w:t>
      </w:r>
      <w:r w:rsidR="00666FC2">
        <w:t>we</w:t>
      </w:r>
      <w:r w:rsidR="00666FC2" w:rsidRPr="00992922">
        <w:t xml:space="preserve"> provide </w:t>
      </w:r>
      <w:r w:rsidR="005F6C03">
        <w:t>our proposal</w:t>
      </w:r>
      <w:r w:rsidR="00A24CCE">
        <w:t>s</w:t>
      </w:r>
      <w:r w:rsidR="00666FC2">
        <w:t xml:space="preserve"> </w:t>
      </w:r>
      <w:r w:rsidR="00BE7A23">
        <w:t xml:space="preserve">for the way forward </w:t>
      </w:r>
      <w:r w:rsidR="00A24CCE">
        <w:t>on the</w:t>
      </w:r>
      <w:r w:rsidR="00C02DF4">
        <w:t xml:space="preserve"> remaining</w:t>
      </w:r>
      <w:r w:rsidR="00A24CCE">
        <w:t xml:space="preserve"> topics, in order </w:t>
      </w:r>
      <w:r w:rsidR="00BE7A23">
        <w:t>to complete the Rel-13 WI as targeted</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AC22F9" w:rsidRPr="00D3089E" w:rsidRDefault="00AC22F9" w:rsidP="00AC22F9">
      <w:pPr>
        <w:pStyle w:val="Heading1"/>
        <w:ind w:left="0" w:firstLine="0"/>
      </w:pPr>
      <w:bookmarkStart w:id="5" w:name="_Toc306263746"/>
      <w:r w:rsidRPr="00D3089E">
        <w:t>2.</w:t>
      </w:r>
      <w:r>
        <w:t>1</w:t>
      </w:r>
      <w:r w:rsidRPr="00D3089E">
        <w:tab/>
      </w:r>
      <w:r>
        <w:rPr>
          <w:lang w:val="en-US"/>
        </w:rPr>
        <w:t>Reference sensitivity level</w:t>
      </w:r>
    </w:p>
    <w:p w:rsidR="00CC68A9" w:rsidRDefault="00261500" w:rsidP="00AC22F9">
      <w:pPr>
        <w:pStyle w:val="BodyText"/>
        <w:rPr>
          <w:lang w:val="sv-SE"/>
        </w:rPr>
      </w:pPr>
      <w:r>
        <w:rPr>
          <w:lang w:val="sv-SE"/>
        </w:rPr>
        <w:t>H</w:t>
      </w:r>
      <w:r w:rsidR="00AC22F9" w:rsidRPr="00AC22F9">
        <w:rPr>
          <w:lang w:val="sv-SE"/>
        </w:rPr>
        <w:t xml:space="preserve">ow to address </w:t>
      </w:r>
      <w:r w:rsidR="00AC22F9">
        <w:rPr>
          <w:lang w:val="sv-SE"/>
        </w:rPr>
        <w:t xml:space="preserve">the band edge issue </w:t>
      </w:r>
      <w:r w:rsidR="00CD2A75">
        <w:t>for guard-band or stand-alone operation</w:t>
      </w:r>
      <w:r w:rsidR="00CD2A75">
        <w:rPr>
          <w:lang w:val="sv-SE"/>
        </w:rPr>
        <w:t xml:space="preserve"> </w:t>
      </w:r>
      <w:r w:rsidR="00AC22F9">
        <w:rPr>
          <w:lang w:val="sv-SE"/>
        </w:rPr>
        <w:t>is FFS in [3]</w:t>
      </w:r>
      <w:r>
        <w:rPr>
          <w:lang w:val="sv-SE"/>
        </w:rPr>
        <w:t>, and further discussed in [4]</w:t>
      </w:r>
      <w:r w:rsidR="00CC68A9">
        <w:rPr>
          <w:lang w:val="sv-SE"/>
        </w:rPr>
        <w:t xml:space="preserve"> where it is proposed:</w:t>
      </w:r>
    </w:p>
    <w:p w:rsidR="00CC68A9" w:rsidRDefault="00CC68A9" w:rsidP="00CC68A9">
      <w:pPr>
        <w:pStyle w:val="BodyText"/>
        <w:ind w:left="720"/>
        <w:rPr>
          <w:lang w:val="sv-SE"/>
        </w:rPr>
      </w:pPr>
      <w:r>
        <w:t>Manufacturer should declare for which band interval it will support 3GPP NB-</w:t>
      </w:r>
      <w:proofErr w:type="spellStart"/>
      <w:r>
        <w:t>IoT</w:t>
      </w:r>
      <w:proofErr w:type="spellEnd"/>
      <w:r>
        <w:t xml:space="preserve"> requirements as specified in TS 36.104 and TS 37.104.</w:t>
      </w:r>
    </w:p>
    <w:p w:rsidR="00AC22F9" w:rsidRDefault="00CC68A9" w:rsidP="00AC22F9">
      <w:pPr>
        <w:pStyle w:val="BodyText"/>
      </w:pPr>
      <w:r>
        <w:t>W</w:t>
      </w:r>
      <w:r w:rsidR="00AC22F9">
        <w:t xml:space="preserve">e </w:t>
      </w:r>
      <w:r>
        <w:t xml:space="preserve">consider this proposal reasonable for certain operating bands </w:t>
      </w:r>
      <w:r w:rsidR="00CD2A75">
        <w:t>identified for NB-</w:t>
      </w:r>
      <w:proofErr w:type="spellStart"/>
      <w:r w:rsidR="00CD2A75">
        <w:t>IoT</w:t>
      </w:r>
      <w:proofErr w:type="spellEnd"/>
      <w:r w:rsidR="00CD2A75">
        <w:t xml:space="preserve"> operation</w:t>
      </w:r>
      <w:r>
        <w:t xml:space="preserve"> to facilitate the use of currently deployed radio hardware for NB-</w:t>
      </w:r>
      <w:proofErr w:type="spellStart"/>
      <w:r>
        <w:t>IoT</w:t>
      </w:r>
      <w:proofErr w:type="spellEnd"/>
      <w:r>
        <w:t xml:space="preserve"> deployment</w:t>
      </w:r>
      <w:r w:rsidR="00AC22F9">
        <w:t>.</w:t>
      </w:r>
      <w:r>
        <w:t xml:space="preserve"> On the other hand, we propose the manufacturer should also declare the REFSEN outside the band interval where it will support 3GPP NB-</w:t>
      </w:r>
      <w:proofErr w:type="spellStart"/>
      <w:r>
        <w:t>IoT</w:t>
      </w:r>
      <w:proofErr w:type="spellEnd"/>
      <w:r>
        <w:t xml:space="preserve"> requirements as specified in TS 36.104 and TS 37.104, so that the REFSEN at those frequency range(s) can also be tested.</w:t>
      </w:r>
    </w:p>
    <w:p w:rsidR="006B4E46" w:rsidRDefault="006B4E46" w:rsidP="00666FC2">
      <w:pPr>
        <w:pStyle w:val="BodyText"/>
      </w:pPr>
    </w:p>
    <w:p w:rsidR="006B4E46" w:rsidRPr="00D3089E" w:rsidRDefault="006B4E46" w:rsidP="006B4E46">
      <w:pPr>
        <w:pStyle w:val="Heading1"/>
        <w:ind w:left="0" w:firstLine="0"/>
      </w:pPr>
      <w:r w:rsidRPr="00D3089E">
        <w:t>2.</w:t>
      </w:r>
      <w:r w:rsidR="00CC68A9">
        <w:t>2</w:t>
      </w:r>
      <w:r w:rsidRPr="00D3089E">
        <w:tab/>
      </w:r>
      <w:r w:rsidR="008C2AA2" w:rsidRPr="008C2AA2">
        <w:rPr>
          <w:lang w:val="en-US"/>
        </w:rPr>
        <w:t>In-channel selectivity</w:t>
      </w:r>
    </w:p>
    <w:p w:rsidR="005F044C" w:rsidRDefault="008C2AA2" w:rsidP="00666FC2">
      <w:pPr>
        <w:pStyle w:val="BodyText"/>
      </w:pPr>
      <w:r>
        <w:t>The need for this requirement is</w:t>
      </w:r>
      <w:r w:rsidRPr="00D0698D">
        <w:t xml:space="preserve"> FFS</w:t>
      </w:r>
      <w:r>
        <w:t xml:space="preserve"> in [2]</w:t>
      </w:r>
      <w:r w:rsidR="00CC68A9">
        <w:t xml:space="preserve">, and it was generally agreed </w:t>
      </w:r>
      <w:r w:rsidR="00AB5750">
        <w:t xml:space="preserve">in RAN4#78AH </w:t>
      </w:r>
      <w:r w:rsidR="00CC68A9">
        <w:t>that this requirement is not needed for guard-band and stand-alone operation</w:t>
      </w:r>
      <w:r>
        <w:t>.</w:t>
      </w:r>
    </w:p>
    <w:p w:rsidR="005F044C" w:rsidRDefault="005F044C" w:rsidP="005F044C">
      <w:pPr>
        <w:pStyle w:val="BodyText"/>
        <w:rPr>
          <w:rFonts w:cs="v5.0.0"/>
        </w:rPr>
      </w:pPr>
      <w:r w:rsidRPr="005F044C">
        <w:rPr>
          <w:rFonts w:cs="v5.0.0"/>
        </w:rPr>
        <w:t xml:space="preserve">ICS was originally specified to test the image rejection of direct conversion receivers. Sub-carriers received in the upper half of the channel would get mirrored to the lower half of the channel and vice versa. But especially for narrow-band victims there are more mechanisms contributing to ICS (e.g. </w:t>
      </w:r>
      <w:proofErr w:type="spellStart"/>
      <w:r w:rsidRPr="005F044C">
        <w:rPr>
          <w:rFonts w:cs="v5.0.0"/>
        </w:rPr>
        <w:t>orthogonality</w:t>
      </w:r>
      <w:proofErr w:type="spellEnd"/>
      <w:r w:rsidRPr="005F044C">
        <w:rPr>
          <w:rFonts w:cs="v5.0.0"/>
        </w:rPr>
        <w:t xml:space="preserve"> between victim and aggressor sub-carriers and local oscillator phase noise), hence it is not straightforward to specify a good requirement with a realistic desensitisation level, because of the narrowband wanted signal and the frequency dependency of the inte</w:t>
      </w:r>
      <w:r>
        <w:rPr>
          <w:rFonts w:cs="v5.0.0"/>
        </w:rPr>
        <w:t xml:space="preserve">rference PSD. Also we will </w:t>
      </w:r>
      <w:r w:rsidR="004A1247">
        <w:rPr>
          <w:rFonts w:cs="v5.0.0"/>
        </w:rPr>
        <w:t xml:space="preserve">have </w:t>
      </w:r>
      <w:r>
        <w:rPr>
          <w:rFonts w:cs="v5.0.0"/>
        </w:rPr>
        <w:t xml:space="preserve">to determine </w:t>
      </w:r>
      <w:r w:rsidRPr="005F044C">
        <w:rPr>
          <w:rFonts w:cs="v5.0.0"/>
        </w:rPr>
        <w:t xml:space="preserve">the receiver impairments that would be caught with </w:t>
      </w:r>
      <w:r>
        <w:rPr>
          <w:rFonts w:cs="v5.0.0"/>
        </w:rPr>
        <w:t>any new</w:t>
      </w:r>
      <w:r w:rsidRPr="005F044C">
        <w:rPr>
          <w:rFonts w:cs="v5.0.0"/>
        </w:rPr>
        <w:t xml:space="preserve"> ICS requirement (on top of the existing E-UTRA ICS requirements) and a suitable test configuration to catch these impairments</w:t>
      </w:r>
      <w:r>
        <w:rPr>
          <w:rFonts w:cs="v5.0.0"/>
        </w:rPr>
        <w:t>. Only if</w:t>
      </w:r>
      <w:r w:rsidRPr="005F044C">
        <w:rPr>
          <w:rFonts w:cs="v5.0.0"/>
        </w:rPr>
        <w:t xml:space="preserve"> the exact test configuration is known, it would then be possible to simulate how much desensitisation would occur, making reasonable assumptions on the BS RX implementation. Without an accurately specified test configuration, any estimation of the desensitisation would not be accurate.</w:t>
      </w:r>
    </w:p>
    <w:p w:rsidR="008C2AA2" w:rsidRDefault="005F044C" w:rsidP="005F044C">
      <w:pPr>
        <w:pStyle w:val="BodyText"/>
        <w:rPr>
          <w:rFonts w:cs="v5.0.0"/>
        </w:rPr>
      </w:pPr>
      <w:r>
        <w:rPr>
          <w:rFonts w:cs="v5.0.0"/>
        </w:rPr>
        <w:t>In view of the ab</w:t>
      </w:r>
      <w:r w:rsidR="002C3812">
        <w:rPr>
          <w:rFonts w:cs="v5.0.0"/>
        </w:rPr>
        <w:t>sence of proposal on the requirement and test configuration</w:t>
      </w:r>
      <w:r>
        <w:rPr>
          <w:rFonts w:cs="v5.0.0"/>
        </w:rPr>
        <w:t xml:space="preserve">, we propose </w:t>
      </w:r>
      <w:r w:rsidR="002C3812">
        <w:rPr>
          <w:rFonts w:cs="v5.0.0"/>
        </w:rPr>
        <w:t xml:space="preserve">not to specify any new ICS requirement for in-band operation in Rel-13, in order to </w:t>
      </w:r>
      <w:r w:rsidR="002C3812">
        <w:t>complete the Rel-13 WI as targeted</w:t>
      </w:r>
      <w:r w:rsidR="008C2AA2">
        <w:rPr>
          <w:rFonts w:cs="v5.0.0"/>
        </w:rPr>
        <w:t>.</w:t>
      </w:r>
    </w:p>
    <w:p w:rsidR="008C2AA2" w:rsidRDefault="008C2AA2" w:rsidP="008C2AA2">
      <w:pPr>
        <w:pStyle w:val="BodyText"/>
      </w:pPr>
    </w:p>
    <w:p w:rsidR="008C2AA2" w:rsidRPr="00D3089E" w:rsidRDefault="008C2AA2" w:rsidP="008C2AA2">
      <w:pPr>
        <w:pStyle w:val="Heading1"/>
        <w:ind w:left="0" w:firstLine="0"/>
      </w:pPr>
      <w:r w:rsidRPr="00D3089E">
        <w:t>2.</w:t>
      </w:r>
      <w:r w:rsidR="00AB5750">
        <w:t>3</w:t>
      </w:r>
      <w:r w:rsidRPr="00D3089E">
        <w:tab/>
      </w:r>
      <w:r w:rsidRPr="008C2AA2">
        <w:rPr>
          <w:lang w:val="en-US"/>
        </w:rPr>
        <w:t>ACS/Blocking</w:t>
      </w:r>
    </w:p>
    <w:p w:rsidR="0029744A" w:rsidRDefault="0029744A" w:rsidP="00666FC2">
      <w:pPr>
        <w:pStyle w:val="BodyText"/>
      </w:pPr>
      <w:r>
        <w:t>For stand-alone operation, the wider bandwidth interfering signal in TS</w:t>
      </w:r>
      <w:r w:rsidR="001A1EA2">
        <w:t xml:space="preserve"> </w:t>
      </w:r>
      <w:r>
        <w:t>36.104</w:t>
      </w:r>
      <w:r w:rsidR="004020DA">
        <w:t xml:space="preserve"> </w:t>
      </w:r>
      <w:r w:rsidR="004020DA">
        <w:rPr>
          <w:rFonts w:eastAsia="Osaka" w:cs="v5.0.0"/>
        </w:rPr>
        <w:t>[</w:t>
      </w:r>
      <w:r w:rsidR="00DB5B14">
        <w:rPr>
          <w:rFonts w:eastAsia="Osaka" w:cs="v5.0.0"/>
        </w:rPr>
        <w:t>5</w:t>
      </w:r>
      <w:r w:rsidR="004020DA">
        <w:rPr>
          <w:rFonts w:eastAsia="Osaka" w:cs="v5.0.0"/>
        </w:rPr>
        <w:t>]</w:t>
      </w:r>
      <w:r>
        <w:t>, the receiver desensitization level, and the need for narrow-band blocking are</w:t>
      </w:r>
      <w:r w:rsidRPr="0029744A">
        <w:t xml:space="preserve"> FFS</w:t>
      </w:r>
      <w:r w:rsidR="00AB5750">
        <w:t xml:space="preserve">, and it was generally agreed in RAN4#78AH to use the more general 5MHz </w:t>
      </w:r>
      <w:r w:rsidR="00AB5750">
        <w:lastRenderedPageBreak/>
        <w:t>channel bandwidth as the wider bandwidth interfering signal and there is no need for narrow-band blocking as ACS is tested with a narrowband NB-</w:t>
      </w:r>
      <w:proofErr w:type="spellStart"/>
      <w:r w:rsidR="00AB5750">
        <w:t>IoT</w:t>
      </w:r>
      <w:proofErr w:type="spellEnd"/>
      <w:r w:rsidR="00AB5750">
        <w:t xml:space="preserve"> interfering signal</w:t>
      </w:r>
      <w:r>
        <w:t>.</w:t>
      </w:r>
      <w:r w:rsidR="00AB5750">
        <w:t xml:space="preserve"> </w:t>
      </w:r>
    </w:p>
    <w:p w:rsidR="002C3812" w:rsidRDefault="002C3812" w:rsidP="009C4E02">
      <w:pPr>
        <w:pStyle w:val="BodyText"/>
        <w:rPr>
          <w:rFonts w:eastAsia="Osaka" w:cs="v5.0.0"/>
        </w:rPr>
      </w:pPr>
      <w:r>
        <w:t xml:space="preserve">For the receiver desensitization level for all three operation modes, we still propose to allow higher desensitization level at least for the ACS requirement, following the current approach in TS 36.104 where narrower bandwidth option are allowed higher desensitization level (refer to Table </w:t>
      </w:r>
      <w:r w:rsidRPr="00850762">
        <w:rPr>
          <w:rFonts w:eastAsia="Osaka" w:cs="v5.0.0"/>
        </w:rPr>
        <w:t>7.5.1-3</w:t>
      </w:r>
      <w:r>
        <w:rPr>
          <w:rFonts w:eastAsia="Osaka" w:cs="v5.0.0"/>
        </w:rPr>
        <w:t xml:space="preserve"> of TS 36.104). Also the ACS is not flat in practice, and the wanted signal is closer to the interfering signal and hence</w:t>
      </w:r>
      <w:r w:rsidRPr="008F76FB">
        <w:rPr>
          <w:rFonts w:eastAsia="Osaka" w:cs="v5.0.0"/>
        </w:rPr>
        <w:t xml:space="preserve"> </w:t>
      </w:r>
      <w:r>
        <w:rPr>
          <w:rFonts w:eastAsia="Osaka" w:cs="v5.0.0"/>
        </w:rPr>
        <w:t xml:space="preserve">will </w:t>
      </w:r>
      <w:r w:rsidRPr="008F76FB">
        <w:rPr>
          <w:rFonts w:eastAsia="Osaka" w:cs="v5.0.0"/>
        </w:rPr>
        <w:t>see a higher average interfer</w:t>
      </w:r>
      <w:r>
        <w:rPr>
          <w:rFonts w:eastAsia="Osaka" w:cs="v5.0.0"/>
        </w:rPr>
        <w:t>ence</w:t>
      </w:r>
      <w:r w:rsidRPr="008F76FB">
        <w:rPr>
          <w:rFonts w:eastAsia="Osaka" w:cs="v5.0.0"/>
        </w:rPr>
        <w:t xml:space="preserve"> </w:t>
      </w:r>
      <w:r>
        <w:rPr>
          <w:rFonts w:eastAsia="Osaka" w:cs="v5.0.0"/>
        </w:rPr>
        <w:t>PSD</w:t>
      </w:r>
      <w:r w:rsidRPr="008F76FB">
        <w:rPr>
          <w:rFonts w:eastAsia="Osaka" w:cs="v5.0.0"/>
        </w:rPr>
        <w:t xml:space="preserve"> than the corresponding </w:t>
      </w:r>
      <w:r>
        <w:rPr>
          <w:rFonts w:eastAsia="Osaka" w:cs="v5.0.0"/>
        </w:rPr>
        <w:t xml:space="preserve">E-UTRA wanted signal. </w:t>
      </w:r>
      <w:r w:rsidR="004A08FE">
        <w:rPr>
          <w:rFonts w:eastAsia="Osaka" w:cs="v5.0.0"/>
        </w:rPr>
        <w:t>Moreover</w:t>
      </w:r>
      <w:r>
        <w:rPr>
          <w:rFonts w:eastAsia="Osaka" w:cs="v5.0.0"/>
        </w:rPr>
        <w:t xml:space="preserve">, a higher desensitization level </w:t>
      </w:r>
      <w:r w:rsidR="004A1247">
        <w:rPr>
          <w:rFonts w:eastAsia="Osaka" w:cs="v5.0.0"/>
        </w:rPr>
        <w:t>may</w:t>
      </w:r>
      <w:r>
        <w:rPr>
          <w:rFonts w:eastAsia="Osaka" w:cs="v5.0.0"/>
        </w:rPr>
        <w:t xml:space="preserve"> also be need</w:t>
      </w:r>
      <w:r w:rsidR="004A1247">
        <w:rPr>
          <w:rFonts w:eastAsia="Osaka" w:cs="v5.0.0"/>
        </w:rPr>
        <w:t>ed</w:t>
      </w:r>
      <w:r>
        <w:rPr>
          <w:rFonts w:eastAsia="Osaka" w:cs="v5.0.0"/>
        </w:rPr>
        <w:t xml:space="preserve"> for the in-band blocking requirement</w:t>
      </w:r>
      <w:r w:rsidR="004A08FE">
        <w:rPr>
          <w:rFonts w:eastAsia="Osaka" w:cs="v5.0.0"/>
        </w:rPr>
        <w:t>, considering</w:t>
      </w:r>
      <w:r w:rsidR="004A1247" w:rsidRPr="004A1247">
        <w:rPr>
          <w:rFonts w:eastAsia="Osaka" w:cs="v5.0.0"/>
        </w:rPr>
        <w:t xml:space="preserve"> </w:t>
      </w:r>
      <w:r w:rsidR="004A1247">
        <w:rPr>
          <w:rFonts w:eastAsia="Osaka" w:cs="v5.0.0"/>
        </w:rPr>
        <w:t xml:space="preserve">the </w:t>
      </w:r>
      <w:r w:rsidR="004A1247">
        <w:rPr>
          <w:rFonts w:eastAsia="Osaka" w:cs="v5.0.0"/>
        </w:rPr>
        <w:t xml:space="preserve">closer offset of </w:t>
      </w:r>
      <w:r w:rsidR="004A1247">
        <w:rPr>
          <w:rFonts w:eastAsia="Osaka" w:cs="v5.0.0"/>
        </w:rPr>
        <w:t>t</w:t>
      </w:r>
      <w:r w:rsidR="004A08FE">
        <w:rPr>
          <w:rFonts w:eastAsia="Osaka" w:cs="v5.0.0"/>
        </w:rPr>
        <w:t>he narrower bandwidth wanted signal to the interfering signal</w:t>
      </w:r>
      <w:r w:rsidR="004A1247" w:rsidRPr="004A1247">
        <w:rPr>
          <w:rFonts w:eastAsia="Osaka" w:cs="v5.0.0"/>
        </w:rPr>
        <w:t xml:space="preserve"> </w:t>
      </w:r>
      <w:r w:rsidR="004A1247">
        <w:rPr>
          <w:rFonts w:eastAsia="Osaka" w:cs="v5.0.0"/>
        </w:rPr>
        <w:t xml:space="preserve">compared to the average offset of the </w:t>
      </w:r>
      <w:r w:rsidR="004A1247">
        <w:rPr>
          <w:rFonts w:eastAsia="Osaka" w:cs="v5.0.0"/>
        </w:rPr>
        <w:t>E-UTRA</w:t>
      </w:r>
      <w:r w:rsidR="004A1247">
        <w:rPr>
          <w:rFonts w:eastAsia="Osaka" w:cs="v5.0.0"/>
        </w:rPr>
        <w:t xml:space="preserve"> </w:t>
      </w:r>
      <w:r w:rsidR="004A1247">
        <w:rPr>
          <w:rFonts w:eastAsia="Osaka" w:cs="v5.0.0"/>
        </w:rPr>
        <w:t>wanted signal</w:t>
      </w:r>
      <w:r w:rsidR="004A08FE">
        <w:rPr>
          <w:rFonts w:eastAsia="Osaka" w:cs="v5.0.0"/>
        </w:rPr>
        <w:t>.</w:t>
      </w:r>
      <w:r>
        <w:rPr>
          <w:rFonts w:eastAsia="Osaka" w:cs="v5.0.0"/>
        </w:rPr>
        <w:t xml:space="preserve"> </w:t>
      </w:r>
      <w:r w:rsidR="004A08FE">
        <w:rPr>
          <w:rFonts w:eastAsia="Osaka" w:cs="v5.0.0"/>
        </w:rPr>
        <w:t xml:space="preserve">On the other hand, </w:t>
      </w:r>
      <w:r w:rsidR="004A08FE" w:rsidRPr="004A08FE">
        <w:rPr>
          <w:rFonts w:eastAsia="Osaka" w:cs="v5.0.0"/>
        </w:rPr>
        <w:t xml:space="preserve">out-of-band blocking </w:t>
      </w:r>
      <w:r w:rsidR="004A08FE">
        <w:rPr>
          <w:rFonts w:eastAsia="Osaka" w:cs="v5.0.0"/>
        </w:rPr>
        <w:t xml:space="preserve">requirement would reuse the current </w:t>
      </w:r>
      <w:r w:rsidR="004A08FE" w:rsidRPr="004A08FE">
        <w:rPr>
          <w:rFonts w:eastAsia="Osaka" w:cs="v5.0.0"/>
        </w:rPr>
        <w:t>desensitisation</w:t>
      </w:r>
      <w:r w:rsidR="004A08FE">
        <w:rPr>
          <w:rFonts w:eastAsia="Osaka" w:cs="v5.0.0"/>
        </w:rPr>
        <w:t xml:space="preserve"> level, but </w:t>
      </w:r>
      <w:r w:rsidR="004A08FE" w:rsidRPr="004A08FE">
        <w:rPr>
          <w:rFonts w:eastAsia="Osaka" w:cs="v5.0.0"/>
        </w:rPr>
        <w:t xml:space="preserve">allowance </w:t>
      </w:r>
      <w:r w:rsidR="004A08FE">
        <w:rPr>
          <w:rFonts w:eastAsia="Osaka" w:cs="v5.0.0"/>
        </w:rPr>
        <w:t>should</w:t>
      </w:r>
      <w:r w:rsidR="004A08FE" w:rsidRPr="004A08FE">
        <w:rPr>
          <w:rFonts w:eastAsia="Osaka" w:cs="v5.0.0"/>
        </w:rPr>
        <w:t xml:space="preserve"> be made for spurious responses in the receiver due to the character of the test </w:t>
      </w:r>
      <w:r w:rsidR="004A08FE">
        <w:rPr>
          <w:rFonts w:eastAsia="Osaka" w:cs="v5.0.0"/>
        </w:rPr>
        <w:t>(</w:t>
      </w:r>
      <w:r w:rsidR="004A08FE" w:rsidRPr="004A08FE">
        <w:rPr>
          <w:rFonts w:eastAsia="Osaka" w:cs="v5.0.0"/>
        </w:rPr>
        <w:t xml:space="preserve">with </w:t>
      </w:r>
      <w:r w:rsidR="004A08FE">
        <w:rPr>
          <w:rFonts w:eastAsia="Osaka" w:cs="v5.0.0"/>
        </w:rPr>
        <w:t xml:space="preserve">a narrowband wanted signal and a </w:t>
      </w:r>
      <w:r w:rsidR="004A08FE" w:rsidRPr="004A08FE">
        <w:rPr>
          <w:rFonts w:eastAsia="Osaka" w:cs="v5.0.0"/>
        </w:rPr>
        <w:t>CW inter</w:t>
      </w:r>
      <w:r w:rsidR="004A08FE">
        <w:rPr>
          <w:rFonts w:eastAsia="Osaka" w:cs="v5.0.0"/>
        </w:rPr>
        <w:t>fering signal)</w:t>
      </w:r>
      <w:r w:rsidR="004A08FE" w:rsidRPr="004A08FE">
        <w:rPr>
          <w:rFonts w:eastAsia="Osaka" w:cs="v5.0.0"/>
        </w:rPr>
        <w:t>.</w:t>
      </w:r>
      <w:r w:rsidR="004A08FE">
        <w:rPr>
          <w:rFonts w:eastAsia="Osaka" w:cs="v5.0.0"/>
        </w:rPr>
        <w:t xml:space="preserve"> </w:t>
      </w:r>
    </w:p>
    <w:p w:rsidR="004A1247" w:rsidRDefault="009A04CD" w:rsidP="004A1247">
      <w:pPr>
        <w:pStyle w:val="BodyText"/>
      </w:pPr>
      <w:r>
        <w:t xml:space="preserve">The main discussion point on the receiver desensitization was </w:t>
      </w:r>
      <w:r w:rsidR="004A1247">
        <w:t xml:space="preserve">the effect of the narrower </w:t>
      </w:r>
      <w:r w:rsidR="004A1247">
        <w:t>wanted signal</w:t>
      </w:r>
      <w:r w:rsidR="004A1247">
        <w:t xml:space="preserve"> bandwidth compared to </w:t>
      </w:r>
      <w:r w:rsidR="004A1247">
        <w:t>E-UTRA</w:t>
      </w:r>
      <w:r w:rsidR="004A1247">
        <w:t>. At a close spacing to the interfer</w:t>
      </w:r>
      <w:r w:rsidR="004A1247">
        <w:t>ing signal</w:t>
      </w:r>
      <w:r w:rsidR="004A1247">
        <w:t>, the main mechanism determining the receiver selectivity is the phase noise of the local oscillators. This phase noise modulates onto the interfering signal and this way it raises the receiver noise floor.</w:t>
      </w:r>
    </w:p>
    <w:p w:rsidR="004A1247" w:rsidRDefault="004A1247" w:rsidP="004A1247">
      <w:pPr>
        <w:pStyle w:val="BodyText"/>
      </w:pPr>
      <w:r>
        <w:t xml:space="preserve">If the phase noise were flat, there would be no effect of the </w:t>
      </w:r>
      <w:r>
        <w:t>wanted signal</w:t>
      </w:r>
      <w:r>
        <w:t xml:space="preserve"> bandwidth on the desensitisation</w:t>
      </w:r>
      <w:r>
        <w:t xml:space="preserve"> level</w:t>
      </w:r>
      <w:r>
        <w:t xml:space="preserve">. Thermal noise (determining the reference sensitivity) and phase noise (determining the minimum wanted signal level in the presence of an </w:t>
      </w:r>
      <w:r>
        <w:t>interfering signal</w:t>
      </w:r>
      <w:r>
        <w:t xml:space="preserve">) would scale in the same way with the </w:t>
      </w:r>
      <w:r>
        <w:t>wanted signal</w:t>
      </w:r>
      <w:r>
        <w:t xml:space="preserve"> bandwidth. However, in the commonly used local oscillators in </w:t>
      </w:r>
      <w:r>
        <w:t>BS</w:t>
      </w:r>
      <w:r>
        <w:t xml:space="preserve"> receivers, the phase noise has a slope of −20 dB per decade in the relevant offset range. Since the narrowband </w:t>
      </w:r>
      <w:r>
        <w:t>wanted signal</w:t>
      </w:r>
      <w:r>
        <w:t xml:space="preserve"> will be significantly closer to the interfer</w:t>
      </w:r>
      <w:r>
        <w:t>ing signal</w:t>
      </w:r>
      <w:r>
        <w:t xml:space="preserve"> than the average </w:t>
      </w:r>
      <w:r>
        <w:t>wanted signal</w:t>
      </w:r>
      <w:r>
        <w:t xml:space="preserve"> </w:t>
      </w:r>
      <w:r>
        <w:t>sub</w:t>
      </w:r>
      <w:r>
        <w:t xml:space="preserve">carrier in the corresponding </w:t>
      </w:r>
      <w:r>
        <w:t>E-UTRA</w:t>
      </w:r>
      <w:r>
        <w:t xml:space="preserve"> scenario, it will see a significantly higher phase noise density.</w:t>
      </w:r>
    </w:p>
    <w:p w:rsidR="004A1247" w:rsidRDefault="004A1247" w:rsidP="004A1247">
      <w:pPr>
        <w:pStyle w:val="BodyText"/>
      </w:pPr>
      <w:r>
        <w:t xml:space="preserve">Under the assumption of a −20 dB per decade slope, the most stringent requirement to the phase noise is set by the narrowband blocking requirement in </w:t>
      </w:r>
      <w:r>
        <w:t>E-UTRA</w:t>
      </w:r>
      <w:r>
        <w:t xml:space="preserve">. In the ACS and in-band blocking scenarios of </w:t>
      </w:r>
      <w:r>
        <w:t>E-UTRA</w:t>
      </w:r>
      <w:r>
        <w:t xml:space="preserve">, an approximately 7 dB higher phase noise level can be tolerated. Therefore, the maximum phase noise level allowed to pass the </w:t>
      </w:r>
      <w:r>
        <w:t>E-UTRA</w:t>
      </w:r>
      <w:r>
        <w:t xml:space="preserve"> narrow</w:t>
      </w:r>
      <w:r>
        <w:t>b</w:t>
      </w:r>
      <w:r>
        <w:t>and blocking test combined with a −20 dB per decade slope is a good starting point to estimate the desensitisation of a NB-</w:t>
      </w:r>
      <w:proofErr w:type="spellStart"/>
      <w:r>
        <w:t>IoT</w:t>
      </w:r>
      <w:proofErr w:type="spellEnd"/>
      <w:r>
        <w:t xml:space="preserve"> signal in the ACS and blocking </w:t>
      </w:r>
      <w:r>
        <w:t>requirement</w:t>
      </w:r>
      <w:r>
        <w:t>s.</w:t>
      </w:r>
    </w:p>
    <w:p w:rsidR="009A04CD" w:rsidRDefault="004A1247" w:rsidP="004A1247">
      <w:pPr>
        <w:pStyle w:val="BodyText"/>
      </w:pPr>
      <w:r>
        <w:t>According to our own calculations, the above assumptions would lead to a 16 dB desensitisation of the NB-</w:t>
      </w:r>
      <w:proofErr w:type="spellStart"/>
      <w:r>
        <w:t>IoT</w:t>
      </w:r>
      <w:proofErr w:type="spellEnd"/>
      <w:r>
        <w:t xml:space="preserve"> victim in the stand-alone ACS scenario. In the guard</w:t>
      </w:r>
      <w:r w:rsidR="00F57160">
        <w:t>-</w:t>
      </w:r>
      <w:r>
        <w:t>band ACS scenario, the desensitisation would be approximately 8 dB. In the in-band blocking scenario, it would</w:t>
      </w:r>
      <w:r w:rsidR="00F57160">
        <w:t xml:space="preserve"> be possible to achieve a 6 dB d</w:t>
      </w:r>
      <w:r>
        <w:t xml:space="preserve">esensitisation. There is still an effect of the phase noise slope in the in-band blocking test, but the stringent requirement for </w:t>
      </w:r>
      <w:r w:rsidR="00461CA3">
        <w:t xml:space="preserve">E-UTRA </w:t>
      </w:r>
      <w:r>
        <w:t xml:space="preserve">narrow-band blocking will guarantee that the phase noise will have sufficient margin in the in-band blocking </w:t>
      </w:r>
      <w:r w:rsidR="00F57160">
        <w:t>requirement</w:t>
      </w:r>
      <w:r>
        <w:t>.</w:t>
      </w:r>
      <w:r w:rsidR="00DA6025">
        <w:t xml:space="preserve"> </w:t>
      </w:r>
      <w:r>
        <w:t>Since these calculations are not straightforward and the results depend highly on the assumed frequency offsets, we encourage other companies to provide their own s</w:t>
      </w:r>
      <w:r w:rsidR="00461CA3">
        <w:t>tudies</w:t>
      </w:r>
      <w:r w:rsidR="00F81F35">
        <w:t>.</w:t>
      </w:r>
    </w:p>
    <w:p w:rsidR="001A1EA2" w:rsidRDefault="001A1EA2" w:rsidP="009C4E02">
      <w:pPr>
        <w:pStyle w:val="BodyText"/>
      </w:pPr>
    </w:p>
    <w:p w:rsidR="009C311B" w:rsidRPr="00D3089E" w:rsidRDefault="009C311B" w:rsidP="009C311B">
      <w:pPr>
        <w:pStyle w:val="Heading1"/>
        <w:ind w:left="0" w:firstLine="0"/>
      </w:pPr>
      <w:r>
        <w:t>3</w:t>
      </w:r>
      <w:r w:rsidRPr="00D3089E">
        <w:t>.</w:t>
      </w:r>
      <w:r w:rsidRPr="00D3089E">
        <w:tab/>
      </w:r>
      <w:r>
        <w:t>Conclusion</w:t>
      </w:r>
    </w:p>
    <w:p w:rsidR="008B6B0C" w:rsidRDefault="00DB2565" w:rsidP="00CC40CE">
      <w:pPr>
        <w:pStyle w:val="BodyText"/>
      </w:pPr>
      <w:r w:rsidRPr="00DB2565">
        <w:t xml:space="preserve">In this </w:t>
      </w:r>
      <w:r w:rsidR="000D7BC3" w:rsidRPr="00992922">
        <w:t>contribution</w:t>
      </w:r>
      <w:r w:rsidR="000D7BC3">
        <w:t xml:space="preserve">, </w:t>
      </w:r>
      <w:bookmarkEnd w:id="5"/>
      <w:r w:rsidR="00A83AA4">
        <w:t>we</w:t>
      </w:r>
      <w:r w:rsidR="00A83AA4" w:rsidRPr="00992922">
        <w:t xml:space="preserve"> provide </w:t>
      </w:r>
      <w:r w:rsidR="00A83AA4">
        <w:t xml:space="preserve">our proposals for the way forward </w:t>
      </w:r>
      <w:r w:rsidR="00A83AA4" w:rsidRPr="00745471">
        <w:t xml:space="preserve">on </w:t>
      </w:r>
      <w:r w:rsidR="00A83AA4" w:rsidRPr="003A2165">
        <w:t>BS RX requirements</w:t>
      </w:r>
      <w:r w:rsidR="00A83AA4">
        <w:t xml:space="preserve"> for NB-</w:t>
      </w:r>
      <w:proofErr w:type="spellStart"/>
      <w:r w:rsidR="00A83AA4">
        <w:t>IoT</w:t>
      </w:r>
      <w:proofErr w:type="spellEnd"/>
      <w:r w:rsidR="00DD1A9F">
        <w:t>.</w:t>
      </w:r>
      <w:r w:rsidR="00A83AA4">
        <w:t xml:space="preserve"> Our proposals are summarized below.</w:t>
      </w:r>
    </w:p>
    <w:p w:rsidR="00C31FF4" w:rsidRDefault="00C31FF4" w:rsidP="00CC40CE">
      <w:pPr>
        <w:pStyle w:val="BodyText"/>
      </w:pPr>
      <w:r>
        <w:t>For Reference sensitivity level</w:t>
      </w:r>
    </w:p>
    <w:p w:rsidR="00C31FF4" w:rsidRDefault="00F81F35" w:rsidP="00C31FF4">
      <w:pPr>
        <w:pStyle w:val="BodyText"/>
        <w:numPr>
          <w:ilvl w:val="0"/>
          <w:numId w:val="45"/>
        </w:numPr>
      </w:pPr>
      <w:r>
        <w:t>The manufacturer should also declare the REFSEN outside the band interval where it will support 3GPP NB-</w:t>
      </w:r>
      <w:proofErr w:type="spellStart"/>
      <w:r>
        <w:t>IoT</w:t>
      </w:r>
      <w:proofErr w:type="spellEnd"/>
      <w:r>
        <w:t xml:space="preserve"> requirements as specified in TS 36.104 and TS 37.104, so that the REFSEN at those frequency range(s) can also be tested</w:t>
      </w:r>
      <w:r w:rsidR="00C31FF4">
        <w:t>.</w:t>
      </w:r>
    </w:p>
    <w:p w:rsidR="00A83AA4" w:rsidRDefault="00A83AA4" w:rsidP="00A83AA4">
      <w:pPr>
        <w:pStyle w:val="BodyText"/>
      </w:pPr>
      <w:r>
        <w:t xml:space="preserve">For </w:t>
      </w:r>
      <w:r w:rsidRPr="008C2AA2">
        <w:rPr>
          <w:lang w:val="en-US"/>
        </w:rPr>
        <w:t>In-channel selectivity</w:t>
      </w:r>
    </w:p>
    <w:p w:rsidR="00A83AA4" w:rsidRDefault="00350DF2" w:rsidP="00A83AA4">
      <w:pPr>
        <w:pStyle w:val="BodyText"/>
        <w:numPr>
          <w:ilvl w:val="0"/>
          <w:numId w:val="44"/>
        </w:numPr>
      </w:pPr>
      <w:r>
        <w:rPr>
          <w:rFonts w:cs="v5.0.0"/>
        </w:rPr>
        <w:t xml:space="preserve">Not to specify any new ICS requirement for in-band operation in Rel-13, in order to </w:t>
      </w:r>
      <w:r>
        <w:t>complete the Rel-13 WI as targeted</w:t>
      </w:r>
      <w:r w:rsidR="00A83AA4">
        <w:t>.</w:t>
      </w:r>
    </w:p>
    <w:p w:rsidR="00A83AA4" w:rsidRDefault="00A83AA4" w:rsidP="00A83AA4">
      <w:pPr>
        <w:pStyle w:val="BodyText"/>
      </w:pPr>
      <w:r>
        <w:t xml:space="preserve">For </w:t>
      </w:r>
      <w:r w:rsidRPr="008C2AA2">
        <w:rPr>
          <w:lang w:val="en-US"/>
        </w:rPr>
        <w:t>ACS/Blocking</w:t>
      </w:r>
    </w:p>
    <w:p w:rsidR="00A83AA4" w:rsidRDefault="00F81F35" w:rsidP="00A83AA4">
      <w:pPr>
        <w:pStyle w:val="BodyText"/>
        <w:numPr>
          <w:ilvl w:val="0"/>
          <w:numId w:val="44"/>
        </w:numPr>
      </w:pPr>
      <w:r>
        <w:t>T</w:t>
      </w:r>
      <w:r w:rsidR="00A83AA4">
        <w:t>o allow higher desensitization level at least for the ACS requirement;</w:t>
      </w:r>
    </w:p>
    <w:p w:rsidR="00350DF2" w:rsidRDefault="00350DF2" w:rsidP="00A83AA4">
      <w:pPr>
        <w:pStyle w:val="BodyText"/>
        <w:numPr>
          <w:ilvl w:val="0"/>
          <w:numId w:val="44"/>
        </w:numPr>
      </w:pPr>
      <w:r>
        <w:rPr>
          <w:rFonts w:eastAsia="Osaka" w:cs="v5.0.0"/>
        </w:rPr>
        <w:t>To allow certain spurious responses for the out-of-band blocking requirement.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Pr="00992922">
        <w:t>R4-1</w:t>
      </w:r>
      <w:r>
        <w:t>628</w:t>
      </w:r>
      <w:r w:rsidR="00180235">
        <w:t>20</w:t>
      </w:r>
      <w:r w:rsidRPr="00992922">
        <w:t xml:space="preserve">, </w:t>
      </w:r>
      <w:r w:rsidRPr="00992922">
        <w:tab/>
        <w:t>“</w:t>
      </w:r>
      <w:r w:rsidR="00180235" w:rsidRPr="00180235">
        <w:t>Way forward on BS RX requirements for NB-</w:t>
      </w:r>
      <w:proofErr w:type="spellStart"/>
      <w:r w:rsidR="00180235" w:rsidRPr="00180235">
        <w:t>IoT</w:t>
      </w:r>
      <w:proofErr w:type="spellEnd"/>
      <w:r w:rsidRPr="00992922">
        <w:t xml:space="preserve">”, </w:t>
      </w:r>
      <w:r w:rsidR="00180235" w:rsidRPr="00180235">
        <w:rPr>
          <w:lang w:val="en-US"/>
        </w:rPr>
        <w:t>Huawei, Ericsson, CMCC</w:t>
      </w:r>
      <w:r w:rsidRPr="00D3089E">
        <w:t>.</w:t>
      </w:r>
    </w:p>
    <w:p w:rsidR="00B9404C" w:rsidRDefault="00B9404C" w:rsidP="00B9404C">
      <w:pPr>
        <w:pStyle w:val="Header"/>
        <w:ind w:left="567" w:hanging="567"/>
      </w:pPr>
      <w:r w:rsidRPr="00D3089E">
        <w:lastRenderedPageBreak/>
        <w:t>[</w:t>
      </w:r>
      <w:r>
        <w:t>3</w:t>
      </w:r>
      <w:r w:rsidRPr="00D3089E">
        <w:t>]</w:t>
      </w:r>
      <w:r w:rsidRPr="00D3089E">
        <w:tab/>
      </w:r>
      <w:r w:rsidRPr="00992922">
        <w:t>R4-1</w:t>
      </w:r>
      <w:r>
        <w:t>62831</w:t>
      </w:r>
      <w:r w:rsidRPr="00992922">
        <w:t xml:space="preserve">, </w:t>
      </w:r>
      <w:r w:rsidRPr="00992922">
        <w:tab/>
        <w:t>“</w:t>
      </w:r>
      <w:r w:rsidRPr="00B9404C">
        <w:t>Way forward on BS REFSENS for NB-</w:t>
      </w:r>
      <w:proofErr w:type="spellStart"/>
      <w:r w:rsidRPr="00B9404C">
        <w:t>IoT</w:t>
      </w:r>
      <w:proofErr w:type="spellEnd"/>
      <w:r w:rsidRPr="00992922">
        <w:t xml:space="preserve">”, </w:t>
      </w:r>
      <w:r w:rsidRPr="00B9404C">
        <w:rPr>
          <w:lang w:val="en-US"/>
        </w:rPr>
        <w:t>Ericsson, Huawei, Docomo, Nokia</w:t>
      </w:r>
      <w:r w:rsidRPr="00D3089E">
        <w:t>.</w:t>
      </w:r>
    </w:p>
    <w:p w:rsidR="000511FB" w:rsidRDefault="00261500" w:rsidP="000511FB">
      <w:pPr>
        <w:pStyle w:val="Header"/>
        <w:ind w:left="567" w:hanging="567"/>
      </w:pPr>
      <w:r>
        <w:t>[4]</w:t>
      </w:r>
      <w:r>
        <w:tab/>
        <w:t>R4-</w:t>
      </w:r>
      <w:r w:rsidRPr="00261500">
        <w:t xml:space="preserve"> </w:t>
      </w:r>
      <w:r>
        <w:t>7</w:t>
      </w:r>
      <w:r w:rsidRPr="00261500">
        <w:t>8AH-0105</w:t>
      </w:r>
      <w:r>
        <w:t>, “</w:t>
      </w:r>
      <w:r w:rsidRPr="00261500">
        <w:t>BS RF requirements and band edge issue</w:t>
      </w:r>
      <w:r>
        <w:t>”, Ericsson.</w:t>
      </w:r>
    </w:p>
    <w:p w:rsidR="000511FB" w:rsidRDefault="006A7B9E" w:rsidP="000511FB">
      <w:pPr>
        <w:pStyle w:val="Header"/>
        <w:ind w:left="567" w:hanging="567"/>
      </w:pPr>
      <w:r>
        <w:t>[</w:t>
      </w:r>
      <w:r w:rsidR="00B9404C">
        <w:t>5</w:t>
      </w:r>
      <w:r>
        <w:t>]</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AB5750" w:rsidRDefault="00AB5750" w:rsidP="000511FB">
      <w:pPr>
        <w:pStyle w:val="BodyText"/>
        <w:ind w:left="567" w:hanging="567"/>
      </w:pPr>
      <w:r w:rsidRPr="00D3089E">
        <w:t>[</w:t>
      </w:r>
      <w:r w:rsidR="00F81F35">
        <w:t>6</w:t>
      </w:r>
      <w:r w:rsidRPr="00D3089E">
        <w:t>]</w:t>
      </w:r>
      <w:r w:rsidRPr="00D3089E">
        <w:tab/>
        <w:t>R</w:t>
      </w:r>
      <w:r>
        <w:t>4</w:t>
      </w:r>
      <w:r w:rsidRPr="00D3089E">
        <w:t>-</w:t>
      </w:r>
      <w:r>
        <w:t>082475</w:t>
      </w:r>
      <w:r w:rsidRPr="00D3089E">
        <w:t>, “</w:t>
      </w:r>
      <w:r>
        <w:t>TR 36.804 v1.3.0</w:t>
      </w:r>
      <w:r w:rsidRPr="00D3089E">
        <w:t xml:space="preserve">”, </w:t>
      </w:r>
      <w:r>
        <w:rPr>
          <w:lang w:val="en-US"/>
        </w:rPr>
        <w:t>Ericsson</w:t>
      </w:r>
    </w:p>
    <w:p w:rsidR="006A7B9E" w:rsidRPr="00A659EC" w:rsidRDefault="006A7B9E" w:rsidP="006A7B9E">
      <w:pPr>
        <w:pStyle w:val="BodyText"/>
        <w:ind w:left="567" w:hanging="567"/>
      </w:pPr>
    </w:p>
    <w:sectPr w:rsidR="006A7B9E"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CC9" w:rsidRDefault="00D42CC9">
      <w:r>
        <w:separator/>
      </w:r>
    </w:p>
  </w:endnote>
  <w:endnote w:type="continuationSeparator" w:id="0">
    <w:p w:rsidR="00D42CC9" w:rsidRDefault="00D42C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CC9" w:rsidRDefault="00D42CC9">
      <w:r>
        <w:separator/>
      </w:r>
    </w:p>
  </w:footnote>
  <w:footnote w:type="continuationSeparator" w:id="0">
    <w:p w:rsidR="00D42CC9" w:rsidRDefault="00D42C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7D7611F"/>
    <w:multiLevelType w:val="hybridMultilevel"/>
    <w:tmpl w:val="32600F7A"/>
    <w:lvl w:ilvl="0" w:tplc="575E3F7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nsid w:val="2D3B76AC"/>
    <w:multiLevelType w:val="singleLevel"/>
    <w:tmpl w:val="0409000F"/>
    <w:lvl w:ilvl="0">
      <w:start w:val="1"/>
      <w:numFmt w:val="decimal"/>
      <w:lvlText w:val="%1."/>
      <w:lvlJc w:val="left"/>
      <w:pPr>
        <w:tabs>
          <w:tab w:val="num" w:pos="360"/>
        </w:tabs>
        <w:ind w:left="360" w:hanging="360"/>
      </w:pPr>
    </w:lvl>
  </w:abstractNum>
  <w:abstractNum w:abstractNumId="19">
    <w:nsid w:val="2F6336B5"/>
    <w:multiLevelType w:val="singleLevel"/>
    <w:tmpl w:val="0C09000F"/>
    <w:lvl w:ilvl="0">
      <w:start w:val="1"/>
      <w:numFmt w:val="decimal"/>
      <w:lvlText w:val="%1."/>
      <w:lvlJc w:val="left"/>
      <w:pPr>
        <w:tabs>
          <w:tab w:val="num" w:pos="360"/>
        </w:tabs>
        <w:ind w:left="360" w:hanging="360"/>
      </w:pPr>
    </w:lvl>
  </w:abstractNum>
  <w:abstractNum w:abstractNumId="20">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5B7A9A"/>
    <w:multiLevelType w:val="singleLevel"/>
    <w:tmpl w:val="0C09000F"/>
    <w:lvl w:ilvl="0">
      <w:start w:val="1"/>
      <w:numFmt w:val="decimal"/>
      <w:lvlText w:val="%1."/>
      <w:lvlJc w:val="left"/>
      <w:pPr>
        <w:tabs>
          <w:tab w:val="num" w:pos="360"/>
        </w:tabs>
        <w:ind w:left="360" w:hanging="360"/>
      </w:pPr>
    </w:lvl>
  </w:abstractNum>
  <w:abstractNum w:abstractNumId="30">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2">
    <w:nsid w:val="780C3641"/>
    <w:multiLevelType w:val="hybridMultilevel"/>
    <w:tmpl w:val="763A3120"/>
    <w:lvl w:ilvl="0" w:tplc="61B6FE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9"/>
  </w:num>
  <w:num w:numId="3">
    <w:abstractNumId w:val="18"/>
  </w:num>
  <w:num w:numId="4">
    <w:abstractNumId w:val="25"/>
  </w:num>
  <w:num w:numId="5">
    <w:abstractNumId w:val="17"/>
  </w:num>
  <w:num w:numId="6">
    <w:abstractNumId w:val="23"/>
  </w:num>
  <w:num w:numId="7">
    <w:abstractNumId w:val="44"/>
  </w:num>
  <w:num w:numId="8">
    <w:abstractNumId w:val="6"/>
  </w:num>
  <w:num w:numId="9">
    <w:abstractNumId w:val="40"/>
  </w:num>
  <w:num w:numId="10">
    <w:abstractNumId w:val="28"/>
  </w:num>
  <w:num w:numId="11">
    <w:abstractNumId w:val="16"/>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9"/>
  </w:num>
  <w:num w:numId="15">
    <w:abstractNumId w:val="10"/>
  </w:num>
  <w:num w:numId="16">
    <w:abstractNumId w:val="34"/>
  </w:num>
  <w:num w:numId="17">
    <w:abstractNumId w:val="2"/>
  </w:num>
  <w:num w:numId="18">
    <w:abstractNumId w:val="1"/>
  </w:num>
  <w:num w:numId="19">
    <w:abstractNumId w:val="0"/>
  </w:num>
  <w:num w:numId="20">
    <w:abstractNumId w:val="36"/>
  </w:num>
  <w:num w:numId="21">
    <w:abstractNumId w:val="26"/>
  </w:num>
  <w:num w:numId="22">
    <w:abstractNumId w:val="41"/>
  </w:num>
  <w:num w:numId="23">
    <w:abstractNumId w:val="37"/>
  </w:num>
  <w:num w:numId="24">
    <w:abstractNumId w:val="20"/>
  </w:num>
  <w:num w:numId="25">
    <w:abstractNumId w:val="32"/>
  </w:num>
  <w:num w:numId="26">
    <w:abstractNumId w:val="35"/>
  </w:num>
  <w:num w:numId="27">
    <w:abstractNumId w:val="22"/>
  </w:num>
  <w:num w:numId="28">
    <w:abstractNumId w:val="4"/>
  </w:num>
  <w:num w:numId="29">
    <w:abstractNumId w:val="21"/>
  </w:num>
  <w:num w:numId="30">
    <w:abstractNumId w:val="27"/>
  </w:num>
  <w:num w:numId="31">
    <w:abstractNumId w:val="7"/>
  </w:num>
  <w:num w:numId="32">
    <w:abstractNumId w:val="14"/>
  </w:num>
  <w:num w:numId="33">
    <w:abstractNumId w:val="33"/>
  </w:num>
  <w:num w:numId="34">
    <w:abstractNumId w:val="15"/>
  </w:num>
  <w:num w:numId="35">
    <w:abstractNumId w:val="24"/>
  </w:num>
  <w:num w:numId="36">
    <w:abstractNumId w:val="13"/>
  </w:num>
  <w:num w:numId="37">
    <w:abstractNumId w:val="43"/>
  </w:num>
  <w:num w:numId="38">
    <w:abstractNumId w:val="30"/>
  </w:num>
  <w:num w:numId="39">
    <w:abstractNumId w:val="5"/>
  </w:num>
  <w:num w:numId="40">
    <w:abstractNumId w:val="9"/>
  </w:num>
  <w:num w:numId="41">
    <w:abstractNumId w:val="11"/>
  </w:num>
  <w:num w:numId="42">
    <w:abstractNumId w:val="38"/>
  </w:num>
  <w:num w:numId="43">
    <w:abstractNumId w:val="31"/>
  </w:num>
  <w:num w:numId="44">
    <w:abstractNumId w:val="42"/>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7CB"/>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11FB"/>
    <w:rsid w:val="0005542C"/>
    <w:rsid w:val="0005711B"/>
    <w:rsid w:val="000619A6"/>
    <w:rsid w:val="000629CA"/>
    <w:rsid w:val="00062B23"/>
    <w:rsid w:val="00062B90"/>
    <w:rsid w:val="00063B2C"/>
    <w:rsid w:val="00064926"/>
    <w:rsid w:val="00065391"/>
    <w:rsid w:val="00065BD6"/>
    <w:rsid w:val="00065DC0"/>
    <w:rsid w:val="0006701B"/>
    <w:rsid w:val="00067A4C"/>
    <w:rsid w:val="000704FD"/>
    <w:rsid w:val="00070FF0"/>
    <w:rsid w:val="0007230D"/>
    <w:rsid w:val="000738CD"/>
    <w:rsid w:val="00075398"/>
    <w:rsid w:val="00076FD9"/>
    <w:rsid w:val="000770FD"/>
    <w:rsid w:val="00083780"/>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37F"/>
    <w:rsid w:val="00175F95"/>
    <w:rsid w:val="00177B12"/>
    <w:rsid w:val="00177BD5"/>
    <w:rsid w:val="00180235"/>
    <w:rsid w:val="00181D11"/>
    <w:rsid w:val="00183218"/>
    <w:rsid w:val="00185196"/>
    <w:rsid w:val="001863F9"/>
    <w:rsid w:val="00187F4D"/>
    <w:rsid w:val="00190877"/>
    <w:rsid w:val="0019127A"/>
    <w:rsid w:val="001937EA"/>
    <w:rsid w:val="00194483"/>
    <w:rsid w:val="001A1EA2"/>
    <w:rsid w:val="001A2970"/>
    <w:rsid w:val="001A7190"/>
    <w:rsid w:val="001B2AF1"/>
    <w:rsid w:val="001B2F55"/>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4C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500"/>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9744A"/>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812"/>
    <w:rsid w:val="002C3AE1"/>
    <w:rsid w:val="002C70E2"/>
    <w:rsid w:val="002D02A1"/>
    <w:rsid w:val="002D3934"/>
    <w:rsid w:val="002D48F6"/>
    <w:rsid w:val="002D4D68"/>
    <w:rsid w:val="002D555F"/>
    <w:rsid w:val="002D5AFE"/>
    <w:rsid w:val="002D658B"/>
    <w:rsid w:val="002E1558"/>
    <w:rsid w:val="002E1B75"/>
    <w:rsid w:val="002E1D51"/>
    <w:rsid w:val="002E201F"/>
    <w:rsid w:val="002E2EBD"/>
    <w:rsid w:val="002E2FFF"/>
    <w:rsid w:val="002E356C"/>
    <w:rsid w:val="002E4BF7"/>
    <w:rsid w:val="002E5ACD"/>
    <w:rsid w:val="002E6F32"/>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300E"/>
    <w:rsid w:val="00333866"/>
    <w:rsid w:val="00335194"/>
    <w:rsid w:val="00337A82"/>
    <w:rsid w:val="00343BDD"/>
    <w:rsid w:val="00345DDB"/>
    <w:rsid w:val="00346121"/>
    <w:rsid w:val="003509A9"/>
    <w:rsid w:val="00350DF2"/>
    <w:rsid w:val="00351148"/>
    <w:rsid w:val="00351D82"/>
    <w:rsid w:val="003532A5"/>
    <w:rsid w:val="003539A8"/>
    <w:rsid w:val="003541A0"/>
    <w:rsid w:val="0035577F"/>
    <w:rsid w:val="0035648B"/>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2165"/>
    <w:rsid w:val="003A31D4"/>
    <w:rsid w:val="003A4123"/>
    <w:rsid w:val="003A521F"/>
    <w:rsid w:val="003B1CB9"/>
    <w:rsid w:val="003B3B9B"/>
    <w:rsid w:val="003B3C31"/>
    <w:rsid w:val="003B4011"/>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20DA"/>
    <w:rsid w:val="004037DB"/>
    <w:rsid w:val="00404CB9"/>
    <w:rsid w:val="00404DCF"/>
    <w:rsid w:val="00405B5E"/>
    <w:rsid w:val="00407343"/>
    <w:rsid w:val="0040748D"/>
    <w:rsid w:val="004118EC"/>
    <w:rsid w:val="004205AF"/>
    <w:rsid w:val="00420BA6"/>
    <w:rsid w:val="004217FB"/>
    <w:rsid w:val="00422759"/>
    <w:rsid w:val="0042690E"/>
    <w:rsid w:val="00432FDD"/>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61CA3"/>
    <w:rsid w:val="0047231D"/>
    <w:rsid w:val="004727A6"/>
    <w:rsid w:val="00475055"/>
    <w:rsid w:val="004752A7"/>
    <w:rsid w:val="00482A16"/>
    <w:rsid w:val="00483BF9"/>
    <w:rsid w:val="004865DE"/>
    <w:rsid w:val="00486A47"/>
    <w:rsid w:val="00487021"/>
    <w:rsid w:val="00494F0D"/>
    <w:rsid w:val="004A070A"/>
    <w:rsid w:val="004A08AD"/>
    <w:rsid w:val="004A08FE"/>
    <w:rsid w:val="004A1247"/>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5692"/>
    <w:rsid w:val="004D62CD"/>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6ADA"/>
    <w:rsid w:val="00507AD5"/>
    <w:rsid w:val="00507B86"/>
    <w:rsid w:val="00510A33"/>
    <w:rsid w:val="00510F21"/>
    <w:rsid w:val="00517950"/>
    <w:rsid w:val="00517B30"/>
    <w:rsid w:val="0052115D"/>
    <w:rsid w:val="00522863"/>
    <w:rsid w:val="005235E6"/>
    <w:rsid w:val="00523853"/>
    <w:rsid w:val="00525187"/>
    <w:rsid w:val="00526369"/>
    <w:rsid w:val="005269B9"/>
    <w:rsid w:val="00527B8B"/>
    <w:rsid w:val="00527E15"/>
    <w:rsid w:val="0053015F"/>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58ED"/>
    <w:rsid w:val="005D77B9"/>
    <w:rsid w:val="005D7BF0"/>
    <w:rsid w:val="005E0E2F"/>
    <w:rsid w:val="005E360E"/>
    <w:rsid w:val="005E553C"/>
    <w:rsid w:val="005E6801"/>
    <w:rsid w:val="005F044C"/>
    <w:rsid w:val="005F3B44"/>
    <w:rsid w:val="005F527E"/>
    <w:rsid w:val="005F6C03"/>
    <w:rsid w:val="0060229B"/>
    <w:rsid w:val="0060325A"/>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A7B9E"/>
    <w:rsid w:val="006B3FD4"/>
    <w:rsid w:val="006B4976"/>
    <w:rsid w:val="006B4A3F"/>
    <w:rsid w:val="006B4E46"/>
    <w:rsid w:val="006C066E"/>
    <w:rsid w:val="006C07F8"/>
    <w:rsid w:val="006C23E8"/>
    <w:rsid w:val="006C35FA"/>
    <w:rsid w:val="006C3A1F"/>
    <w:rsid w:val="006C50BC"/>
    <w:rsid w:val="006C7BB8"/>
    <w:rsid w:val="006D13AE"/>
    <w:rsid w:val="006D4FDF"/>
    <w:rsid w:val="006D5C2E"/>
    <w:rsid w:val="006D5CE5"/>
    <w:rsid w:val="006E1FDF"/>
    <w:rsid w:val="006E33E2"/>
    <w:rsid w:val="006E464F"/>
    <w:rsid w:val="006E7F6C"/>
    <w:rsid w:val="006F36C1"/>
    <w:rsid w:val="006F449D"/>
    <w:rsid w:val="006F6817"/>
    <w:rsid w:val="0070454D"/>
    <w:rsid w:val="00705100"/>
    <w:rsid w:val="007055E2"/>
    <w:rsid w:val="0070671C"/>
    <w:rsid w:val="007114C4"/>
    <w:rsid w:val="007165EC"/>
    <w:rsid w:val="007177D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7B5"/>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213E"/>
    <w:rsid w:val="0077542E"/>
    <w:rsid w:val="00775F1C"/>
    <w:rsid w:val="00780078"/>
    <w:rsid w:val="0078151A"/>
    <w:rsid w:val="007822D0"/>
    <w:rsid w:val="0078375E"/>
    <w:rsid w:val="00783A17"/>
    <w:rsid w:val="00783C29"/>
    <w:rsid w:val="00784726"/>
    <w:rsid w:val="00786F30"/>
    <w:rsid w:val="00787481"/>
    <w:rsid w:val="00791AE3"/>
    <w:rsid w:val="00792354"/>
    <w:rsid w:val="00793581"/>
    <w:rsid w:val="00793A8B"/>
    <w:rsid w:val="00797871"/>
    <w:rsid w:val="007A0F95"/>
    <w:rsid w:val="007A141D"/>
    <w:rsid w:val="007A29AF"/>
    <w:rsid w:val="007A3169"/>
    <w:rsid w:val="007A6087"/>
    <w:rsid w:val="007A7B0C"/>
    <w:rsid w:val="007B11B1"/>
    <w:rsid w:val="007B21F1"/>
    <w:rsid w:val="007B6FE8"/>
    <w:rsid w:val="007B7C90"/>
    <w:rsid w:val="007B7E7C"/>
    <w:rsid w:val="007C1324"/>
    <w:rsid w:val="007C1963"/>
    <w:rsid w:val="007C2185"/>
    <w:rsid w:val="007C6B84"/>
    <w:rsid w:val="007C6DC9"/>
    <w:rsid w:val="007D0264"/>
    <w:rsid w:val="007D11E9"/>
    <w:rsid w:val="007D1A15"/>
    <w:rsid w:val="007D2167"/>
    <w:rsid w:val="007D7AD1"/>
    <w:rsid w:val="007E0F79"/>
    <w:rsid w:val="007E1068"/>
    <w:rsid w:val="007E3FD9"/>
    <w:rsid w:val="007E5F89"/>
    <w:rsid w:val="007E73E2"/>
    <w:rsid w:val="007F00AA"/>
    <w:rsid w:val="007F0121"/>
    <w:rsid w:val="007F0663"/>
    <w:rsid w:val="007F199E"/>
    <w:rsid w:val="007F3597"/>
    <w:rsid w:val="007F4245"/>
    <w:rsid w:val="007F4952"/>
    <w:rsid w:val="007F635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2AA2"/>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346A"/>
    <w:rsid w:val="008F4DFE"/>
    <w:rsid w:val="008F53AE"/>
    <w:rsid w:val="008F5C85"/>
    <w:rsid w:val="008F76D8"/>
    <w:rsid w:val="008F76FB"/>
    <w:rsid w:val="00900C12"/>
    <w:rsid w:val="0090186B"/>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095B"/>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04CD"/>
    <w:rsid w:val="009A1165"/>
    <w:rsid w:val="009A1EE0"/>
    <w:rsid w:val="009A354A"/>
    <w:rsid w:val="009A3644"/>
    <w:rsid w:val="009A4CC9"/>
    <w:rsid w:val="009A5C9E"/>
    <w:rsid w:val="009A6384"/>
    <w:rsid w:val="009A6921"/>
    <w:rsid w:val="009A7B0F"/>
    <w:rsid w:val="009B072B"/>
    <w:rsid w:val="009B0A53"/>
    <w:rsid w:val="009B3C3E"/>
    <w:rsid w:val="009B3F95"/>
    <w:rsid w:val="009B4F19"/>
    <w:rsid w:val="009B503C"/>
    <w:rsid w:val="009B5472"/>
    <w:rsid w:val="009B6020"/>
    <w:rsid w:val="009B6FBD"/>
    <w:rsid w:val="009B719E"/>
    <w:rsid w:val="009B76BB"/>
    <w:rsid w:val="009C2072"/>
    <w:rsid w:val="009C311B"/>
    <w:rsid w:val="009C31E8"/>
    <w:rsid w:val="009C3335"/>
    <w:rsid w:val="009C3EEE"/>
    <w:rsid w:val="009C4E02"/>
    <w:rsid w:val="009C5CA3"/>
    <w:rsid w:val="009C6EBA"/>
    <w:rsid w:val="009D00DA"/>
    <w:rsid w:val="009D198C"/>
    <w:rsid w:val="009D2A20"/>
    <w:rsid w:val="009D336A"/>
    <w:rsid w:val="009D3CA7"/>
    <w:rsid w:val="009D41DB"/>
    <w:rsid w:val="009D4D05"/>
    <w:rsid w:val="009D52C0"/>
    <w:rsid w:val="009D5C15"/>
    <w:rsid w:val="009D77DB"/>
    <w:rsid w:val="009E3BE3"/>
    <w:rsid w:val="009E3D80"/>
    <w:rsid w:val="009E47DF"/>
    <w:rsid w:val="009E4EA6"/>
    <w:rsid w:val="009E5D38"/>
    <w:rsid w:val="009E60B8"/>
    <w:rsid w:val="009E73E2"/>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4DBB"/>
    <w:rsid w:val="00A15B37"/>
    <w:rsid w:val="00A1741C"/>
    <w:rsid w:val="00A21B2A"/>
    <w:rsid w:val="00A22190"/>
    <w:rsid w:val="00A227DC"/>
    <w:rsid w:val="00A22E2E"/>
    <w:rsid w:val="00A24A9A"/>
    <w:rsid w:val="00A24CCE"/>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57E8D"/>
    <w:rsid w:val="00A615C6"/>
    <w:rsid w:val="00A61FE2"/>
    <w:rsid w:val="00A624B2"/>
    <w:rsid w:val="00A63110"/>
    <w:rsid w:val="00A659EC"/>
    <w:rsid w:val="00A6788F"/>
    <w:rsid w:val="00A71A93"/>
    <w:rsid w:val="00A72019"/>
    <w:rsid w:val="00A72B6A"/>
    <w:rsid w:val="00A72C0F"/>
    <w:rsid w:val="00A73014"/>
    <w:rsid w:val="00A770E7"/>
    <w:rsid w:val="00A8037A"/>
    <w:rsid w:val="00A806C9"/>
    <w:rsid w:val="00A81B12"/>
    <w:rsid w:val="00A833A5"/>
    <w:rsid w:val="00A83AA4"/>
    <w:rsid w:val="00A84978"/>
    <w:rsid w:val="00A854CB"/>
    <w:rsid w:val="00A87BC4"/>
    <w:rsid w:val="00A9026C"/>
    <w:rsid w:val="00A92D01"/>
    <w:rsid w:val="00A93918"/>
    <w:rsid w:val="00A93FFF"/>
    <w:rsid w:val="00AA3D0E"/>
    <w:rsid w:val="00AA5DCC"/>
    <w:rsid w:val="00AA7558"/>
    <w:rsid w:val="00AA7ACC"/>
    <w:rsid w:val="00AB07E0"/>
    <w:rsid w:val="00AB2BFB"/>
    <w:rsid w:val="00AB5750"/>
    <w:rsid w:val="00AB67D7"/>
    <w:rsid w:val="00AB757D"/>
    <w:rsid w:val="00AB78B4"/>
    <w:rsid w:val="00AC00C5"/>
    <w:rsid w:val="00AC22F9"/>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4252"/>
    <w:rsid w:val="00B45230"/>
    <w:rsid w:val="00B46CA1"/>
    <w:rsid w:val="00B47F1F"/>
    <w:rsid w:val="00B505DC"/>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4C"/>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D2C"/>
    <w:rsid w:val="00BB4731"/>
    <w:rsid w:val="00BB6B38"/>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2DF4"/>
    <w:rsid w:val="00C041BE"/>
    <w:rsid w:val="00C04965"/>
    <w:rsid w:val="00C06272"/>
    <w:rsid w:val="00C06FAE"/>
    <w:rsid w:val="00C100C2"/>
    <w:rsid w:val="00C11EFB"/>
    <w:rsid w:val="00C12E01"/>
    <w:rsid w:val="00C13A2B"/>
    <w:rsid w:val="00C26825"/>
    <w:rsid w:val="00C31433"/>
    <w:rsid w:val="00C31FF4"/>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2AB0"/>
    <w:rsid w:val="00C72C09"/>
    <w:rsid w:val="00C730E7"/>
    <w:rsid w:val="00C7542F"/>
    <w:rsid w:val="00C75FCA"/>
    <w:rsid w:val="00C82AC5"/>
    <w:rsid w:val="00C83735"/>
    <w:rsid w:val="00C83A59"/>
    <w:rsid w:val="00C83B3F"/>
    <w:rsid w:val="00C83FC4"/>
    <w:rsid w:val="00C84FA9"/>
    <w:rsid w:val="00C87500"/>
    <w:rsid w:val="00C92937"/>
    <w:rsid w:val="00C96FF4"/>
    <w:rsid w:val="00CA05E3"/>
    <w:rsid w:val="00CA0FA0"/>
    <w:rsid w:val="00CA2279"/>
    <w:rsid w:val="00CA284A"/>
    <w:rsid w:val="00CA3D82"/>
    <w:rsid w:val="00CA50EC"/>
    <w:rsid w:val="00CA5BFC"/>
    <w:rsid w:val="00CA71D4"/>
    <w:rsid w:val="00CB11CF"/>
    <w:rsid w:val="00CB4459"/>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C68A9"/>
    <w:rsid w:val="00CD2A75"/>
    <w:rsid w:val="00CD3CFB"/>
    <w:rsid w:val="00CD4C0F"/>
    <w:rsid w:val="00CD55F3"/>
    <w:rsid w:val="00CD5DE0"/>
    <w:rsid w:val="00CD6020"/>
    <w:rsid w:val="00CD670F"/>
    <w:rsid w:val="00CD6A1B"/>
    <w:rsid w:val="00CD6B90"/>
    <w:rsid w:val="00CE2176"/>
    <w:rsid w:val="00CE46E6"/>
    <w:rsid w:val="00CE4749"/>
    <w:rsid w:val="00CE4F7E"/>
    <w:rsid w:val="00CE61A0"/>
    <w:rsid w:val="00CE7039"/>
    <w:rsid w:val="00CF2925"/>
    <w:rsid w:val="00CF2E13"/>
    <w:rsid w:val="00CF59D5"/>
    <w:rsid w:val="00CF7DF9"/>
    <w:rsid w:val="00D0029D"/>
    <w:rsid w:val="00D020EC"/>
    <w:rsid w:val="00D02527"/>
    <w:rsid w:val="00D040EF"/>
    <w:rsid w:val="00D04BC1"/>
    <w:rsid w:val="00D0698D"/>
    <w:rsid w:val="00D07CED"/>
    <w:rsid w:val="00D10392"/>
    <w:rsid w:val="00D108A8"/>
    <w:rsid w:val="00D10CE7"/>
    <w:rsid w:val="00D17FB2"/>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CC9"/>
    <w:rsid w:val="00D42D87"/>
    <w:rsid w:val="00D459BC"/>
    <w:rsid w:val="00D46070"/>
    <w:rsid w:val="00D47EF2"/>
    <w:rsid w:val="00D52621"/>
    <w:rsid w:val="00D541CD"/>
    <w:rsid w:val="00D56399"/>
    <w:rsid w:val="00D60114"/>
    <w:rsid w:val="00D61324"/>
    <w:rsid w:val="00D62825"/>
    <w:rsid w:val="00D62AF1"/>
    <w:rsid w:val="00D62D82"/>
    <w:rsid w:val="00D6375A"/>
    <w:rsid w:val="00D64482"/>
    <w:rsid w:val="00D64EEE"/>
    <w:rsid w:val="00D662AC"/>
    <w:rsid w:val="00D7040A"/>
    <w:rsid w:val="00D73AE1"/>
    <w:rsid w:val="00D73CDB"/>
    <w:rsid w:val="00D743E9"/>
    <w:rsid w:val="00D7766D"/>
    <w:rsid w:val="00D82300"/>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025"/>
    <w:rsid w:val="00DA6938"/>
    <w:rsid w:val="00DB2565"/>
    <w:rsid w:val="00DB2D5B"/>
    <w:rsid w:val="00DB4B8A"/>
    <w:rsid w:val="00DB5B14"/>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830"/>
    <w:rsid w:val="00E31016"/>
    <w:rsid w:val="00E3152B"/>
    <w:rsid w:val="00E32931"/>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6951"/>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0B50"/>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7BDF"/>
    <w:rsid w:val="00F420BA"/>
    <w:rsid w:val="00F43A46"/>
    <w:rsid w:val="00F44539"/>
    <w:rsid w:val="00F44F91"/>
    <w:rsid w:val="00F453D8"/>
    <w:rsid w:val="00F50B09"/>
    <w:rsid w:val="00F514FE"/>
    <w:rsid w:val="00F51D91"/>
    <w:rsid w:val="00F525D1"/>
    <w:rsid w:val="00F53D31"/>
    <w:rsid w:val="00F544BB"/>
    <w:rsid w:val="00F57160"/>
    <w:rsid w:val="00F61EA6"/>
    <w:rsid w:val="00F62492"/>
    <w:rsid w:val="00F63796"/>
    <w:rsid w:val="00F63BE7"/>
    <w:rsid w:val="00F63F16"/>
    <w:rsid w:val="00F657FE"/>
    <w:rsid w:val="00F65A86"/>
    <w:rsid w:val="00F6654A"/>
    <w:rsid w:val="00F66BBF"/>
    <w:rsid w:val="00F70053"/>
    <w:rsid w:val="00F717F5"/>
    <w:rsid w:val="00F74091"/>
    <w:rsid w:val="00F77317"/>
    <w:rsid w:val="00F81F35"/>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1311"/>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1047830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10290">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5C617-4634-4EEC-957A-8015C68E4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2016-05-11T16:34:00Z</dcterms:created>
  <dcterms:modified xsi:type="dcterms:W3CDTF">2016-05-13T14:55:00Z</dcterms:modified>
</cp:coreProperties>
</file>