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65D" w:rsidRPr="008525F2" w:rsidRDefault="006C765D" w:rsidP="006C765D">
      <w:pPr>
        <w:widowControl w:val="0"/>
        <w:tabs>
          <w:tab w:val="right" w:pos="9639"/>
        </w:tabs>
        <w:spacing w:after="0"/>
        <w:rPr>
          <w:b/>
          <w:sz w:val="24"/>
          <w:szCs w:val="24"/>
          <w:lang w:val="sv-SE"/>
        </w:rPr>
      </w:pPr>
      <w:r w:rsidRPr="008525F2">
        <w:rPr>
          <w:b/>
          <w:sz w:val="24"/>
          <w:szCs w:val="24"/>
          <w:lang w:val="sv-SE"/>
        </w:rPr>
        <w:t xml:space="preserve">3GPP TSG-RAN </w:t>
      </w:r>
      <w:r w:rsidR="00E752FA">
        <w:rPr>
          <w:b/>
          <w:sz w:val="24"/>
          <w:szCs w:val="24"/>
          <w:lang w:val="sv-SE"/>
        </w:rPr>
        <w:t>WG4 #79</w:t>
      </w:r>
      <w:r w:rsidRPr="008525F2">
        <w:rPr>
          <w:b/>
          <w:sz w:val="24"/>
          <w:szCs w:val="24"/>
          <w:lang w:val="sv-SE"/>
        </w:rPr>
        <w:tab/>
      </w:r>
      <w:r w:rsidR="007E5E85">
        <w:rPr>
          <w:rFonts w:ascii="Segoe UI" w:hAnsi="Segoe UI" w:cs="Segoe UI"/>
          <w:b/>
          <w:color w:val="333333"/>
          <w:sz w:val="22"/>
          <w:szCs w:val="22"/>
          <w:shd w:val="clear" w:color="auto" w:fill="FFFFFF"/>
        </w:rPr>
        <w:t>R4-163638</w:t>
      </w:r>
    </w:p>
    <w:p w:rsidR="006C765D" w:rsidRPr="0093339D" w:rsidRDefault="00E752FA" w:rsidP="006C765D">
      <w:pPr>
        <w:pStyle w:val="Header"/>
        <w:tabs>
          <w:tab w:val="right" w:pos="9781"/>
          <w:tab w:val="right" w:pos="13323"/>
        </w:tabs>
        <w:outlineLvl w:val="0"/>
        <w:rPr>
          <w:rFonts w:ascii="Times New Roman" w:eastAsia="SimSun" w:hAnsi="Times New Roman"/>
          <w:sz w:val="24"/>
          <w:szCs w:val="24"/>
          <w:lang w:eastAsia="zh-CN"/>
        </w:rPr>
      </w:pPr>
      <w:r>
        <w:rPr>
          <w:rFonts w:ascii="Times New Roman" w:eastAsia="SimSun" w:hAnsi="Times New Roman"/>
          <w:sz w:val="24"/>
          <w:szCs w:val="24"/>
          <w:lang w:eastAsia="zh-CN"/>
        </w:rPr>
        <w:t>Nanjing</w:t>
      </w:r>
      <w:r w:rsidR="006C765D" w:rsidRPr="0093339D">
        <w:rPr>
          <w:rFonts w:ascii="Times New Roman" w:eastAsia="SimSun" w:hAnsi="Times New Roman"/>
          <w:sz w:val="24"/>
          <w:szCs w:val="24"/>
          <w:lang w:val="pt-BR" w:eastAsia="zh-CN"/>
        </w:rPr>
        <w:t>,</w:t>
      </w:r>
      <w:r>
        <w:rPr>
          <w:rFonts w:ascii="Times New Roman" w:eastAsia="SimSun" w:hAnsi="Times New Roman"/>
          <w:sz w:val="24"/>
          <w:szCs w:val="24"/>
          <w:lang w:val="pt-BR" w:eastAsia="zh-CN"/>
        </w:rPr>
        <w:t xml:space="preserve"> </w:t>
      </w:r>
      <w:r w:rsidR="005563E4">
        <w:rPr>
          <w:rFonts w:ascii="Times New Roman" w:eastAsia="SimSun" w:hAnsi="Times New Roman"/>
          <w:sz w:val="24"/>
          <w:szCs w:val="24"/>
          <w:lang w:val="pt-BR" w:eastAsia="zh-CN"/>
        </w:rPr>
        <w:t>China</w:t>
      </w:r>
      <w:r w:rsidR="006C765D" w:rsidRPr="0093339D">
        <w:rPr>
          <w:rFonts w:ascii="Times New Roman" w:hAnsi="Times New Roman"/>
          <w:sz w:val="24"/>
          <w:szCs w:val="24"/>
          <w:lang w:val="pt-BR" w:eastAsia="ja-JP"/>
        </w:rPr>
        <w:t xml:space="preserve"> </w:t>
      </w:r>
      <w:r>
        <w:rPr>
          <w:rFonts w:ascii="Times New Roman" w:hAnsi="Times New Roman"/>
          <w:sz w:val="24"/>
          <w:szCs w:val="24"/>
          <w:lang w:eastAsia="ja-JP"/>
        </w:rPr>
        <w:t>23</w:t>
      </w:r>
      <w:r w:rsidR="006C765D" w:rsidRPr="0093339D">
        <w:rPr>
          <w:rFonts w:ascii="Times New Roman" w:hAnsi="Times New Roman"/>
          <w:sz w:val="24"/>
          <w:szCs w:val="24"/>
          <w:lang w:eastAsia="ja-JP"/>
        </w:rPr>
        <w:t xml:space="preserve"> </w:t>
      </w:r>
      <w:r>
        <w:rPr>
          <w:rFonts w:ascii="Times New Roman" w:eastAsia="SimSun" w:hAnsi="Times New Roman"/>
          <w:sz w:val="24"/>
          <w:szCs w:val="24"/>
          <w:lang w:eastAsia="zh-CN"/>
        </w:rPr>
        <w:t>– 27</w:t>
      </w:r>
      <w:r w:rsidR="006C765D" w:rsidRPr="0093339D">
        <w:rPr>
          <w:rFonts w:ascii="Times New Roman" w:hAnsi="Times New Roman"/>
          <w:sz w:val="24"/>
          <w:szCs w:val="24"/>
          <w:lang w:eastAsia="ja-JP"/>
        </w:rPr>
        <w:t xml:space="preserve"> </w:t>
      </w:r>
      <w:r>
        <w:rPr>
          <w:rFonts w:ascii="Times New Roman" w:eastAsia="SimSun" w:hAnsi="Times New Roman"/>
          <w:sz w:val="24"/>
          <w:szCs w:val="24"/>
          <w:lang w:eastAsia="zh-CN"/>
        </w:rPr>
        <w:t>May</w:t>
      </w:r>
      <w:r w:rsidR="006C765D" w:rsidRPr="0093339D">
        <w:rPr>
          <w:rFonts w:ascii="Times New Roman" w:hAnsi="Times New Roman"/>
          <w:sz w:val="24"/>
          <w:szCs w:val="24"/>
          <w:lang w:eastAsia="ja-JP"/>
        </w:rPr>
        <w:t>, 201</w:t>
      </w:r>
      <w:r w:rsidR="006C765D" w:rsidRPr="0093339D">
        <w:rPr>
          <w:rFonts w:ascii="Times New Roman" w:eastAsia="SimSun" w:hAnsi="Times New Roman"/>
          <w:sz w:val="24"/>
          <w:szCs w:val="24"/>
          <w:lang w:eastAsia="zh-CN"/>
        </w:rPr>
        <w:t>6</w:t>
      </w:r>
    </w:p>
    <w:p w:rsidR="006C765D" w:rsidRPr="008525F2" w:rsidRDefault="006C765D" w:rsidP="006C765D">
      <w:pPr>
        <w:pStyle w:val="Header"/>
        <w:rPr>
          <w:rFonts w:ascii="Times New Roman" w:hAnsi="Times New Roman"/>
          <w:noProof w:val="0"/>
          <w:lang w:val="en-GB"/>
        </w:rPr>
      </w:pPr>
    </w:p>
    <w:p w:rsidR="005E38FA" w:rsidRPr="00093A85" w:rsidRDefault="005E38FA" w:rsidP="0040252B">
      <w:pPr>
        <w:pStyle w:val="Footer"/>
        <w:spacing w:line="276" w:lineRule="auto"/>
        <w:rPr>
          <w:rFonts w:ascii="Times New Roman" w:hAnsi="Times New Roman"/>
          <w:noProof w:val="0"/>
        </w:rPr>
      </w:pPr>
    </w:p>
    <w:p w:rsidR="005E38FA" w:rsidRPr="00093A85" w:rsidRDefault="005E38FA" w:rsidP="0040252B">
      <w:pPr>
        <w:tabs>
          <w:tab w:val="left" w:pos="1985"/>
        </w:tabs>
        <w:spacing w:line="276" w:lineRule="auto"/>
        <w:rPr>
          <w:sz w:val="24"/>
          <w:lang w:val="en-US"/>
        </w:rPr>
      </w:pPr>
      <w:r w:rsidRPr="00093A85">
        <w:rPr>
          <w:b/>
          <w:sz w:val="24"/>
          <w:lang w:val="en-US"/>
        </w:rPr>
        <w:t>Agenda item:</w:t>
      </w:r>
      <w:r w:rsidRPr="00093A85">
        <w:rPr>
          <w:sz w:val="24"/>
          <w:lang w:val="en-US"/>
        </w:rPr>
        <w:tab/>
      </w:r>
      <w:r w:rsidR="008D484F">
        <w:rPr>
          <w:sz w:val="24"/>
          <w:lang w:val="en-US"/>
        </w:rPr>
        <w:t>7.12.3</w:t>
      </w:r>
    </w:p>
    <w:p w:rsidR="005E38FA" w:rsidRPr="00093A85" w:rsidRDefault="005E38FA" w:rsidP="0040252B">
      <w:pPr>
        <w:tabs>
          <w:tab w:val="left" w:pos="1985"/>
        </w:tabs>
        <w:spacing w:line="276" w:lineRule="auto"/>
        <w:rPr>
          <w:sz w:val="24"/>
          <w:lang w:val="en-US"/>
        </w:rPr>
      </w:pPr>
      <w:r w:rsidRPr="00093A85">
        <w:rPr>
          <w:b/>
          <w:sz w:val="24"/>
          <w:lang w:val="en-US"/>
        </w:rPr>
        <w:t xml:space="preserve">Source: </w:t>
      </w:r>
      <w:r w:rsidRPr="00093A85">
        <w:rPr>
          <w:b/>
          <w:sz w:val="24"/>
          <w:lang w:val="en-US"/>
        </w:rPr>
        <w:tab/>
      </w:r>
      <w:r w:rsidRPr="00093A85">
        <w:rPr>
          <w:sz w:val="24"/>
          <w:lang w:val="en-US"/>
        </w:rPr>
        <w:t>Qualcomm Incorporated</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Title:</w:t>
      </w:r>
      <w:r w:rsidRPr="00093A85">
        <w:rPr>
          <w:sz w:val="24"/>
          <w:lang w:val="en-US"/>
        </w:rPr>
        <w:t xml:space="preserve"> </w:t>
      </w:r>
      <w:r w:rsidRPr="00093A85">
        <w:rPr>
          <w:sz w:val="24"/>
          <w:lang w:val="en-US"/>
        </w:rPr>
        <w:tab/>
      </w:r>
      <w:proofErr w:type="spellStart"/>
      <w:r w:rsidR="007E5E85">
        <w:rPr>
          <w:sz w:val="24"/>
          <w:lang w:val="en-US"/>
        </w:rPr>
        <w:t>Demod</w:t>
      </w:r>
      <w:proofErr w:type="spellEnd"/>
      <w:r w:rsidR="007E5E85">
        <w:rPr>
          <w:sz w:val="24"/>
          <w:lang w:val="en-US"/>
        </w:rPr>
        <w:t xml:space="preserve"> performance in multi RRH HST SFN channel model</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Document for:</w:t>
      </w:r>
      <w:r w:rsidRPr="00093A85">
        <w:rPr>
          <w:sz w:val="24"/>
          <w:lang w:val="en-US"/>
        </w:rPr>
        <w:tab/>
        <w:t>Discussion</w:t>
      </w:r>
    </w:p>
    <w:p w:rsidR="005E38FA" w:rsidRPr="00D61FFF" w:rsidRDefault="005E38FA" w:rsidP="0040252B">
      <w:pPr>
        <w:pStyle w:val="Heading1"/>
        <w:spacing w:line="276" w:lineRule="auto"/>
        <w:rPr>
          <w:rFonts w:cs="Arial"/>
          <w:lang w:val="en-US"/>
        </w:rPr>
      </w:pPr>
      <w:r w:rsidRPr="00D61FFF">
        <w:rPr>
          <w:rFonts w:cs="Arial"/>
          <w:lang w:val="en-US"/>
        </w:rPr>
        <w:t>Introduction</w:t>
      </w:r>
    </w:p>
    <w:p w:rsidR="005E38FA" w:rsidRPr="00093A85" w:rsidRDefault="000A3691" w:rsidP="0040252B">
      <w:pPr>
        <w:spacing w:line="276" w:lineRule="auto"/>
        <w:rPr>
          <w:lang w:val="en-US"/>
        </w:rPr>
      </w:pPr>
      <w:r>
        <w:rPr>
          <w:lang w:val="en-US"/>
        </w:rPr>
        <w:t>One of the objectives of the Rel-14 WI “</w:t>
      </w:r>
      <w:r w:rsidRPr="000A3691">
        <w:rPr>
          <w:rFonts w:eastAsia="Batang"/>
          <w:i/>
          <w:lang w:eastAsia="zh-CN"/>
        </w:rPr>
        <w:t>Performance enhancements for high speed scenario</w:t>
      </w:r>
      <w:r>
        <w:rPr>
          <w:lang w:val="en-US"/>
        </w:rPr>
        <w:t xml:space="preserve">” [1] is to specify demodulation performance requirements, if needed, for high speed scenarios. </w:t>
      </w:r>
      <w:r w:rsidR="008E1C25">
        <w:rPr>
          <w:lang w:val="en-US"/>
        </w:rPr>
        <w:t>In</w:t>
      </w:r>
      <w:r w:rsidR="00716589">
        <w:rPr>
          <w:lang w:val="en-US"/>
        </w:rPr>
        <w:t xml:space="preserve"> </w:t>
      </w:r>
      <w:r w:rsidR="00115E70">
        <w:rPr>
          <w:lang w:val="en-US"/>
        </w:rPr>
        <w:t xml:space="preserve">the </w:t>
      </w:r>
      <w:r w:rsidR="00716589">
        <w:rPr>
          <w:lang w:val="en-US"/>
        </w:rPr>
        <w:t>RAN4 #78, [</w:t>
      </w:r>
      <w:r w:rsidR="00115E70">
        <w:rPr>
          <w:lang w:val="en-US"/>
        </w:rPr>
        <w:t>2</w:t>
      </w:r>
      <w:r w:rsidR="00716589">
        <w:rPr>
          <w:lang w:val="en-US"/>
        </w:rPr>
        <w:t xml:space="preserve">] introduced the notion of </w:t>
      </w:r>
      <w:r w:rsidR="005778B0">
        <w:rPr>
          <w:lang w:val="en-US"/>
        </w:rPr>
        <w:t>modeling more than 2 RRHs in a bi-directional SFN channel</w:t>
      </w:r>
      <w:r w:rsidR="00E2342C">
        <w:rPr>
          <w:lang w:val="en-US"/>
        </w:rPr>
        <w:t>.</w:t>
      </w:r>
      <w:r w:rsidR="00716589">
        <w:rPr>
          <w:lang w:val="en-US"/>
        </w:rPr>
        <w:t xml:space="preserve"> </w:t>
      </w:r>
      <w:r>
        <w:rPr>
          <w:lang w:val="en-US"/>
        </w:rPr>
        <w:t xml:space="preserve">Simultaneously, </w:t>
      </w:r>
      <w:r w:rsidR="00A51622">
        <w:rPr>
          <w:lang w:val="en-US"/>
        </w:rPr>
        <w:t>way forward for baseline SFN scenarios</w:t>
      </w:r>
      <w:r w:rsidR="00265081">
        <w:rPr>
          <w:lang w:val="en-US"/>
        </w:rPr>
        <w:t xml:space="preserve"> [3]</w:t>
      </w:r>
      <w:r w:rsidR="00A51622">
        <w:rPr>
          <w:lang w:val="en-US"/>
        </w:rPr>
        <w:t xml:space="preserve"> was agreed which included</w:t>
      </w:r>
      <w:r w:rsidR="005778B0">
        <w:rPr>
          <w:lang w:val="en-US"/>
        </w:rPr>
        <w:t xml:space="preserve"> a scenario with large </w:t>
      </w:r>
      <w:proofErr w:type="spellStart"/>
      <w:r w:rsidR="005778B0">
        <w:rPr>
          <w:lang w:val="en-US"/>
        </w:rPr>
        <w:t>Dmin</w:t>
      </w:r>
      <w:proofErr w:type="spellEnd"/>
      <w:r w:rsidR="005778B0">
        <w:rPr>
          <w:lang w:val="en-US"/>
        </w:rPr>
        <w:t xml:space="preserve">, where the impact of modeling more than two </w:t>
      </w:r>
      <w:r w:rsidR="00A51622">
        <w:rPr>
          <w:lang w:val="en-US"/>
        </w:rPr>
        <w:t>RRH</w:t>
      </w:r>
      <w:r w:rsidR="005778B0">
        <w:rPr>
          <w:lang w:val="en-US"/>
        </w:rPr>
        <w:t xml:space="preserve">s connected to the same BBU in a bidirectional </w:t>
      </w:r>
      <w:r w:rsidR="00A51622">
        <w:rPr>
          <w:lang w:val="en-US"/>
        </w:rPr>
        <w:t>SFN</w:t>
      </w:r>
      <w:r w:rsidR="005778B0">
        <w:rPr>
          <w:lang w:val="en-US"/>
        </w:rPr>
        <w:t xml:space="preserve"> deployment of HST networks is </w:t>
      </w:r>
      <w:r w:rsidR="00A51622">
        <w:rPr>
          <w:lang w:val="en-US"/>
        </w:rPr>
        <w:t>relevant. In</w:t>
      </w:r>
      <w:r w:rsidR="00716589">
        <w:rPr>
          <w:lang w:val="en-US"/>
        </w:rPr>
        <w:t xml:space="preserve"> RAN4 #78bis, several companies proposed </w:t>
      </w:r>
      <w:r w:rsidR="005778B0">
        <w:rPr>
          <w:lang w:val="en-US"/>
        </w:rPr>
        <w:t xml:space="preserve">channel models for </w:t>
      </w:r>
      <w:r w:rsidR="00716589">
        <w:rPr>
          <w:lang w:val="en-US"/>
        </w:rPr>
        <w:t>multi</w:t>
      </w:r>
      <w:r w:rsidR="005778B0">
        <w:rPr>
          <w:lang w:val="en-US"/>
        </w:rPr>
        <w:t>ple</w:t>
      </w:r>
      <w:r w:rsidR="00716589">
        <w:rPr>
          <w:lang w:val="en-US"/>
        </w:rPr>
        <w:t xml:space="preserve"> RRH</w:t>
      </w:r>
      <w:r w:rsidR="005778B0">
        <w:rPr>
          <w:lang w:val="en-US"/>
        </w:rPr>
        <w:t xml:space="preserve">s connected to a single BBU in a </w:t>
      </w:r>
      <w:r w:rsidR="005778B0">
        <w:rPr>
          <w:lang w:val="en-US"/>
        </w:rPr>
        <w:t xml:space="preserve">bi-directional </w:t>
      </w:r>
      <w:r w:rsidR="005778B0">
        <w:rPr>
          <w:lang w:val="en-US"/>
        </w:rPr>
        <w:t xml:space="preserve">SFN </w:t>
      </w:r>
      <w:r w:rsidR="005778B0">
        <w:rPr>
          <w:lang w:val="en-US"/>
        </w:rPr>
        <w:t>deployment</w:t>
      </w:r>
      <w:r w:rsidR="005778B0">
        <w:rPr>
          <w:lang w:val="en-US"/>
        </w:rPr>
        <w:t xml:space="preserve"> of HST networks (hence referred to as multi RRH HST SFN channel)</w:t>
      </w:r>
      <w:r w:rsidR="00716589">
        <w:rPr>
          <w:lang w:val="en-US"/>
        </w:rPr>
        <w:t>,</w:t>
      </w:r>
      <w:r w:rsidR="00265081">
        <w:rPr>
          <w:lang w:val="en-US"/>
        </w:rPr>
        <w:t xml:space="preserve"> all of</w:t>
      </w:r>
      <w:r w:rsidR="00716589">
        <w:rPr>
          <w:lang w:val="en-US"/>
        </w:rPr>
        <w:t xml:space="preserve"> which were captured in the way-fo</w:t>
      </w:r>
      <w:r w:rsidR="00265081">
        <w:rPr>
          <w:lang w:val="en-US"/>
        </w:rPr>
        <w:t>rward [4</w:t>
      </w:r>
      <w:r w:rsidR="00716589">
        <w:rPr>
          <w:lang w:val="en-US"/>
        </w:rPr>
        <w:t>]. In this paper, we present simulation results for multi RRH HST SFN channel model based on the simulation assumption agreed in the way forward [</w:t>
      </w:r>
      <w:r w:rsidR="007B5707">
        <w:rPr>
          <w:lang w:val="en-US"/>
        </w:rPr>
        <w:t>4</w:t>
      </w:r>
      <w:r w:rsidR="00716589">
        <w:rPr>
          <w:lang w:val="en-US"/>
        </w:rPr>
        <w:t xml:space="preserve">], and accordingly propose the MCS that should be chosen for testing UE’s </w:t>
      </w:r>
      <w:proofErr w:type="spellStart"/>
      <w:r w:rsidR="00716589">
        <w:rPr>
          <w:lang w:val="en-US"/>
        </w:rPr>
        <w:t>demod</w:t>
      </w:r>
      <w:proofErr w:type="spellEnd"/>
      <w:r w:rsidR="00716589">
        <w:rPr>
          <w:lang w:val="en-US"/>
        </w:rPr>
        <w:t xml:space="preserve"> performance in HST SFN channe</w:t>
      </w:r>
      <w:r w:rsidR="001E4223">
        <w:rPr>
          <w:lang w:val="en-US"/>
        </w:rPr>
        <w:t>l</w:t>
      </w:r>
      <w:r w:rsidR="00716589">
        <w:rPr>
          <w:lang w:val="en-US"/>
        </w:rPr>
        <w:t xml:space="preserve"> model.</w:t>
      </w:r>
    </w:p>
    <w:p w:rsidR="005E38FA" w:rsidRDefault="005E38FA" w:rsidP="0040252B">
      <w:pPr>
        <w:pStyle w:val="Heading1"/>
        <w:spacing w:line="276" w:lineRule="auto"/>
        <w:rPr>
          <w:rFonts w:cs="Arial"/>
          <w:lang w:val="en-US"/>
        </w:rPr>
      </w:pPr>
      <w:r w:rsidRPr="00D61FFF">
        <w:rPr>
          <w:rFonts w:cs="Arial"/>
          <w:lang w:val="en-US"/>
        </w:rPr>
        <w:t>Discussion</w:t>
      </w:r>
    </w:p>
    <w:p w:rsidR="00C81BEC" w:rsidRDefault="001C4E6A" w:rsidP="001C4E6A">
      <w:pPr>
        <w:spacing w:line="276" w:lineRule="auto"/>
        <w:rPr>
          <w:rFonts w:cs="Arial"/>
          <w:snapToGrid w:val="0"/>
          <w:szCs w:val="18"/>
        </w:rPr>
      </w:pPr>
      <w:r>
        <w:rPr>
          <w:rFonts w:cs="Arial"/>
          <w:snapToGrid w:val="0"/>
          <w:szCs w:val="18"/>
        </w:rPr>
        <w:t xml:space="preserve">In the agreed way forward [4], multiple additional </w:t>
      </w:r>
      <w:r w:rsidR="000D3298">
        <w:rPr>
          <w:rFonts w:cs="Arial"/>
          <w:snapToGrid w:val="0"/>
          <w:szCs w:val="18"/>
        </w:rPr>
        <w:t xml:space="preserve">SFN </w:t>
      </w:r>
      <w:r>
        <w:rPr>
          <w:rFonts w:cs="Arial"/>
          <w:snapToGrid w:val="0"/>
          <w:szCs w:val="18"/>
        </w:rPr>
        <w:t>channel models were captured</w:t>
      </w:r>
      <w:r w:rsidR="000D3298">
        <w:rPr>
          <w:rFonts w:cs="Arial"/>
          <w:snapToGrid w:val="0"/>
          <w:szCs w:val="18"/>
        </w:rPr>
        <w:t>, each of which had more than two taps in time/frequency domain</w:t>
      </w:r>
      <w:r>
        <w:rPr>
          <w:rFonts w:cs="Arial"/>
          <w:snapToGrid w:val="0"/>
          <w:szCs w:val="18"/>
        </w:rPr>
        <w:t xml:space="preserve">. </w:t>
      </w:r>
      <w:r w:rsidR="00043225">
        <w:rPr>
          <w:rFonts w:cs="Arial"/>
          <w:snapToGrid w:val="0"/>
          <w:szCs w:val="18"/>
        </w:rPr>
        <w:t xml:space="preserve">In this contribution, we present results from the </w:t>
      </w:r>
      <w:r>
        <w:rPr>
          <w:rFonts w:cs="Arial"/>
          <w:snapToGrid w:val="0"/>
          <w:szCs w:val="18"/>
        </w:rPr>
        <w:t xml:space="preserve">baseline option [5], which models 4 RRHs spaced Ds meters apart connected to a single BBU. </w:t>
      </w:r>
      <w:r w:rsidR="00C81BEC">
        <w:rPr>
          <w:rFonts w:cs="Arial"/>
          <w:snapToGrid w:val="0"/>
          <w:szCs w:val="18"/>
        </w:rPr>
        <w:t xml:space="preserve">Further, there were two options </w:t>
      </w:r>
      <w:r w:rsidR="00BA1F8F">
        <w:rPr>
          <w:rFonts w:cs="Arial"/>
          <w:snapToGrid w:val="0"/>
          <w:szCs w:val="18"/>
        </w:rPr>
        <w:t xml:space="preserve">for </w:t>
      </w:r>
      <w:r w:rsidR="00C81BEC">
        <w:rPr>
          <w:rFonts w:cs="Arial"/>
          <w:snapToGrid w:val="0"/>
          <w:szCs w:val="18"/>
        </w:rPr>
        <w:t>specifying the start and the end locations between which UE’</w:t>
      </w:r>
      <w:r w:rsidR="00BA1F8F">
        <w:rPr>
          <w:rFonts w:cs="Arial"/>
          <w:snapToGrid w:val="0"/>
          <w:szCs w:val="18"/>
        </w:rPr>
        <w:t>s demodulation performance can be</w:t>
      </w:r>
      <w:r w:rsidR="00C81BEC">
        <w:rPr>
          <w:rFonts w:cs="Arial"/>
          <w:snapToGrid w:val="0"/>
          <w:szCs w:val="18"/>
        </w:rPr>
        <w:t xml:space="preserve"> evaluated</w:t>
      </w:r>
      <w:r w:rsidR="00685280">
        <w:rPr>
          <w:rFonts w:cs="Arial"/>
          <w:snapToGrid w:val="0"/>
          <w:szCs w:val="18"/>
        </w:rPr>
        <w:t xml:space="preserve"> (show in Figure 1 as well)</w:t>
      </w:r>
    </w:p>
    <w:p w:rsidR="00C81BEC" w:rsidRDefault="00C81BEC" w:rsidP="00C81BEC">
      <w:pPr>
        <w:pStyle w:val="ListParagraph"/>
        <w:numPr>
          <w:ilvl w:val="0"/>
          <w:numId w:val="13"/>
        </w:numPr>
        <w:spacing w:line="276" w:lineRule="auto"/>
        <w:rPr>
          <w:rFonts w:cs="Arial"/>
          <w:snapToGrid w:val="0"/>
          <w:szCs w:val="18"/>
        </w:rPr>
      </w:pPr>
      <w:r>
        <w:rPr>
          <w:rFonts w:cs="Arial"/>
          <w:snapToGrid w:val="0"/>
          <w:szCs w:val="18"/>
        </w:rPr>
        <w:t xml:space="preserve">Option 1: </w:t>
      </w:r>
      <w:r w:rsidRPr="00C81BEC">
        <w:rPr>
          <w:rFonts w:cs="Arial"/>
          <w:snapToGrid w:val="0"/>
          <w:szCs w:val="18"/>
        </w:rPr>
        <w:t xml:space="preserve">  </w:t>
      </w:r>
      <w:r w:rsidR="00685280">
        <w:rPr>
          <w:rFonts w:cs="Arial"/>
          <w:snapToGrid w:val="0"/>
          <w:szCs w:val="18"/>
        </w:rPr>
        <w:t>UE start location: Middle of RRH1 and RRH2. UE end location: Middle of RRH3 and RRH4</w:t>
      </w:r>
    </w:p>
    <w:p w:rsidR="00685280" w:rsidRDefault="00685280" w:rsidP="00685280">
      <w:pPr>
        <w:pStyle w:val="ListParagraph"/>
        <w:numPr>
          <w:ilvl w:val="0"/>
          <w:numId w:val="13"/>
        </w:numPr>
        <w:spacing w:line="276" w:lineRule="auto"/>
        <w:rPr>
          <w:rFonts w:cs="Arial"/>
          <w:snapToGrid w:val="0"/>
          <w:szCs w:val="18"/>
        </w:rPr>
      </w:pPr>
      <w:r>
        <w:rPr>
          <w:rFonts w:cs="Arial"/>
          <w:snapToGrid w:val="0"/>
          <w:szCs w:val="18"/>
        </w:rPr>
        <w:t>Option 2</w:t>
      </w:r>
      <w:r>
        <w:rPr>
          <w:rFonts w:cs="Arial"/>
          <w:snapToGrid w:val="0"/>
          <w:szCs w:val="18"/>
        </w:rPr>
        <w:t xml:space="preserve">: </w:t>
      </w:r>
      <w:r w:rsidRPr="00C81BEC">
        <w:rPr>
          <w:rFonts w:cs="Arial"/>
          <w:snapToGrid w:val="0"/>
          <w:szCs w:val="18"/>
        </w:rPr>
        <w:t xml:space="preserve">  </w:t>
      </w:r>
      <w:r>
        <w:rPr>
          <w:rFonts w:cs="Arial"/>
          <w:snapToGrid w:val="0"/>
          <w:szCs w:val="18"/>
        </w:rPr>
        <w:t xml:space="preserve">UE start location: </w:t>
      </w:r>
      <w:r>
        <w:rPr>
          <w:rFonts w:cs="Arial"/>
          <w:snapToGrid w:val="0"/>
          <w:szCs w:val="18"/>
        </w:rPr>
        <w:t>Closest RRH2</w:t>
      </w:r>
      <w:r>
        <w:rPr>
          <w:rFonts w:cs="Arial"/>
          <w:snapToGrid w:val="0"/>
          <w:szCs w:val="18"/>
        </w:rPr>
        <w:t xml:space="preserve">. UE end location: </w:t>
      </w:r>
      <w:r>
        <w:rPr>
          <w:rFonts w:cs="Arial"/>
          <w:snapToGrid w:val="0"/>
          <w:szCs w:val="18"/>
        </w:rPr>
        <w:t>Closest to RRH3</w:t>
      </w:r>
    </w:p>
    <w:p w:rsidR="00685280" w:rsidRDefault="00685280" w:rsidP="00685280">
      <w:pPr>
        <w:pStyle w:val="ListParagraph"/>
        <w:spacing w:line="276" w:lineRule="auto"/>
        <w:ind w:left="817"/>
        <w:rPr>
          <w:rFonts w:cs="Arial"/>
          <w:snapToGrid w:val="0"/>
          <w:szCs w:val="18"/>
        </w:rPr>
      </w:pPr>
    </w:p>
    <w:p w:rsidR="00C81BEC" w:rsidRDefault="00685280" w:rsidP="00C81BEC">
      <w:pPr>
        <w:spacing w:line="276" w:lineRule="auto"/>
        <w:rPr>
          <w:rFonts w:cs="Arial"/>
          <w:snapToGrid w:val="0"/>
          <w:szCs w:val="18"/>
        </w:rPr>
      </w:pPr>
      <w:r w:rsidRPr="00C81BEC">
        <w:rPr>
          <w:rFonts w:cs="Arial"/>
          <w:snapToGrid w:val="0"/>
          <w:szCs w:val="18"/>
          <w:lang w:val="en-US"/>
        </w:rPr>
        <mc:AlternateContent>
          <mc:Choice Requires="wpg">
            <w:drawing>
              <wp:anchor distT="0" distB="0" distL="114300" distR="114300" simplePos="0" relativeHeight="251659264" behindDoc="0" locked="0" layoutInCell="1" allowOverlap="1" wp14:anchorId="2D8007F5" wp14:editId="23BE1C4B">
                <wp:simplePos x="0" y="0"/>
                <wp:positionH relativeFrom="column">
                  <wp:posOffset>579789</wp:posOffset>
                </wp:positionH>
                <wp:positionV relativeFrom="paragraph">
                  <wp:posOffset>44911</wp:posOffset>
                </wp:positionV>
                <wp:extent cx="4476115" cy="1545590"/>
                <wp:effectExtent l="19050" t="38100" r="635" b="0"/>
                <wp:wrapNone/>
                <wp:docPr id="6" name="Group 50"/>
                <wp:cNvGraphicFramePr/>
                <a:graphic xmlns:a="http://schemas.openxmlformats.org/drawingml/2006/main">
                  <a:graphicData uri="http://schemas.microsoft.com/office/word/2010/wordprocessingGroup">
                    <wpg:wgp>
                      <wpg:cNvGrpSpPr/>
                      <wpg:grpSpPr>
                        <a:xfrm>
                          <a:off x="0" y="0"/>
                          <a:ext cx="4476115" cy="1545590"/>
                          <a:chOff x="0" y="0"/>
                          <a:chExt cx="5465618" cy="1967523"/>
                        </a:xfrm>
                      </wpg:grpSpPr>
                      <wps:wsp>
                        <wps:cNvPr id="7" name="Straight Connector 7"/>
                        <wps:cNvCnPr/>
                        <wps:spPr>
                          <a:xfrm>
                            <a:off x="0" y="1122218"/>
                            <a:ext cx="5465618" cy="20782"/>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1111827" y="20782"/>
                            <a:ext cx="0" cy="1122218"/>
                          </a:xfrm>
                          <a:prstGeom prst="line">
                            <a:avLst/>
                          </a:prstGeom>
                          <a:ln w="38100">
                            <a:gradFill flip="none" rotWithShape="1">
                              <a:gsLst>
                                <a:gs pos="0">
                                  <a:srgbClr val="143C66"/>
                                </a:gs>
                                <a:gs pos="100000">
                                  <a:srgbClr val="008080"/>
                                </a:gs>
                              </a:gsLst>
                              <a:lin ang="0" scaled="1"/>
                              <a:tileRect/>
                            </a:gra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2156325" y="0"/>
                            <a:ext cx="0" cy="1122218"/>
                          </a:xfrm>
                          <a:prstGeom prst="line">
                            <a:avLst/>
                          </a:prstGeom>
                          <a:ln w="38100">
                            <a:gradFill flip="none" rotWithShape="1">
                              <a:gsLst>
                                <a:gs pos="0">
                                  <a:srgbClr val="143C66"/>
                                </a:gs>
                                <a:gs pos="100000">
                                  <a:srgbClr val="008080"/>
                                </a:gs>
                              </a:gsLst>
                              <a:lin ang="0" scaled="1"/>
                              <a:tileRect/>
                            </a:gra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3267730" y="20782"/>
                            <a:ext cx="0" cy="1122218"/>
                          </a:xfrm>
                          <a:prstGeom prst="line">
                            <a:avLst/>
                          </a:prstGeom>
                          <a:ln w="38100">
                            <a:gradFill flip="none" rotWithShape="1">
                              <a:gsLst>
                                <a:gs pos="0">
                                  <a:srgbClr val="143C66"/>
                                </a:gs>
                                <a:gs pos="100000">
                                  <a:srgbClr val="008080"/>
                                </a:gs>
                              </a:gsLst>
                              <a:lin ang="0" scaled="1"/>
                              <a:tileRect/>
                            </a:gra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4345681" y="0"/>
                            <a:ext cx="0" cy="1122218"/>
                          </a:xfrm>
                          <a:prstGeom prst="line">
                            <a:avLst/>
                          </a:prstGeom>
                          <a:ln w="38100">
                            <a:gradFill flip="none" rotWithShape="1">
                              <a:gsLst>
                                <a:gs pos="0">
                                  <a:srgbClr val="143C66"/>
                                </a:gs>
                                <a:gs pos="100000">
                                  <a:srgbClr val="008080"/>
                                </a:gs>
                              </a:gsLst>
                              <a:lin ang="0" scaled="1"/>
                              <a:tileRect/>
                            </a:gra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 name="TextBox 12"/>
                        <wps:cNvSpPr txBox="1"/>
                        <wps:spPr>
                          <a:xfrm>
                            <a:off x="492666" y="488176"/>
                            <a:ext cx="836295" cy="313690"/>
                          </a:xfrm>
                          <a:prstGeom prst="rect">
                            <a:avLst/>
                          </a:prstGeom>
                          <a:noFill/>
                        </wps:spPr>
                        <wps:txb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RRH1</w:t>
                              </w:r>
                            </w:p>
                          </w:txbxContent>
                        </wps:txbx>
                        <wps:bodyPr wrap="square" rtlCol="0">
                          <a:noAutofit/>
                        </wps:bodyPr>
                      </wps:wsp>
                      <wps:wsp>
                        <wps:cNvPr id="14" name="TextBox 13"/>
                        <wps:cNvSpPr txBox="1"/>
                        <wps:spPr>
                          <a:xfrm>
                            <a:off x="1481376" y="500362"/>
                            <a:ext cx="836295" cy="313690"/>
                          </a:xfrm>
                          <a:prstGeom prst="rect">
                            <a:avLst/>
                          </a:prstGeom>
                          <a:noFill/>
                        </wps:spPr>
                        <wps:txb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RRH2</w:t>
                              </w:r>
                            </w:p>
                          </w:txbxContent>
                        </wps:txbx>
                        <wps:bodyPr wrap="square" rtlCol="0">
                          <a:noAutofit/>
                        </wps:bodyPr>
                      </wps:wsp>
                      <wps:wsp>
                        <wps:cNvPr id="15" name="TextBox 14"/>
                        <wps:cNvSpPr txBox="1"/>
                        <wps:spPr>
                          <a:xfrm>
                            <a:off x="2574414" y="483639"/>
                            <a:ext cx="836295" cy="313690"/>
                          </a:xfrm>
                          <a:prstGeom prst="rect">
                            <a:avLst/>
                          </a:prstGeom>
                          <a:noFill/>
                        </wps:spPr>
                        <wps:txb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RRH3</w:t>
                              </w:r>
                            </w:p>
                          </w:txbxContent>
                        </wps:txbx>
                        <wps:bodyPr wrap="square" rtlCol="0">
                          <a:noAutofit/>
                        </wps:bodyPr>
                      </wps:wsp>
                      <wps:wsp>
                        <wps:cNvPr id="16" name="TextBox 15"/>
                        <wps:cNvSpPr txBox="1"/>
                        <wps:spPr>
                          <a:xfrm>
                            <a:off x="3629774" y="492922"/>
                            <a:ext cx="836295" cy="313690"/>
                          </a:xfrm>
                          <a:prstGeom prst="rect">
                            <a:avLst/>
                          </a:prstGeom>
                          <a:noFill/>
                        </wps:spPr>
                        <wps:txb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RRH4</w:t>
                              </w:r>
                            </w:p>
                          </w:txbxContent>
                        </wps:txbx>
                        <wps:bodyPr wrap="square" rtlCol="0">
                          <a:noAutofit/>
                        </wps:bodyPr>
                      </wps:wsp>
                      <wps:wsp>
                        <wps:cNvPr id="17" name="Straight Connector 17"/>
                        <wps:cNvCnPr/>
                        <wps:spPr>
                          <a:xfrm flipH="1">
                            <a:off x="1667529" y="976492"/>
                            <a:ext cx="1" cy="920483"/>
                          </a:xfrm>
                          <a:prstGeom prst="line">
                            <a:avLst/>
                          </a:prstGeom>
                          <a:ln w="25400">
                            <a:gradFill flip="none" rotWithShape="1">
                              <a:gsLst>
                                <a:gs pos="100000">
                                  <a:schemeClr val="tx1"/>
                                </a:gs>
                                <a:gs pos="100000">
                                  <a:srgbClr val="008080"/>
                                </a:gs>
                              </a:gsLst>
                              <a:lin ang="0" scaled="1"/>
                              <a:tileRect/>
                            </a:gradFill>
                            <a:prstDash val="sysDot"/>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a:off x="3007854" y="1796334"/>
                            <a:ext cx="804131" cy="0"/>
                          </a:xfrm>
                          <a:prstGeom prst="straightConnector1">
                            <a:avLst/>
                          </a:prstGeom>
                          <a:ln w="12700">
                            <a:gradFill flip="none" rotWithShape="1">
                              <a:gsLst>
                                <a:gs pos="13000">
                                  <a:schemeClr val="tx1"/>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a:stCxn id="21" idx="1"/>
                        </wps:cNvCnPr>
                        <wps:spPr>
                          <a:xfrm flipH="1">
                            <a:off x="1656031" y="1810221"/>
                            <a:ext cx="635846" cy="9830"/>
                          </a:xfrm>
                          <a:prstGeom prst="straightConnector1">
                            <a:avLst/>
                          </a:prstGeom>
                          <a:ln w="19050">
                            <a:gradFill flip="none" rotWithShape="1">
                              <a:gsLst>
                                <a:gs pos="13000">
                                  <a:schemeClr val="tx1"/>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flipH="1">
                            <a:off x="3829259" y="976492"/>
                            <a:ext cx="1" cy="920483"/>
                          </a:xfrm>
                          <a:prstGeom prst="line">
                            <a:avLst/>
                          </a:prstGeom>
                          <a:ln w="25400">
                            <a:gradFill flip="none" rotWithShape="1">
                              <a:gsLst>
                                <a:gs pos="100000">
                                  <a:schemeClr val="tx1"/>
                                </a:gs>
                                <a:gs pos="100000">
                                  <a:srgbClr val="008080"/>
                                </a:gs>
                              </a:gsLst>
                              <a:lin ang="0" scaled="1"/>
                              <a:tileRect/>
                            </a:gradFill>
                            <a:prstDash val="sysDot"/>
                          </a:ln>
                        </wps:spPr>
                        <wps:style>
                          <a:lnRef idx="1">
                            <a:schemeClr val="accent1"/>
                          </a:lnRef>
                          <a:fillRef idx="0">
                            <a:schemeClr val="accent1"/>
                          </a:fillRef>
                          <a:effectRef idx="0">
                            <a:schemeClr val="accent1"/>
                          </a:effectRef>
                          <a:fontRef idx="minor">
                            <a:schemeClr val="tx1"/>
                          </a:fontRef>
                        </wps:style>
                        <wps:bodyPr/>
                      </wps:wsp>
                      <wps:wsp>
                        <wps:cNvPr id="21" name="TextBox 34"/>
                        <wps:cNvSpPr txBox="1"/>
                        <wps:spPr>
                          <a:xfrm>
                            <a:off x="2292056" y="1653833"/>
                            <a:ext cx="836295" cy="313690"/>
                          </a:xfrm>
                          <a:prstGeom prst="rect">
                            <a:avLst/>
                          </a:prstGeom>
                          <a:noFill/>
                        </wps:spPr>
                        <wps:txb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Option1</w:t>
                              </w:r>
                            </w:p>
                          </w:txbxContent>
                        </wps:txbx>
                        <wps:bodyPr wrap="square" rtlCol="0">
                          <a:noAutofit/>
                        </wps:bodyPr>
                      </wps:wsp>
                      <wps:wsp>
                        <wps:cNvPr id="22" name="Straight Connector 22"/>
                        <wps:cNvCnPr/>
                        <wps:spPr>
                          <a:xfrm flipH="1">
                            <a:off x="3312837" y="1149133"/>
                            <a:ext cx="1" cy="329468"/>
                          </a:xfrm>
                          <a:prstGeom prst="line">
                            <a:avLst/>
                          </a:prstGeom>
                          <a:ln w="25400">
                            <a:gradFill flip="none" rotWithShape="1">
                              <a:gsLst>
                                <a:gs pos="100000">
                                  <a:schemeClr val="tx1"/>
                                </a:gs>
                                <a:gs pos="100000">
                                  <a:srgbClr val="008080"/>
                                </a:gs>
                              </a:gsLst>
                              <a:lin ang="0" scaled="1"/>
                              <a:tileRect/>
                            </a:gradFill>
                            <a:prstDash val="sysDot"/>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flipH="1">
                            <a:off x="2167981" y="1147052"/>
                            <a:ext cx="1" cy="329468"/>
                          </a:xfrm>
                          <a:prstGeom prst="line">
                            <a:avLst/>
                          </a:prstGeom>
                          <a:ln w="25400">
                            <a:gradFill flip="none" rotWithShape="1">
                              <a:gsLst>
                                <a:gs pos="100000">
                                  <a:schemeClr val="tx1"/>
                                </a:gs>
                                <a:gs pos="100000">
                                  <a:srgbClr val="008080"/>
                                </a:gs>
                              </a:gsLst>
                              <a:lin ang="0" scaled="1"/>
                              <a:tileRect/>
                            </a:gradFill>
                            <a:prstDash val="sysDot"/>
                          </a:ln>
                        </wps:spPr>
                        <wps:style>
                          <a:lnRef idx="1">
                            <a:schemeClr val="accent1"/>
                          </a:lnRef>
                          <a:fillRef idx="0">
                            <a:schemeClr val="accent1"/>
                          </a:fillRef>
                          <a:effectRef idx="0">
                            <a:schemeClr val="accent1"/>
                          </a:effectRef>
                          <a:fontRef idx="minor">
                            <a:schemeClr val="tx1"/>
                          </a:fontRef>
                        </wps:style>
                        <wps:bodyPr/>
                      </wps:wsp>
                      <wps:wsp>
                        <wps:cNvPr id="24" name="TextBox 42"/>
                        <wps:cNvSpPr txBox="1"/>
                        <wps:spPr>
                          <a:xfrm>
                            <a:off x="2279969" y="1286896"/>
                            <a:ext cx="942975" cy="313690"/>
                          </a:xfrm>
                          <a:prstGeom prst="rect">
                            <a:avLst/>
                          </a:prstGeom>
                          <a:noFill/>
                        </wps:spPr>
                        <wps:txb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Option 2</w:t>
                              </w:r>
                            </w:p>
                          </w:txbxContent>
                        </wps:txbx>
                        <wps:bodyPr wrap="square" rtlCol="0">
                          <a:noAutofit/>
                        </wps:bodyPr>
                      </wps:wsp>
                      <wps:wsp>
                        <wps:cNvPr id="25" name="Straight Arrow Connector 25"/>
                        <wps:cNvCnPr/>
                        <wps:spPr>
                          <a:xfrm flipH="1">
                            <a:off x="3336036" y="1409666"/>
                            <a:ext cx="238124" cy="5584"/>
                          </a:xfrm>
                          <a:prstGeom prst="straightConnector1">
                            <a:avLst/>
                          </a:prstGeom>
                          <a:ln w="12700">
                            <a:gradFill flip="none" rotWithShape="1">
                              <a:gsLst>
                                <a:gs pos="13000">
                                  <a:schemeClr val="tx1"/>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flipV="1">
                            <a:off x="1899593" y="1409666"/>
                            <a:ext cx="268389" cy="5584"/>
                          </a:xfrm>
                          <a:prstGeom prst="straightConnector1">
                            <a:avLst/>
                          </a:prstGeom>
                          <a:ln w="12700">
                            <a:gradFill flip="none" rotWithShape="1">
                              <a:gsLst>
                                <a:gs pos="13000">
                                  <a:schemeClr val="tx1"/>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D8007F5" id="Group 50" o:spid="_x0000_s1026" style="position:absolute;margin-left:45.65pt;margin-top:3.55pt;width:352.45pt;height:121.7pt;z-index:251659264;mso-width-relative:margin;mso-height-relative:margin" coordsize="54656,19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">
                <v:line id="Straight Connector 7" o:spid="_x0000_s1027" style="position:absolute;visibility:visible;mso-wrap-style:square" from="0,11222" to="54656,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5drsIAAADaAAAADwAAAGRycy9kb3ducmV2LnhtbESPQWsCMRSE7wX/Q3iCt25WKVq2RlFB&#10;6E1qlV5fk+dudPOybqJu/70RhB6HmfmGmc47V4srtcF6VjDMchDE2hvLpYLd9/r1HUSIyAZrz6Tg&#10;jwLMZ72XKRbG3/iLrttYigThUKCCKsamkDLoihyGzDfEyTv41mFMsi2lafGW4K6WozwfS4eW00KF&#10;Da0q0qftxSk4xjDZ7O3ycj4efs767VevOxuUGvS7xQeISF38Dz/bn0bBBB5X0g2Qs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5drsIAAADaAAAADwAAAAAAAAAAAAAA&#10;AAChAgAAZHJzL2Rvd25yZXYueG1sUEsFBgAAAAAEAAQA+QAAAJADAAAAAA==&#10;" strokeweight="3pt">
                  <v:stroke joinstyle="miter"/>
                </v:line>
                <v:line id="Straight Connector 8" o:spid="_x0000_s1028" style="position:absolute;visibility:visible;mso-wrap-style:square" from="11118,207" to="11118,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18IAAADaAAAADwAAAGRycy9kb3ducmV2LnhtbERPz2vCMBS+C/4P4Q12KZq6g8xqlClM&#10;hgy21cGuj+aZFpuXmkTb/ffLYeDx4/u92gy2FTfyoXGsYDbNQRBXTjdsFHwfXyfPIEJE1tg6JgW/&#10;FGCzHo9WWGjX8xfdymhECuFQoII6xq6QMlQ1WQxT1xEn7uS8xZigN1J77FO4beVTns+lxYZTQ40d&#10;7WqqzuXVKsBPs/85XfaLbflxeL/4LDvuZlelHh+GlyWISEO8i//db1pB2pqupBs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O18IAAADaAAAADwAAAAAAAAAAAAAA&#10;AAChAgAAZHJzL2Rvd25yZXYueG1sUEsFBgAAAAAEAAQA+QAAAJADAAAAAA==&#10;" strokeweight="3pt">
                  <v:stroke startarrow="block" joinstyle="miter"/>
                </v:line>
                <v:line id="Straight Connector 9" o:spid="_x0000_s1029" style="position:absolute;visibility:visible;mso-wrap-style:square" from="21563,0" to="21563,11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rTMQAAADaAAAADwAAAGRycy9kb3ducmV2LnhtbESPQWvCQBSE7wX/w/KEXkQ39iAmukoV&#10;lFIK1Sh4fWSfSWj2bdxdNf77bkHocZiZb5j5sjONuJHztWUF41ECgriwuuZSwfGwGU5B+ICssbFM&#10;Ch7kYbnovcwx0/bOe7rloRQRwj5DBVUIbSalLyoy6Ee2JY7e2TqDIUpXSu3wHuGmkW9JMpEGa44L&#10;Fba0rqj4ya9GAe7K7el82aar/Pvz6+IGg8N6fFXqtd+9z0AE6sJ/+Nn+0ApS+LsSb4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oytMxAAAANoAAAAPAAAAAAAAAAAA&#10;AAAAAKECAABkcnMvZG93bnJldi54bWxQSwUGAAAAAAQABAD5AAAAkgMAAAAA&#10;" strokeweight="3pt">
                  <v:stroke startarrow="block" joinstyle="miter"/>
                </v:line>
                <v:line id="Straight Connector 10" o:spid="_x0000_s1030" style="position:absolute;visibility:visible;mso-wrap-style:square" from="32677,207" to="32677,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oSa8YAAADbAAAADwAAAGRycy9kb3ducmV2LnhtbESPQWvCQBCF74X+h2UEL1I3eihtdBUr&#10;KFIKbaPgdciOSTA7G3dXTf9951DobYb35r1v5svetepGITaeDUzGGSji0tuGKwOH/ebpBVRMyBZb&#10;z2TghyIsF48Pc8ytv/M33YpUKQnhmKOBOqUu1zqWNTmMY98Ri3bywWGSNVTaBrxLuGv1NMuetcOG&#10;paHGjtY1lefi6gzgV7U9ni7b17fi8/3jEkaj/XpyNWY46FczUIn69G/+u95ZwRd6+UUG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aEmvGAAAA2wAAAA8AAAAAAAAA&#10;AAAAAAAAoQIAAGRycy9kb3ducmV2LnhtbFBLBQYAAAAABAAEAPkAAACUAwAAAAA=&#10;" strokeweight="3pt">
                  <v:stroke startarrow="block" joinstyle="miter"/>
                </v:line>
                <v:line id="Straight Connector 11" o:spid="_x0000_s1031" style="position:absolute;visibility:visible;mso-wrap-style:square" from="43456,0" to="43456,11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a38MMAAADbAAAADwAAAGRycy9kb3ducmV2LnhtbERPTWvCQBC9F/wPywhepG7iodToKlVQ&#10;RIRqLHgdsmMSmp2Nu6um/94tFHqbx/uc2aIzjbiT87VlBekoAUFcWF1zqeDrtH59B+EDssbGMin4&#10;IQ+Lee9lhpm2Dz7SPQ+liCHsM1RQhdBmUvqiIoN+ZFviyF2sMxgidKXUDh8x3DRynCRv0mDNsaHC&#10;llYVFd/5zSjAQ7k5X66byTL/3O2vbjg8rdKbUoN+9zEFEagL/+I/91bH+Sn8/hIP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Wt/DDAAAA2wAAAA8AAAAAAAAAAAAA&#10;AAAAoQIAAGRycy9kb3ducmV2LnhtbFBLBQYAAAAABAAEAPkAAACRAwAAAAA=&#10;" strokeweight="3pt">
                  <v:stroke startarrow="block" joinstyle="miter"/>
                </v:line>
                <v:shapetype id="_x0000_t202" coordsize="21600,21600" o:spt="202" path="m,l,21600r21600,l21600,xe">
                  <v:stroke joinstyle="miter"/>
                  <v:path gradientshapeok="t" o:connecttype="rect"/>
                </v:shapetype>
                <v:shape id="TextBox 12" o:spid="_x0000_s1032" type="#_x0000_t202" style="position:absolute;left:4926;top:4881;width:836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RRH1</w:t>
                        </w:r>
                      </w:p>
                    </w:txbxContent>
                  </v:textbox>
                </v:shape>
                <v:shape id="TextBox 13" o:spid="_x0000_s1033" type="#_x0000_t202" style="position:absolute;left:14813;top:5003;width:836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RRH2</w:t>
                        </w:r>
                      </w:p>
                    </w:txbxContent>
                  </v:textbox>
                </v:shape>
                <v:shape id="TextBox 14" o:spid="_x0000_s1034" type="#_x0000_t202" style="position:absolute;left:25744;top:4836;width:836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RRH3</w:t>
                        </w:r>
                      </w:p>
                    </w:txbxContent>
                  </v:textbox>
                </v:shape>
                <v:shape id="TextBox 15" o:spid="_x0000_s1035" type="#_x0000_t202" style="position:absolute;left:36297;top:4929;width:836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RRH4</w:t>
                        </w:r>
                      </w:p>
                    </w:txbxContent>
                  </v:textbox>
                </v:shape>
                <v:line id="Straight Connector 17" o:spid="_x0000_s1036" style="position:absolute;flip:x;visibility:visible;mso-wrap-style:square" from="16675,9764" to="16675,18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ZMc74AAADbAAAADwAAAGRycy9kb3ducmV2LnhtbERPy6rCMBDdC/5DGMGNXFNd+Og1iggF&#10;tz5wPTRzm3qbSW2irX9vBMHdHM5zVpvOVuJBjS8dK5iMExDEudMlFwrOp+xnAcIHZI2VY1LwJA+b&#10;db+3wlS7lg/0OIZCxBD2KSowIdSplD43ZNGPXU0cuT/XWAwRNoXUDbYx3FZymiQzabHk2GCwpp2h&#10;/P94twqKaXs9mOVtJIPZ7ueX+pRV/qrUcNBtf0EE6sJX/HHvdZw/h/cv8QC5f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RJkxzvgAAANsAAAAPAAAAAAAAAAAAAAAAAKEC&#10;AABkcnMvZG93bnJldi54bWxQSwUGAAAAAAQABAD5AAAAjAMAAAAA&#10;" strokeweight="2pt">
                  <v:stroke dashstyle="1 1" joinstyle="miter"/>
                </v:line>
                <v:shapetype id="_x0000_t32" coordsize="21600,21600" o:spt="32" o:oned="t" path="m,l21600,21600e" filled="f">
                  <v:path arrowok="t" fillok="f" o:connecttype="none"/>
                  <o:lock v:ext="edit" shapetype="t"/>
                </v:shapetype>
                <v:shape id="Straight Arrow Connector 18" o:spid="_x0000_s1037" type="#_x0000_t32" style="position:absolute;left:30078;top:17963;width:80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2A8cIAAADbAAAADwAAAGRycy9kb3ducmV2LnhtbESPzWrCQBDH7wXfYRnBW92otEjqJlRB&#10;kPZU2weYZsd8NDsbsmuS+vTOodDbDPP/+M0un1yrBupD7dnAapmAIi68rbk08PV5fNyCChHZYuuZ&#10;DPxSgDybPewwtX7kDxrOsVQSwiFFA1WMXap1KCpyGJa+I5bbxfcOo6x9qW2Po4S7Vq+T5Fk7rFka&#10;KuzoUFHxc746KcGmwNsmedqO+9Nb00zD+7e+GLOYT68voCJN8V/85z5ZwRdY+UUG0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2A8cIAAADbAAAADwAAAAAAAAAAAAAA&#10;AAChAgAAZHJzL2Rvd25yZXYueG1sUEsFBgAAAAAEAAQA+QAAAJADAAAAAA==&#10;" strokeweight="1pt">
                  <v:stroke endarrow="block" joinstyle="miter"/>
                </v:shape>
                <v:shape id="Straight Arrow Connector 19" o:spid="_x0000_s1038" type="#_x0000_t32" style="position:absolute;left:16560;top:18102;width:6358;height: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1JsIAAADbAAAADwAAAGRycy9kb3ducmV2LnhtbERPTWvCQBC9C/6HZYTedKMH0dRVQrBg&#10;KUKNUjwO2WkSmp1Nd7cm/vtuoeBtHu9zNrvBtOJGzjeWFcxnCQji0uqGKwWX88t0BcIHZI2tZVJw&#10;Jw+77Xi0wVTbnk90K0IlYgj7FBXUIXSplL6syaCf2Y44cp/WGQwRukpqh30MN61cJMlSGmw4NtTY&#10;UV5T+VX8GAULu9f99f3tNf8uDtfs4+hWfumUepoM2TOIQEN4iP/dBx3nr+Hvl3iA3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z1JsIAAADbAAAADwAAAAAAAAAAAAAA&#10;AAChAgAAZHJzL2Rvd25yZXYueG1sUEsFBgAAAAAEAAQA+QAAAJADAAAAAA==&#10;" strokeweight="1.5pt">
                  <v:stroke endarrow="block" joinstyle="miter"/>
                </v:shape>
                <v:line id="Straight Connector 20" o:spid="_x0000_s1039" style="position:absolute;flip:x;visibility:visible;mso-wrap-style:square" from="38292,9764" to="38292,18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Meur8AAADbAAAADwAAAGRycy9kb3ducmV2LnhtbERPz2vCMBS+D/wfwhO8DE3Xw9TOKEUo&#10;eG0Vz4/m2dQ1L7XJbP3vl8Ngx4/v9+4w2U48afCtYwUfqwQEce10y42Cy7lYbkD4gKyxc0wKXuTh&#10;sJ+97TDTbuSSnlVoRAxhn6ECE0KfSelrQxb9yvXEkbu5wWKIcGikHnCM4baTaZJ8SostxwaDPR0N&#10;1d/Vj1XQpOO9NNvHuwwmP62v/bno/F2pxXzKv0AEmsK/+M990grSuD5+iT9A7n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KMeur8AAADbAAAADwAAAAAAAAAAAAAAAACh&#10;AgAAZHJzL2Rvd25yZXYueG1sUEsFBgAAAAAEAAQA+QAAAI0DAAAAAA==&#10;" strokeweight="2pt">
                  <v:stroke dashstyle="1 1" joinstyle="miter"/>
                </v:line>
                <v:shape id="TextBox 34" o:spid="_x0000_s1040" type="#_x0000_t202" style="position:absolute;left:22920;top:16538;width:836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Option1</w:t>
                        </w:r>
                      </w:p>
                    </w:txbxContent>
                  </v:textbox>
                </v:shape>
                <v:line id="Straight Connector 22" o:spid="_x0000_s1041" style="position:absolute;flip:x;visibility:visible;mso-wrap-style:square" from="33128,11491" to="33128,14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0lVsIAAADbAAAADwAAAGRycy9kb3ducmV2LnhtbESPwWrDMBBE74H+g9hCLqGR60PaupZD&#10;KAR8tV16Xqyt5dRauZYSO38fBQo9DjPzhsn3ix3EhSbfO1bwvE1AELdO99wp+GyOT68gfEDWODgm&#10;BVfysC8eVjlm2s1c0aUOnYgQ9hkqMCGMmZS+NWTRb91IHL1vN1kMUU6d1BPOEW4HmSbJTlrsOS4Y&#10;HOnDUPtTn62CLp1PlXn73chgDuXL19gcB39Sav24HN5BBFrCf/ivXWoFaQr3L/EHy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z0lVsIAAADbAAAADwAAAAAAAAAAAAAA&#10;AAChAgAAZHJzL2Rvd25yZXYueG1sUEsFBgAAAAAEAAQA+QAAAJADAAAAAA==&#10;" strokeweight="2pt">
                  <v:stroke dashstyle="1 1" joinstyle="miter"/>
                </v:line>
                <v:line id="Straight Connector 23" o:spid="_x0000_s1042" style="position:absolute;flip:x;visibility:visible;mso-wrap-style:square" from="21679,11470" to="21679,1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GAzcEAAADbAAAADwAAAGRycy9kb3ducmV2LnhtbESPW4vCMBSE3xf8D+EI+7JoagUv1Sgi&#10;CL56wedDc2yqzUltou3+e7Ow4OMwM98wy3VnK/GixpeOFYyGCQji3OmSCwXn024wA+EDssbKMSn4&#10;JQ/rVe9riZl2LR/odQyFiBD2GSowIdSZlD43ZNEPXU0cvatrLIYom0LqBtsIt5VMk2QiLZYcFwzW&#10;tDWU349Pq6BI29vBzB8/MpjNfnqpT7vK35T67nebBYhAXfiE/9t7rSAdw9+X+APk6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cYDNwQAAANsAAAAPAAAAAAAAAAAAAAAA&#10;AKECAABkcnMvZG93bnJldi54bWxQSwUGAAAAAAQABAD5AAAAjwMAAAAA&#10;" strokeweight="2pt">
                  <v:stroke dashstyle="1 1" joinstyle="miter"/>
                </v:line>
                <v:shape id="TextBox 42" o:spid="_x0000_s1043" type="#_x0000_t202" style="position:absolute;left:22799;top:12868;width:9430;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C81BEC" w:rsidRPr="00685280" w:rsidRDefault="00C81BEC" w:rsidP="00C81BEC">
                        <w:pPr>
                          <w:pStyle w:val="NormalWeb"/>
                          <w:spacing w:before="0" w:beforeAutospacing="0" w:after="60" w:afterAutospacing="0" w:line="216" w:lineRule="auto"/>
                          <w:rPr>
                            <w:sz w:val="16"/>
                            <w:szCs w:val="16"/>
                          </w:rPr>
                        </w:pPr>
                        <w:r w:rsidRPr="00685280">
                          <w:rPr>
                            <w:rFonts w:ascii="Calibre Semibold" w:hAnsi="Calibre Semibold" w:cstheme="minorBidi"/>
                            <w:color w:val="404040" w:themeColor="text1" w:themeTint="BF"/>
                            <w:kern w:val="24"/>
                            <w:sz w:val="16"/>
                            <w:szCs w:val="16"/>
                          </w:rPr>
                          <w:t>Option 2</w:t>
                        </w:r>
                      </w:p>
                    </w:txbxContent>
                  </v:textbox>
                </v:shape>
                <v:shape id="Straight Arrow Connector 25" o:spid="_x0000_s1044" type="#_x0000_t32" style="position:absolute;left:33360;top:14096;width:2381;height: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8J5MMAAADbAAAADwAAAGRycy9kb3ducmV2LnhtbESPzWrCQBSF9wXfYbiCu2aiVG2jo4hQ&#10;cOGmNoV0d8ncJsHMnTAzJvHtnUKhy8P5+Tjb/Wha0ZPzjWUF8yQFQVxa3XClIP98f34F4QOyxtYy&#10;KbiTh/1u8rTFTNuBP6i/hErEEfYZKqhD6DIpfVmTQZ/Yjjh6P9YZDFG6SmqHQxw3rVyk6UoabDgS&#10;auzoWFN5vdxMhHTrb70qDk5+5YW+mfWLPb8VSs2m42EDItAY/sN/7ZNWsFjC75f4A+Tu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fCeTDAAAA2wAAAA8AAAAAAAAAAAAA&#10;AAAAoQIAAGRycy9kb3ducmV2LnhtbFBLBQYAAAAABAAEAPkAAACRAwAAAAA=&#10;" strokeweight="1pt">
                  <v:stroke endarrow="block" joinstyle="miter"/>
                </v:shape>
                <v:shape id="Straight Arrow Connector 26" o:spid="_x0000_s1045" type="#_x0000_t32" style="position:absolute;left:18995;top:14096;width:2684;height: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2Xk8MAAADbAAAADwAAAGRycy9kb3ducmV2LnhtbESPS2vCQBSF9wX/w3AFd3WiSLSpo4hQ&#10;6KKbpgpxd8lck2DmTpiZPPrvO4VCl4fz+Dj742RaMZDzjWUFq2UCgri0uuFKweXr7XkHwgdkja1l&#10;UvBNHo6H2dMeM21H/qQhD5WII+wzVFCH0GVS+rImg35pO+Lo3a0zGKJ0ldQOxzhuWrlOklQabDgS&#10;auzoXFP5yHsTId32ptPi5OT1UujebDf246VQajGfTq8gAk3hP/zXftcK1in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Nl5PDAAAA2wAAAA8AAAAAAAAAAAAA&#10;AAAAoQIAAGRycy9kb3ducmV2LnhtbFBLBQYAAAAABAAEAPkAAACRAwAAAAA=&#10;" strokeweight="1pt">
                  <v:stroke endarrow="block" joinstyle="miter"/>
                </v:shape>
              </v:group>
            </w:pict>
          </mc:Fallback>
        </mc:AlternateContent>
      </w:r>
    </w:p>
    <w:p w:rsidR="00C81BEC" w:rsidRPr="00C81BEC" w:rsidRDefault="00C81BEC" w:rsidP="00C81BEC">
      <w:pPr>
        <w:spacing w:line="276" w:lineRule="auto"/>
        <w:rPr>
          <w:rFonts w:cs="Arial"/>
          <w:snapToGrid w:val="0"/>
          <w:szCs w:val="18"/>
        </w:rPr>
      </w:pPr>
    </w:p>
    <w:p w:rsidR="00685280" w:rsidRDefault="00685280" w:rsidP="006E2C9D">
      <w:pPr>
        <w:spacing w:line="276" w:lineRule="auto"/>
        <w:jc w:val="center"/>
        <w:rPr>
          <w:rFonts w:cs="Arial"/>
          <w:b/>
          <w:snapToGrid w:val="0"/>
          <w:szCs w:val="18"/>
        </w:rPr>
      </w:pPr>
    </w:p>
    <w:p w:rsidR="00685280" w:rsidRDefault="00685280" w:rsidP="006E2C9D">
      <w:pPr>
        <w:spacing w:line="276" w:lineRule="auto"/>
        <w:jc w:val="center"/>
        <w:rPr>
          <w:rFonts w:cs="Arial"/>
          <w:b/>
          <w:snapToGrid w:val="0"/>
          <w:szCs w:val="18"/>
        </w:rPr>
      </w:pPr>
    </w:p>
    <w:p w:rsidR="00685280" w:rsidRDefault="00685280" w:rsidP="006E2C9D">
      <w:pPr>
        <w:spacing w:line="276" w:lineRule="auto"/>
        <w:jc w:val="center"/>
        <w:rPr>
          <w:rFonts w:cs="Arial"/>
          <w:b/>
          <w:snapToGrid w:val="0"/>
          <w:szCs w:val="18"/>
        </w:rPr>
      </w:pPr>
    </w:p>
    <w:p w:rsidR="00685280" w:rsidRDefault="00685280" w:rsidP="006E2C9D">
      <w:pPr>
        <w:spacing w:line="276" w:lineRule="auto"/>
        <w:jc w:val="center"/>
        <w:rPr>
          <w:rFonts w:cs="Arial"/>
          <w:b/>
          <w:snapToGrid w:val="0"/>
          <w:szCs w:val="18"/>
        </w:rPr>
      </w:pPr>
    </w:p>
    <w:p w:rsidR="00685280" w:rsidRDefault="00685280" w:rsidP="006E2C9D">
      <w:pPr>
        <w:spacing w:line="276" w:lineRule="auto"/>
        <w:jc w:val="center"/>
        <w:rPr>
          <w:rFonts w:cs="Arial"/>
          <w:b/>
          <w:snapToGrid w:val="0"/>
          <w:szCs w:val="18"/>
        </w:rPr>
      </w:pPr>
      <w:r>
        <w:rPr>
          <w:rFonts w:cs="Arial"/>
          <w:b/>
          <w:snapToGrid w:val="0"/>
          <w:szCs w:val="18"/>
        </w:rPr>
        <w:t xml:space="preserve">Figure 1: Four RRH to </w:t>
      </w:r>
      <w:proofErr w:type="gramStart"/>
      <w:r>
        <w:rPr>
          <w:rFonts w:cs="Arial"/>
          <w:b/>
          <w:snapToGrid w:val="0"/>
          <w:szCs w:val="18"/>
        </w:rPr>
        <w:t>connected</w:t>
      </w:r>
      <w:proofErr w:type="gramEnd"/>
      <w:r>
        <w:rPr>
          <w:rFonts w:cs="Arial"/>
          <w:b/>
          <w:snapToGrid w:val="0"/>
          <w:szCs w:val="18"/>
        </w:rPr>
        <w:t xml:space="preserve"> to a single BBU model. UE receives signal only from four RRHs.</w:t>
      </w:r>
    </w:p>
    <w:tbl>
      <w:tblPr>
        <w:tblStyle w:val="TableGrid"/>
        <w:tblW w:w="10980" w:type="dxa"/>
        <w:tblInd w:w="-905" w:type="dxa"/>
        <w:tblLayout w:type="fixed"/>
        <w:tblLook w:val="04A0" w:firstRow="1" w:lastRow="0" w:firstColumn="1" w:lastColumn="0" w:noHBand="0" w:noVBand="1"/>
      </w:tblPr>
      <w:tblGrid>
        <w:gridCol w:w="5580"/>
        <w:gridCol w:w="5400"/>
      </w:tblGrid>
      <w:tr w:rsidR="00633A3C" w:rsidTr="00633A3C">
        <w:tc>
          <w:tcPr>
            <w:tcW w:w="5580" w:type="dxa"/>
            <w:shd w:val="clear" w:color="auto" w:fill="9CC2E5" w:themeFill="accent1" w:themeFillTint="99"/>
            <w:vAlign w:val="center"/>
          </w:tcPr>
          <w:p w:rsidR="00633A3C" w:rsidRPr="00633A3C" w:rsidRDefault="00633A3C" w:rsidP="00633A3C">
            <w:pPr>
              <w:spacing w:line="276" w:lineRule="auto"/>
              <w:jc w:val="center"/>
              <w:rPr>
                <w:rFonts w:ascii="Arial" w:hAnsi="Arial" w:cs="Arial"/>
                <w:b/>
                <w:lang w:val="en-US"/>
              </w:rPr>
            </w:pPr>
            <w:r w:rsidRPr="00633A3C">
              <w:rPr>
                <w:rFonts w:ascii="Arial" w:hAnsi="Arial" w:cs="Arial"/>
                <w:b/>
                <w:lang w:val="en-US"/>
              </w:rPr>
              <w:lastRenderedPageBreak/>
              <w:t>Large</w:t>
            </w:r>
            <w:r>
              <w:rPr>
                <w:rFonts w:ascii="Arial" w:hAnsi="Arial" w:cs="Arial"/>
                <w:b/>
                <w:lang w:val="en-US"/>
              </w:rPr>
              <w:t xml:space="preserve"> </w:t>
            </w:r>
            <w:proofErr w:type="spellStart"/>
            <w:r>
              <w:rPr>
                <w:rFonts w:ascii="Arial" w:hAnsi="Arial" w:cs="Arial"/>
                <w:b/>
                <w:lang w:val="en-US"/>
              </w:rPr>
              <w:t>Dmin</w:t>
            </w:r>
            <w:proofErr w:type="spellEnd"/>
            <w:r>
              <w:rPr>
                <w:rFonts w:ascii="Arial" w:hAnsi="Arial" w:cs="Arial"/>
                <w:b/>
                <w:lang w:val="en-US"/>
              </w:rPr>
              <w:t>:</w:t>
            </w:r>
            <w:r w:rsidRPr="00633A3C">
              <w:rPr>
                <w:rFonts w:ascii="Arial" w:hAnsi="Arial" w:cs="Arial"/>
                <w:b/>
                <w:lang w:val="en-US"/>
              </w:rPr>
              <w:t xml:space="preserve"> Ds = 1000m, </w:t>
            </w:r>
            <w:proofErr w:type="spellStart"/>
            <w:r w:rsidRPr="00633A3C">
              <w:rPr>
                <w:rFonts w:ascii="Arial" w:hAnsi="Arial" w:cs="Arial"/>
                <w:b/>
                <w:lang w:val="en-US"/>
              </w:rPr>
              <w:t>Dmin</w:t>
            </w:r>
            <w:proofErr w:type="spellEnd"/>
            <w:r w:rsidRPr="00633A3C">
              <w:rPr>
                <w:rFonts w:ascii="Arial" w:hAnsi="Arial" w:cs="Arial"/>
                <w:b/>
                <w:lang w:val="en-US"/>
              </w:rPr>
              <w:t xml:space="preserve"> = 300m</w:t>
            </w:r>
          </w:p>
        </w:tc>
        <w:tc>
          <w:tcPr>
            <w:tcW w:w="5400" w:type="dxa"/>
            <w:shd w:val="clear" w:color="auto" w:fill="9CC2E5" w:themeFill="accent1" w:themeFillTint="99"/>
            <w:vAlign w:val="center"/>
          </w:tcPr>
          <w:p w:rsidR="00633A3C" w:rsidRPr="00633A3C" w:rsidRDefault="00633A3C" w:rsidP="00633A3C">
            <w:pPr>
              <w:spacing w:line="276" w:lineRule="auto"/>
              <w:jc w:val="center"/>
              <w:rPr>
                <w:rFonts w:ascii="Arial" w:hAnsi="Arial" w:cs="Arial"/>
                <w:b/>
                <w:lang w:val="en-US"/>
              </w:rPr>
            </w:pPr>
            <w:r>
              <w:rPr>
                <w:rFonts w:ascii="Arial" w:hAnsi="Arial" w:cs="Arial"/>
                <w:b/>
                <w:lang w:val="en-US"/>
              </w:rPr>
              <w:t xml:space="preserve">Small </w:t>
            </w:r>
            <w:proofErr w:type="spellStart"/>
            <w:r>
              <w:rPr>
                <w:rFonts w:ascii="Arial" w:hAnsi="Arial" w:cs="Arial"/>
                <w:b/>
                <w:lang w:val="en-US"/>
              </w:rPr>
              <w:t>Dmin</w:t>
            </w:r>
            <w:proofErr w:type="spellEnd"/>
            <w:r>
              <w:rPr>
                <w:rFonts w:ascii="Arial" w:hAnsi="Arial" w:cs="Arial"/>
                <w:b/>
                <w:lang w:val="en-US"/>
              </w:rPr>
              <w:t>:</w:t>
            </w:r>
            <w:r w:rsidRPr="00633A3C">
              <w:rPr>
                <w:rFonts w:ascii="Arial" w:hAnsi="Arial" w:cs="Arial"/>
                <w:b/>
                <w:lang w:val="en-US"/>
              </w:rPr>
              <w:t xml:space="preserve"> Ds = 500m, </w:t>
            </w:r>
            <w:proofErr w:type="spellStart"/>
            <w:r w:rsidRPr="00633A3C">
              <w:rPr>
                <w:rFonts w:ascii="Arial" w:hAnsi="Arial" w:cs="Arial"/>
                <w:b/>
                <w:lang w:val="en-US"/>
              </w:rPr>
              <w:t>Dmin</w:t>
            </w:r>
            <w:proofErr w:type="spellEnd"/>
            <w:r w:rsidRPr="00633A3C">
              <w:rPr>
                <w:rFonts w:ascii="Arial" w:hAnsi="Arial" w:cs="Arial"/>
                <w:b/>
                <w:lang w:val="en-US"/>
              </w:rPr>
              <w:t xml:space="preserve"> = 5m</w:t>
            </w:r>
          </w:p>
        </w:tc>
      </w:tr>
      <w:tr w:rsidR="00633A3C" w:rsidTr="00633A3C">
        <w:tc>
          <w:tcPr>
            <w:tcW w:w="5580" w:type="dxa"/>
            <w:shd w:val="clear" w:color="auto" w:fill="FBE4D5" w:themeFill="accent2" w:themeFillTint="33"/>
          </w:tcPr>
          <w:p w:rsidR="00633A3C" w:rsidRPr="00633A3C" w:rsidRDefault="00633A3C" w:rsidP="00633A3C">
            <w:pPr>
              <w:spacing w:line="276" w:lineRule="auto"/>
              <w:jc w:val="center"/>
              <w:rPr>
                <w:b/>
                <w:noProof/>
                <w:lang w:val="en-US"/>
              </w:rPr>
            </w:pPr>
            <w:r w:rsidRPr="00633A3C">
              <w:rPr>
                <w:b/>
                <w:noProof/>
                <w:lang w:val="en-US"/>
              </w:rPr>
              <w:t>MCS5</w:t>
            </w:r>
          </w:p>
        </w:tc>
        <w:tc>
          <w:tcPr>
            <w:tcW w:w="5400" w:type="dxa"/>
            <w:shd w:val="clear" w:color="auto" w:fill="FBE4D5" w:themeFill="accent2" w:themeFillTint="33"/>
          </w:tcPr>
          <w:p w:rsidR="00633A3C" w:rsidRPr="00633A3C" w:rsidRDefault="00633A3C" w:rsidP="00633A3C">
            <w:pPr>
              <w:spacing w:line="276" w:lineRule="auto"/>
              <w:jc w:val="center"/>
              <w:rPr>
                <w:b/>
                <w:noProof/>
                <w:lang w:val="en-US"/>
              </w:rPr>
            </w:pPr>
            <w:r w:rsidRPr="00633A3C">
              <w:rPr>
                <w:b/>
                <w:noProof/>
                <w:lang w:val="en-US"/>
              </w:rPr>
              <w:t>MCS5</w:t>
            </w:r>
          </w:p>
        </w:tc>
      </w:tr>
      <w:tr w:rsidR="00633A3C" w:rsidTr="00633A3C">
        <w:tc>
          <w:tcPr>
            <w:tcW w:w="5580" w:type="dxa"/>
          </w:tcPr>
          <w:p w:rsidR="00633A3C" w:rsidRPr="00633A3C" w:rsidRDefault="00633A3C" w:rsidP="00E32EA5">
            <w:pPr>
              <w:spacing w:line="276" w:lineRule="auto"/>
              <w:rPr>
                <w:lang w:val="en-US"/>
              </w:rPr>
            </w:pPr>
            <w:r w:rsidRPr="00633A3C">
              <w:rPr>
                <w:noProof/>
                <w:lang w:val="en-US"/>
              </w:rPr>
              <w:drawing>
                <wp:inline distT="0" distB="0" distL="0" distR="0" wp14:anchorId="7DEF5CA6" wp14:editId="62C2550C">
                  <wp:extent cx="3418703" cy="256402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cs5_largeDmin.png"/>
                          <pic:cNvPicPr/>
                        </pic:nvPicPr>
                        <pic:blipFill>
                          <a:blip r:embed="rId5">
                            <a:extLst>
                              <a:ext uri="{28A0092B-C50C-407E-A947-70E740481C1C}">
                                <a14:useLocalDpi xmlns:a14="http://schemas.microsoft.com/office/drawing/2010/main" val="0"/>
                              </a:ext>
                            </a:extLst>
                          </a:blip>
                          <a:stretch>
                            <a:fillRect/>
                          </a:stretch>
                        </pic:blipFill>
                        <pic:spPr>
                          <a:xfrm>
                            <a:off x="0" y="0"/>
                            <a:ext cx="3472227" cy="2604171"/>
                          </a:xfrm>
                          <a:prstGeom prst="rect">
                            <a:avLst/>
                          </a:prstGeom>
                        </pic:spPr>
                      </pic:pic>
                    </a:graphicData>
                  </a:graphic>
                </wp:inline>
              </w:drawing>
            </w:r>
          </w:p>
        </w:tc>
        <w:tc>
          <w:tcPr>
            <w:tcW w:w="5400" w:type="dxa"/>
          </w:tcPr>
          <w:p w:rsidR="00633A3C" w:rsidRPr="00633A3C" w:rsidRDefault="00633A3C" w:rsidP="00E32EA5">
            <w:pPr>
              <w:spacing w:line="276" w:lineRule="auto"/>
              <w:rPr>
                <w:lang w:val="en-US"/>
              </w:rPr>
            </w:pPr>
            <w:r w:rsidRPr="00633A3C">
              <w:rPr>
                <w:noProof/>
                <w:lang w:val="en-US"/>
              </w:rPr>
              <w:drawing>
                <wp:inline distT="0" distB="0" distL="0" distR="0" wp14:anchorId="54459A3B" wp14:editId="0D3AA05B">
                  <wp:extent cx="3438027" cy="25785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cs5_smallDmin.png"/>
                          <pic:cNvPicPr/>
                        </pic:nvPicPr>
                        <pic:blipFill>
                          <a:blip r:embed="rId6">
                            <a:extLst>
                              <a:ext uri="{28A0092B-C50C-407E-A947-70E740481C1C}">
                                <a14:useLocalDpi xmlns:a14="http://schemas.microsoft.com/office/drawing/2010/main" val="0"/>
                              </a:ext>
                            </a:extLst>
                          </a:blip>
                          <a:stretch>
                            <a:fillRect/>
                          </a:stretch>
                        </pic:blipFill>
                        <pic:spPr>
                          <a:xfrm>
                            <a:off x="0" y="0"/>
                            <a:ext cx="3472847" cy="2604636"/>
                          </a:xfrm>
                          <a:prstGeom prst="rect">
                            <a:avLst/>
                          </a:prstGeom>
                        </pic:spPr>
                      </pic:pic>
                    </a:graphicData>
                  </a:graphic>
                </wp:inline>
              </w:drawing>
            </w:r>
          </w:p>
        </w:tc>
      </w:tr>
      <w:tr w:rsidR="00633A3C" w:rsidTr="00633A3C">
        <w:tc>
          <w:tcPr>
            <w:tcW w:w="5580" w:type="dxa"/>
            <w:shd w:val="clear" w:color="auto" w:fill="FBE4D5" w:themeFill="accent2" w:themeFillTint="33"/>
          </w:tcPr>
          <w:p w:rsidR="00633A3C" w:rsidRPr="00633A3C" w:rsidRDefault="00633A3C" w:rsidP="00633A3C">
            <w:pPr>
              <w:spacing w:line="276" w:lineRule="auto"/>
              <w:jc w:val="center"/>
              <w:rPr>
                <w:b/>
                <w:lang w:val="en-US"/>
              </w:rPr>
            </w:pPr>
            <w:r w:rsidRPr="00633A3C">
              <w:rPr>
                <w:b/>
                <w:lang w:val="en-US"/>
              </w:rPr>
              <w:t>MCS16</w:t>
            </w:r>
          </w:p>
        </w:tc>
        <w:tc>
          <w:tcPr>
            <w:tcW w:w="5400" w:type="dxa"/>
            <w:shd w:val="clear" w:color="auto" w:fill="FBE4D5" w:themeFill="accent2" w:themeFillTint="33"/>
          </w:tcPr>
          <w:p w:rsidR="00633A3C" w:rsidRPr="00633A3C" w:rsidRDefault="00633A3C" w:rsidP="00633A3C">
            <w:pPr>
              <w:spacing w:line="276" w:lineRule="auto"/>
              <w:jc w:val="center"/>
              <w:rPr>
                <w:b/>
                <w:lang w:val="en-US"/>
              </w:rPr>
            </w:pPr>
            <w:r w:rsidRPr="00633A3C">
              <w:rPr>
                <w:b/>
                <w:lang w:val="en-US"/>
              </w:rPr>
              <w:t>MCS16</w:t>
            </w:r>
          </w:p>
        </w:tc>
      </w:tr>
      <w:tr w:rsidR="00633A3C" w:rsidTr="00633A3C">
        <w:tc>
          <w:tcPr>
            <w:tcW w:w="5580" w:type="dxa"/>
          </w:tcPr>
          <w:p w:rsidR="00633A3C" w:rsidRPr="00633A3C" w:rsidRDefault="00633A3C" w:rsidP="00E32EA5">
            <w:pPr>
              <w:spacing w:line="276" w:lineRule="auto"/>
              <w:rPr>
                <w:lang w:val="en-US"/>
              </w:rPr>
            </w:pPr>
            <w:r>
              <w:rPr>
                <w:noProof/>
                <w:lang w:val="en-US"/>
              </w:rPr>
              <w:drawing>
                <wp:inline distT="0" distB="0" distL="0" distR="0">
                  <wp:extent cx="3435178" cy="25763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cs16_largeDmin.png"/>
                          <pic:cNvPicPr/>
                        </pic:nvPicPr>
                        <pic:blipFill>
                          <a:blip r:embed="rId7">
                            <a:extLst>
                              <a:ext uri="{28A0092B-C50C-407E-A947-70E740481C1C}">
                                <a14:useLocalDpi xmlns:a14="http://schemas.microsoft.com/office/drawing/2010/main" val="0"/>
                              </a:ext>
                            </a:extLst>
                          </a:blip>
                          <a:stretch>
                            <a:fillRect/>
                          </a:stretch>
                        </pic:blipFill>
                        <pic:spPr>
                          <a:xfrm>
                            <a:off x="0" y="0"/>
                            <a:ext cx="3452227" cy="2589171"/>
                          </a:xfrm>
                          <a:prstGeom prst="rect">
                            <a:avLst/>
                          </a:prstGeom>
                        </pic:spPr>
                      </pic:pic>
                    </a:graphicData>
                  </a:graphic>
                </wp:inline>
              </w:drawing>
            </w:r>
          </w:p>
        </w:tc>
        <w:tc>
          <w:tcPr>
            <w:tcW w:w="5400" w:type="dxa"/>
          </w:tcPr>
          <w:p w:rsidR="00633A3C" w:rsidRPr="00633A3C" w:rsidRDefault="00633A3C" w:rsidP="00E32EA5">
            <w:pPr>
              <w:spacing w:line="276" w:lineRule="auto"/>
              <w:rPr>
                <w:lang w:val="en-US"/>
              </w:rPr>
            </w:pPr>
            <w:r>
              <w:rPr>
                <w:noProof/>
                <w:lang w:val="en-US"/>
              </w:rPr>
              <w:drawing>
                <wp:inline distT="0" distB="0" distL="0" distR="0">
                  <wp:extent cx="3494925" cy="2621194"/>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cs16_smallDmin.png"/>
                          <pic:cNvPicPr/>
                        </pic:nvPicPr>
                        <pic:blipFill>
                          <a:blip r:embed="rId8">
                            <a:extLst>
                              <a:ext uri="{28A0092B-C50C-407E-A947-70E740481C1C}">
                                <a14:useLocalDpi xmlns:a14="http://schemas.microsoft.com/office/drawing/2010/main" val="0"/>
                              </a:ext>
                            </a:extLst>
                          </a:blip>
                          <a:stretch>
                            <a:fillRect/>
                          </a:stretch>
                        </pic:blipFill>
                        <pic:spPr>
                          <a:xfrm>
                            <a:off x="0" y="0"/>
                            <a:ext cx="3571845" cy="2678884"/>
                          </a:xfrm>
                          <a:prstGeom prst="rect">
                            <a:avLst/>
                          </a:prstGeom>
                        </pic:spPr>
                      </pic:pic>
                    </a:graphicData>
                  </a:graphic>
                </wp:inline>
              </w:drawing>
            </w:r>
          </w:p>
        </w:tc>
      </w:tr>
    </w:tbl>
    <w:p w:rsidR="00633A3C" w:rsidRDefault="00633A3C" w:rsidP="00E32EA5">
      <w:pPr>
        <w:spacing w:line="276" w:lineRule="auto"/>
        <w:rPr>
          <w:b/>
          <w:u w:val="single"/>
          <w:lang w:val="en-US"/>
        </w:rPr>
      </w:pPr>
    </w:p>
    <w:p w:rsidR="00633A3C" w:rsidRPr="001C4E6A" w:rsidRDefault="00E8557E" w:rsidP="00E32EA5">
      <w:pPr>
        <w:spacing w:line="276" w:lineRule="auto"/>
        <w:rPr>
          <w:b/>
          <w:lang w:val="en-US"/>
        </w:rPr>
      </w:pPr>
      <w:r>
        <w:rPr>
          <w:b/>
          <w:lang w:val="en-US"/>
        </w:rPr>
        <w:t>Figure 2</w:t>
      </w:r>
      <w:r w:rsidR="001C4E6A" w:rsidRPr="001C4E6A">
        <w:rPr>
          <w:b/>
          <w:lang w:val="en-US"/>
        </w:rPr>
        <w:t xml:space="preserve">. Performance of modified legacy receiver in large and small </w:t>
      </w:r>
      <w:proofErr w:type="spellStart"/>
      <w:r w:rsidR="001C4E6A" w:rsidRPr="001C4E6A">
        <w:rPr>
          <w:b/>
          <w:lang w:val="en-US"/>
        </w:rPr>
        <w:t>Dmin</w:t>
      </w:r>
      <w:proofErr w:type="spellEnd"/>
      <w:r w:rsidR="001C4E6A" w:rsidRPr="001C4E6A">
        <w:rPr>
          <w:b/>
          <w:lang w:val="en-US"/>
        </w:rPr>
        <w:t xml:space="preserve"> scenarios, with </w:t>
      </w:r>
      <w:proofErr w:type="spellStart"/>
      <w:proofErr w:type="gramStart"/>
      <w:r w:rsidR="001C4E6A" w:rsidRPr="001C4E6A">
        <w:rPr>
          <w:b/>
          <w:lang w:val="en-US"/>
        </w:rPr>
        <w:t>fd</w:t>
      </w:r>
      <w:proofErr w:type="spellEnd"/>
      <w:proofErr w:type="gramEnd"/>
      <w:r w:rsidR="001C4E6A" w:rsidRPr="001C4E6A">
        <w:rPr>
          <w:b/>
          <w:lang w:val="en-US"/>
        </w:rPr>
        <w:t xml:space="preserve"> = 875Hz</w:t>
      </w:r>
    </w:p>
    <w:p w:rsidR="00E8557E" w:rsidRDefault="00E8557E" w:rsidP="00E8557E">
      <w:pPr>
        <w:spacing w:line="276" w:lineRule="auto"/>
        <w:rPr>
          <w:rFonts w:cs="Arial"/>
          <w:snapToGrid w:val="0"/>
          <w:szCs w:val="18"/>
        </w:rPr>
      </w:pPr>
      <w:r>
        <w:rPr>
          <w:rFonts w:cs="Arial"/>
          <w:snapToGrid w:val="0"/>
          <w:szCs w:val="18"/>
        </w:rPr>
        <w:t xml:space="preserve">In this contribution, we evaluate demodulation performance of </w:t>
      </w:r>
      <w:r w:rsidR="005D156B">
        <w:rPr>
          <w:rFonts w:cs="Arial"/>
          <w:snapToGrid w:val="0"/>
          <w:szCs w:val="18"/>
        </w:rPr>
        <w:t xml:space="preserve">the </w:t>
      </w:r>
      <w:r>
        <w:rPr>
          <w:rFonts w:cs="Arial"/>
          <w:snapToGrid w:val="0"/>
          <w:szCs w:val="18"/>
        </w:rPr>
        <w:t xml:space="preserve">modified legacy UE. </w:t>
      </w:r>
      <w:r>
        <w:rPr>
          <w:lang w:val="en-US"/>
        </w:rPr>
        <w:t xml:space="preserve">The modified legacy UE has an improved channel estimation for high Doppler channel compared to the legacy UE. </w:t>
      </w:r>
      <w:r w:rsidR="005D156B">
        <w:rPr>
          <w:lang w:val="en-US"/>
        </w:rPr>
        <w:t>Evaluation is done under both</w:t>
      </w:r>
      <w:r w:rsidR="005D156B">
        <w:rPr>
          <w:rFonts w:cs="Arial"/>
          <w:snapToGrid w:val="0"/>
          <w:szCs w:val="18"/>
        </w:rPr>
        <w:t xml:space="preserve"> Options 1 and 2 for UE start and end location</w:t>
      </w:r>
      <w:r>
        <w:rPr>
          <w:rFonts w:cs="Arial"/>
          <w:snapToGrid w:val="0"/>
          <w:szCs w:val="18"/>
        </w:rPr>
        <w:t xml:space="preserve">. </w:t>
      </w:r>
      <w:r w:rsidR="005D156B">
        <w:rPr>
          <w:rFonts w:cs="Arial"/>
          <w:snapToGrid w:val="0"/>
          <w:szCs w:val="18"/>
        </w:rPr>
        <w:t xml:space="preserve">Evaluation considers </w:t>
      </w:r>
      <w:proofErr w:type="spellStart"/>
      <w:proofErr w:type="gramStart"/>
      <w:r w:rsidR="005D156B">
        <w:rPr>
          <w:rFonts w:cs="Arial"/>
          <w:snapToGrid w:val="0"/>
          <w:szCs w:val="18"/>
        </w:rPr>
        <w:t>fd</w:t>
      </w:r>
      <w:proofErr w:type="spellEnd"/>
      <w:proofErr w:type="gramEnd"/>
      <w:r w:rsidR="005D156B">
        <w:rPr>
          <w:rFonts w:cs="Arial"/>
          <w:snapToGrid w:val="0"/>
          <w:szCs w:val="18"/>
        </w:rPr>
        <w:t xml:space="preserve"> = 875Hz. </w:t>
      </w:r>
      <w:proofErr w:type="spellStart"/>
      <w:r>
        <w:rPr>
          <w:rFonts w:cs="Arial"/>
          <w:snapToGrid w:val="0"/>
          <w:szCs w:val="18"/>
        </w:rPr>
        <w:t>Demod</w:t>
      </w:r>
      <w:proofErr w:type="spellEnd"/>
      <w:r>
        <w:rPr>
          <w:rFonts w:cs="Arial"/>
          <w:snapToGrid w:val="0"/>
          <w:szCs w:val="18"/>
        </w:rPr>
        <w:t xml:space="preserve"> performance is evaluated </w:t>
      </w:r>
      <w:r w:rsidR="005D156B">
        <w:rPr>
          <w:rFonts w:cs="Arial"/>
          <w:snapToGrid w:val="0"/>
          <w:szCs w:val="18"/>
        </w:rPr>
        <w:t xml:space="preserve">for MCS5 and MCS16. </w:t>
      </w:r>
      <w:r>
        <w:rPr>
          <w:rFonts w:cs="Arial"/>
          <w:snapToGrid w:val="0"/>
          <w:szCs w:val="18"/>
        </w:rPr>
        <w:t>Results are shown in Figure 2</w:t>
      </w:r>
      <w:r w:rsidR="005D156B">
        <w:rPr>
          <w:rFonts w:cs="Arial"/>
          <w:snapToGrid w:val="0"/>
          <w:szCs w:val="18"/>
        </w:rPr>
        <w:t xml:space="preserve">. </w:t>
      </w:r>
      <w:r w:rsidR="005D156B">
        <w:rPr>
          <w:rFonts w:cs="Arial"/>
          <w:snapToGrid w:val="0"/>
          <w:szCs w:val="18"/>
        </w:rPr>
        <w:t xml:space="preserve">As baseline SFN channel with </w:t>
      </w:r>
      <w:proofErr w:type="spellStart"/>
      <w:proofErr w:type="gramStart"/>
      <w:r w:rsidR="005D156B">
        <w:rPr>
          <w:rFonts w:cs="Arial"/>
          <w:snapToGrid w:val="0"/>
          <w:szCs w:val="18"/>
        </w:rPr>
        <w:t>fd</w:t>
      </w:r>
      <w:proofErr w:type="spellEnd"/>
      <w:proofErr w:type="gramEnd"/>
      <w:r w:rsidR="005D156B">
        <w:rPr>
          <w:rFonts w:cs="Arial"/>
          <w:snapToGrid w:val="0"/>
          <w:szCs w:val="18"/>
        </w:rPr>
        <w:t xml:space="preserve"> = 75Hz is al</w:t>
      </w:r>
      <w:r w:rsidR="005D156B">
        <w:rPr>
          <w:rFonts w:cs="Arial"/>
          <w:snapToGrid w:val="0"/>
          <w:szCs w:val="18"/>
        </w:rPr>
        <w:t>so plotted in Figure 2.</w:t>
      </w:r>
    </w:p>
    <w:p w:rsidR="005D156B" w:rsidRDefault="005D156B" w:rsidP="00E8557E">
      <w:pPr>
        <w:spacing w:line="276" w:lineRule="auto"/>
        <w:rPr>
          <w:rFonts w:cs="Arial"/>
          <w:snapToGrid w:val="0"/>
          <w:szCs w:val="18"/>
        </w:rPr>
      </w:pPr>
      <w:r>
        <w:rPr>
          <w:rFonts w:cs="Arial"/>
          <w:snapToGrid w:val="0"/>
          <w:szCs w:val="18"/>
        </w:rPr>
        <w:t>Based on the results, we make the following observations</w:t>
      </w:r>
      <w:r w:rsidR="00E3021F">
        <w:rPr>
          <w:rFonts w:cs="Arial"/>
          <w:snapToGrid w:val="0"/>
          <w:szCs w:val="18"/>
        </w:rPr>
        <w:t xml:space="preserve"> and proposals.</w:t>
      </w:r>
    </w:p>
    <w:p w:rsidR="005D156B" w:rsidRDefault="005D156B" w:rsidP="00E8557E">
      <w:pPr>
        <w:spacing w:line="276" w:lineRule="auto"/>
        <w:rPr>
          <w:rFonts w:cs="Arial"/>
          <w:b/>
          <w:snapToGrid w:val="0"/>
          <w:szCs w:val="18"/>
        </w:rPr>
      </w:pPr>
      <w:r w:rsidRPr="005D156B">
        <w:rPr>
          <w:rFonts w:cs="Arial"/>
          <w:b/>
          <w:snapToGrid w:val="0"/>
          <w:szCs w:val="18"/>
        </w:rPr>
        <w:lastRenderedPageBreak/>
        <w:t>Observation 1:</w:t>
      </w:r>
      <w:r>
        <w:rPr>
          <w:rFonts w:cs="Arial"/>
          <w:b/>
          <w:snapToGrid w:val="0"/>
          <w:szCs w:val="18"/>
        </w:rPr>
        <w:t xml:space="preserve"> Performance of modified legacy UE is very si</w:t>
      </w:r>
      <w:r w:rsidR="002130C2">
        <w:rPr>
          <w:rFonts w:cs="Arial"/>
          <w:b/>
          <w:snapToGrid w:val="0"/>
          <w:szCs w:val="18"/>
        </w:rPr>
        <w:t xml:space="preserve">milar in Option1 and 2, both in large and small </w:t>
      </w:r>
      <w:proofErr w:type="spellStart"/>
      <w:r w:rsidR="002130C2">
        <w:rPr>
          <w:rFonts w:cs="Arial"/>
          <w:b/>
          <w:snapToGrid w:val="0"/>
          <w:szCs w:val="18"/>
        </w:rPr>
        <w:t>Dmin</w:t>
      </w:r>
      <w:proofErr w:type="spellEnd"/>
      <w:r w:rsidR="002130C2">
        <w:rPr>
          <w:rFonts w:cs="Arial"/>
          <w:b/>
          <w:snapToGrid w:val="0"/>
          <w:szCs w:val="18"/>
        </w:rPr>
        <w:t xml:space="preserve"> scenarios.</w:t>
      </w:r>
    </w:p>
    <w:p w:rsidR="00E56926" w:rsidRDefault="00E56926" w:rsidP="00E56926">
      <w:pPr>
        <w:spacing w:line="276" w:lineRule="auto"/>
        <w:rPr>
          <w:rFonts w:cs="Arial"/>
          <w:b/>
          <w:snapToGrid w:val="0"/>
          <w:szCs w:val="18"/>
        </w:rPr>
      </w:pPr>
      <w:r>
        <w:rPr>
          <w:rFonts w:cs="Arial"/>
          <w:b/>
          <w:snapToGrid w:val="0"/>
          <w:szCs w:val="18"/>
        </w:rPr>
        <w:t>Observation 2: For MCS5, performance degradation in SFN875 compared to baseline SFN75Hz channel is minimal. For MCS 16, some performance loss is observed in SFN875 channel compared to baseline SFN</w:t>
      </w:r>
      <w:r>
        <w:rPr>
          <w:rFonts w:cs="Arial"/>
          <w:b/>
          <w:snapToGrid w:val="0"/>
          <w:szCs w:val="18"/>
        </w:rPr>
        <w:t>75Hz.</w:t>
      </w:r>
    </w:p>
    <w:p w:rsidR="00E3021F" w:rsidRDefault="00E3021F" w:rsidP="00E8557E">
      <w:pPr>
        <w:spacing w:line="276" w:lineRule="auto"/>
        <w:rPr>
          <w:rFonts w:cs="Arial"/>
          <w:b/>
          <w:snapToGrid w:val="0"/>
          <w:szCs w:val="18"/>
        </w:rPr>
      </w:pPr>
      <w:r>
        <w:rPr>
          <w:rFonts w:cs="Arial"/>
          <w:b/>
          <w:snapToGrid w:val="0"/>
          <w:szCs w:val="18"/>
        </w:rPr>
        <w:t>Proposal 1</w:t>
      </w:r>
      <w:r w:rsidR="00E56926">
        <w:rPr>
          <w:rFonts w:cs="Arial"/>
          <w:b/>
          <w:snapToGrid w:val="0"/>
          <w:szCs w:val="18"/>
        </w:rPr>
        <w:t>: Either of options, Option1 or 2 can be used for specifying UE start and end location, as both of them capture the degradation in performance at very high SFN Doppler values.</w:t>
      </w:r>
    </w:p>
    <w:p w:rsidR="000D3298" w:rsidRDefault="002130C2" w:rsidP="00E8557E">
      <w:pPr>
        <w:spacing w:line="276" w:lineRule="auto"/>
        <w:rPr>
          <w:rFonts w:cs="Arial"/>
          <w:snapToGrid w:val="0"/>
          <w:szCs w:val="18"/>
        </w:rPr>
      </w:pPr>
      <w:r w:rsidRPr="002130C2">
        <w:rPr>
          <w:rFonts w:cs="Arial"/>
          <w:snapToGrid w:val="0"/>
          <w:szCs w:val="18"/>
        </w:rPr>
        <w:t>We further investigate the source of the loss in performance in SFN875Hz channel</w:t>
      </w:r>
      <w:r>
        <w:rPr>
          <w:rFonts w:cs="Arial"/>
          <w:snapToGrid w:val="0"/>
          <w:szCs w:val="18"/>
        </w:rPr>
        <w:t>. In Figure 3, we plot BLER as a function of time considering Option 1 for UE start and end location, when MCS16 is scheduled. As we can clearly see, most of the degradation</w:t>
      </w:r>
      <w:r w:rsidR="00E3021F">
        <w:rPr>
          <w:rFonts w:cs="Arial"/>
          <w:snapToGrid w:val="0"/>
          <w:szCs w:val="18"/>
        </w:rPr>
        <w:t xml:space="preserve"> is closer </w:t>
      </w:r>
      <w:r>
        <w:rPr>
          <w:rFonts w:cs="Arial"/>
          <w:snapToGrid w:val="0"/>
          <w:szCs w:val="18"/>
        </w:rPr>
        <w:t>to the middl</w:t>
      </w:r>
      <w:r w:rsidR="00E3021F">
        <w:rPr>
          <w:rFonts w:cs="Arial"/>
          <w:snapToGrid w:val="0"/>
          <w:szCs w:val="18"/>
        </w:rPr>
        <w:t xml:space="preserve">e of the repeater locations (middle of RRH1 and RRH2, middle of RRH2 and RRH3, and middle of RRH3 and RRH4). </w:t>
      </w:r>
    </w:p>
    <w:p w:rsidR="000D3298" w:rsidRPr="000D3298" w:rsidRDefault="000D3298" w:rsidP="00E8557E">
      <w:pPr>
        <w:spacing w:line="276" w:lineRule="auto"/>
        <w:rPr>
          <w:rFonts w:cs="Arial"/>
          <w:b/>
          <w:snapToGrid w:val="0"/>
          <w:szCs w:val="18"/>
        </w:rPr>
      </w:pPr>
      <w:r w:rsidRPr="000D3298">
        <w:rPr>
          <w:rFonts w:cs="Arial"/>
          <w:b/>
          <w:snapToGrid w:val="0"/>
          <w:szCs w:val="18"/>
        </w:rPr>
        <w:t>Observation 3:</w:t>
      </w:r>
      <w:r>
        <w:rPr>
          <w:rFonts w:cs="Arial"/>
          <w:b/>
          <w:snapToGrid w:val="0"/>
          <w:szCs w:val="18"/>
        </w:rPr>
        <w:t xml:space="preserve"> Degradation in performance for higher MCS values in multi RRH HST SFN875 channel is closer to the middle of two repeaters.</w:t>
      </w:r>
    </w:p>
    <w:p w:rsidR="002130C2" w:rsidRDefault="000D3298" w:rsidP="00E8557E">
      <w:pPr>
        <w:spacing w:line="276" w:lineRule="auto"/>
        <w:rPr>
          <w:rFonts w:cs="Arial"/>
          <w:snapToGrid w:val="0"/>
          <w:szCs w:val="18"/>
        </w:rPr>
      </w:pPr>
      <w:r>
        <w:rPr>
          <w:rFonts w:cs="Arial"/>
          <w:snapToGrid w:val="0"/>
          <w:szCs w:val="18"/>
        </w:rPr>
        <w:t>Observation 3</w:t>
      </w:r>
      <w:r w:rsidR="00E3021F">
        <w:rPr>
          <w:rFonts w:cs="Arial"/>
          <w:snapToGrid w:val="0"/>
          <w:szCs w:val="18"/>
        </w:rPr>
        <w:t xml:space="preserve"> is expected since closer to the middle of the repeaters, UE sees at least two equally strong paths with opposite Doppler values</w:t>
      </w:r>
      <w:r w:rsidR="00E56926">
        <w:rPr>
          <w:rFonts w:cs="Arial"/>
          <w:snapToGrid w:val="0"/>
          <w:szCs w:val="18"/>
        </w:rPr>
        <w:t xml:space="preserve"> and has a challenge in estimating/interpolating the channel</w:t>
      </w:r>
      <w:r w:rsidR="00E3021F">
        <w:rPr>
          <w:rFonts w:cs="Arial"/>
          <w:snapToGrid w:val="0"/>
          <w:szCs w:val="18"/>
        </w:rPr>
        <w:t xml:space="preserve">. As we had pointed out in </w:t>
      </w:r>
      <w:r w:rsidR="00E56926">
        <w:rPr>
          <w:rFonts w:cs="Arial"/>
          <w:snapToGrid w:val="0"/>
          <w:szCs w:val="18"/>
        </w:rPr>
        <w:t xml:space="preserve">our earlier contribution </w:t>
      </w:r>
      <w:r w:rsidR="00E3021F">
        <w:rPr>
          <w:rFonts w:cs="Arial"/>
          <w:snapToGrid w:val="0"/>
          <w:szCs w:val="18"/>
        </w:rPr>
        <w:t>[</w:t>
      </w:r>
      <w:r w:rsidR="00E56926">
        <w:rPr>
          <w:rFonts w:cs="Arial"/>
          <w:snapToGrid w:val="0"/>
          <w:szCs w:val="18"/>
        </w:rPr>
        <w:t>6</w:t>
      </w:r>
      <w:r w:rsidR="00E3021F">
        <w:rPr>
          <w:rFonts w:cs="Arial"/>
          <w:snapToGrid w:val="0"/>
          <w:szCs w:val="18"/>
        </w:rPr>
        <w:t>]</w:t>
      </w:r>
      <w:r w:rsidR="00E56926">
        <w:rPr>
          <w:rFonts w:cs="Arial"/>
          <w:snapToGrid w:val="0"/>
          <w:szCs w:val="18"/>
        </w:rPr>
        <w:t>, in the middle of the repeaters, the power received at the UE is significantly lower compared to the power it receives closer to the repeater. Consequently, network will schedule lower MCS based on CQI feedback and outer loop. Hence, degradation in the middle of the repeaters for higher MCS values should be less cause of worry in realistic deployment</w:t>
      </w:r>
      <w:r>
        <w:rPr>
          <w:rFonts w:cs="Arial"/>
          <w:snapToGrid w:val="0"/>
          <w:szCs w:val="18"/>
        </w:rPr>
        <w:t>.</w:t>
      </w:r>
      <w:r w:rsidR="002130C2">
        <w:rPr>
          <w:rFonts w:cs="Arial"/>
          <w:noProof/>
          <w:szCs w:val="18"/>
          <w:lang w:val="en-US"/>
        </w:rPr>
        <w:drawing>
          <wp:inline distT="0" distB="0" distL="0" distR="0">
            <wp:extent cx="5333333" cy="4000000"/>
            <wp:effectExtent l="0" t="0" r="127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ler.png"/>
                    <pic:cNvPicPr/>
                  </pic:nvPicPr>
                  <pic:blipFill>
                    <a:blip r:embed="rId9">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rsidR="002130C2" w:rsidRPr="005D156B" w:rsidRDefault="002130C2" w:rsidP="00E3021F">
      <w:pPr>
        <w:spacing w:line="276" w:lineRule="auto"/>
        <w:jc w:val="center"/>
        <w:rPr>
          <w:rFonts w:cs="Arial"/>
          <w:b/>
          <w:snapToGrid w:val="0"/>
          <w:szCs w:val="18"/>
        </w:rPr>
      </w:pPr>
      <w:r w:rsidRPr="002130C2">
        <w:rPr>
          <w:rFonts w:cs="Arial"/>
          <w:b/>
          <w:snapToGrid w:val="0"/>
          <w:szCs w:val="18"/>
        </w:rPr>
        <w:t>Figure 3. BLER as a function of time</w:t>
      </w:r>
      <w:r w:rsidR="00E3021F">
        <w:rPr>
          <w:rFonts w:cs="Arial"/>
          <w:b/>
          <w:snapToGrid w:val="0"/>
          <w:szCs w:val="18"/>
        </w:rPr>
        <w:t xml:space="preserve"> for Ds = 1000m and </w:t>
      </w:r>
      <w:proofErr w:type="spellStart"/>
      <w:r w:rsidR="00E3021F">
        <w:rPr>
          <w:rFonts w:cs="Arial"/>
          <w:b/>
          <w:snapToGrid w:val="0"/>
          <w:szCs w:val="18"/>
        </w:rPr>
        <w:t>Dmin</w:t>
      </w:r>
      <w:proofErr w:type="spellEnd"/>
      <w:r w:rsidR="00E3021F">
        <w:rPr>
          <w:rFonts w:cs="Arial"/>
          <w:b/>
          <w:snapToGrid w:val="0"/>
          <w:szCs w:val="18"/>
        </w:rPr>
        <w:t xml:space="preserve"> = 300m. UE start and end location both correspond to the middle of some two RRHs.</w:t>
      </w:r>
    </w:p>
    <w:p w:rsidR="00E8557E" w:rsidRDefault="00E8557E" w:rsidP="00E32EA5">
      <w:pPr>
        <w:spacing w:line="276" w:lineRule="auto"/>
        <w:rPr>
          <w:b/>
          <w:u w:val="single"/>
          <w:lang w:val="en-US"/>
        </w:rPr>
      </w:pPr>
    </w:p>
    <w:p w:rsidR="000D3298" w:rsidRDefault="000D3298" w:rsidP="0040252B">
      <w:pPr>
        <w:spacing w:line="276" w:lineRule="auto"/>
        <w:rPr>
          <w:b/>
          <w:lang w:val="en-US"/>
        </w:rPr>
      </w:pPr>
    </w:p>
    <w:p w:rsidR="000D3298" w:rsidRPr="000D3298" w:rsidRDefault="000D3298" w:rsidP="0040252B">
      <w:pPr>
        <w:spacing w:line="276" w:lineRule="auto"/>
        <w:rPr>
          <w:lang w:val="en-US"/>
        </w:rPr>
      </w:pPr>
      <w:r w:rsidRPr="000D3298">
        <w:rPr>
          <w:lang w:val="en-US"/>
        </w:rPr>
        <w:t>Since most of the degradation is essentially closer to the middle of the repeaters, it is important to consider typical SNRs observed by the UE closer to the middle of the repeaters</w:t>
      </w:r>
      <w:r w:rsidR="00BA1F8F">
        <w:rPr>
          <w:lang w:val="en-US"/>
        </w:rPr>
        <w:t xml:space="preserve"> prior to making a decision on what kind of MCS needs to be used for testing UE </w:t>
      </w:r>
      <w:proofErr w:type="spellStart"/>
      <w:r w:rsidR="00BA1F8F">
        <w:rPr>
          <w:lang w:val="en-US"/>
        </w:rPr>
        <w:t>demod</w:t>
      </w:r>
      <w:proofErr w:type="spellEnd"/>
      <w:r w:rsidR="00BA1F8F">
        <w:rPr>
          <w:lang w:val="en-US"/>
        </w:rPr>
        <w:t xml:space="preserve"> performance</w:t>
      </w:r>
      <w:r w:rsidRPr="000D3298">
        <w:rPr>
          <w:lang w:val="en-US"/>
        </w:rPr>
        <w:t>.</w:t>
      </w:r>
      <w:r>
        <w:rPr>
          <w:lang w:val="en-US"/>
        </w:rPr>
        <w:t xml:space="preserve"> Input from network operators based on measurements from real deployments will be very useful. In any case, it is reasonable to assume that the SNR is going to low, low enough that very high MCS values cannot be scheduled closer to the middle of the repeaters. Hence we have the following proposal.</w:t>
      </w:r>
    </w:p>
    <w:p w:rsidR="00373B71" w:rsidRDefault="000D3298" w:rsidP="0040252B">
      <w:pPr>
        <w:spacing w:line="276" w:lineRule="auto"/>
        <w:rPr>
          <w:b/>
          <w:lang w:val="en-US"/>
        </w:rPr>
      </w:pPr>
      <w:r>
        <w:rPr>
          <w:b/>
          <w:lang w:val="en-US"/>
        </w:rPr>
        <w:t>Proposal 2</w:t>
      </w:r>
      <w:r w:rsidR="00E32EA5">
        <w:rPr>
          <w:lang w:val="en-US"/>
        </w:rPr>
        <w:t xml:space="preserve">: </w:t>
      </w:r>
      <w:r w:rsidR="00E32EA5" w:rsidRPr="00E32EA5">
        <w:rPr>
          <w:b/>
          <w:lang w:val="en-US"/>
        </w:rPr>
        <w:t>A low MCS value should be used to test UE’s performance in SFN channel</w:t>
      </w:r>
      <w:r>
        <w:rPr>
          <w:b/>
          <w:lang w:val="en-US"/>
        </w:rPr>
        <w:t>. W</w:t>
      </w:r>
      <w:r w:rsidR="002816DB">
        <w:rPr>
          <w:b/>
          <w:lang w:val="en-US"/>
        </w:rPr>
        <w:t xml:space="preserve">e propose that </w:t>
      </w:r>
      <w:r>
        <w:rPr>
          <w:b/>
          <w:lang w:val="en-US"/>
        </w:rPr>
        <w:t xml:space="preserve">no more than </w:t>
      </w:r>
      <w:r w:rsidR="002816DB">
        <w:rPr>
          <w:b/>
          <w:lang w:val="en-US"/>
        </w:rPr>
        <w:t>MCS 16</w:t>
      </w:r>
      <w:r w:rsidR="00E32EA5" w:rsidRPr="00E32EA5">
        <w:rPr>
          <w:b/>
          <w:lang w:val="en-US"/>
        </w:rPr>
        <w:t xml:space="preserve"> should be used for testing reference receiver</w:t>
      </w:r>
      <w:r w:rsidR="00E32EA5">
        <w:rPr>
          <w:b/>
          <w:lang w:val="en-US"/>
        </w:rPr>
        <w:t>’s UE demodulation performance</w:t>
      </w:r>
      <w:r w:rsidR="00E32EA5" w:rsidRPr="00E32EA5">
        <w:rPr>
          <w:b/>
          <w:lang w:val="en-US"/>
        </w:rPr>
        <w:t>.</w:t>
      </w:r>
    </w:p>
    <w:p w:rsidR="00E8557E" w:rsidRDefault="00E8557E" w:rsidP="00E8557E">
      <w:pPr>
        <w:pStyle w:val="Heading1"/>
        <w:spacing w:line="276" w:lineRule="auto"/>
        <w:rPr>
          <w:rFonts w:cs="Arial"/>
          <w:lang w:val="en-US"/>
        </w:rPr>
      </w:pPr>
      <w:r w:rsidRPr="00C14255">
        <w:rPr>
          <w:rFonts w:cs="Arial"/>
          <w:lang w:val="en-US"/>
        </w:rPr>
        <w:t>Conclusion</w:t>
      </w:r>
    </w:p>
    <w:p w:rsidR="00E8557E" w:rsidRDefault="00E8557E" w:rsidP="00E8557E">
      <w:pPr>
        <w:spacing w:line="276" w:lineRule="auto"/>
        <w:rPr>
          <w:lang w:val="en-US"/>
        </w:rPr>
      </w:pPr>
      <w:r>
        <w:rPr>
          <w:lang w:val="en-US"/>
        </w:rPr>
        <w:t>In this contribution, we make the following observations</w:t>
      </w:r>
      <w:r w:rsidR="000D3298">
        <w:rPr>
          <w:lang w:val="en-US"/>
        </w:rPr>
        <w:t xml:space="preserve"> and proposals</w:t>
      </w:r>
    </w:p>
    <w:p w:rsidR="000D3298" w:rsidRDefault="000D3298" w:rsidP="000D3298">
      <w:pPr>
        <w:spacing w:line="276" w:lineRule="auto"/>
        <w:rPr>
          <w:rFonts w:cs="Arial"/>
          <w:b/>
          <w:snapToGrid w:val="0"/>
          <w:szCs w:val="18"/>
        </w:rPr>
      </w:pPr>
      <w:r w:rsidRPr="005D156B">
        <w:rPr>
          <w:rFonts w:cs="Arial"/>
          <w:b/>
          <w:snapToGrid w:val="0"/>
          <w:szCs w:val="18"/>
        </w:rPr>
        <w:t>Observation 1:</w:t>
      </w:r>
      <w:r>
        <w:rPr>
          <w:rFonts w:cs="Arial"/>
          <w:b/>
          <w:snapToGrid w:val="0"/>
          <w:szCs w:val="18"/>
        </w:rPr>
        <w:t xml:space="preserve"> Performance of modified legacy UE is very similar in Option1 and 2, both in large and small </w:t>
      </w:r>
      <w:proofErr w:type="spellStart"/>
      <w:r>
        <w:rPr>
          <w:rFonts w:cs="Arial"/>
          <w:b/>
          <w:snapToGrid w:val="0"/>
          <w:szCs w:val="18"/>
        </w:rPr>
        <w:t>Dmin</w:t>
      </w:r>
      <w:proofErr w:type="spellEnd"/>
      <w:r>
        <w:rPr>
          <w:rFonts w:cs="Arial"/>
          <w:b/>
          <w:snapToGrid w:val="0"/>
          <w:szCs w:val="18"/>
        </w:rPr>
        <w:t xml:space="preserve"> scenarios.</w:t>
      </w:r>
    </w:p>
    <w:p w:rsidR="000D3298" w:rsidRDefault="000D3298" w:rsidP="000D3298">
      <w:pPr>
        <w:spacing w:line="276" w:lineRule="auto"/>
        <w:rPr>
          <w:rFonts w:cs="Arial"/>
          <w:b/>
          <w:snapToGrid w:val="0"/>
          <w:szCs w:val="18"/>
        </w:rPr>
      </w:pPr>
      <w:r>
        <w:rPr>
          <w:rFonts w:cs="Arial"/>
          <w:b/>
          <w:snapToGrid w:val="0"/>
          <w:szCs w:val="18"/>
        </w:rPr>
        <w:t>Observation 2: For MCS5, performance degradation in SFN875 compared to baseline SFN75Hz channel is minimal. For MCS 16, some performance loss is observed in SFN875 channel compared to baseline SFN75Hz.</w:t>
      </w:r>
    </w:p>
    <w:p w:rsidR="000D3298" w:rsidRDefault="000D3298" w:rsidP="000D3298">
      <w:pPr>
        <w:spacing w:line="276" w:lineRule="auto"/>
        <w:rPr>
          <w:rFonts w:cs="Arial"/>
          <w:b/>
          <w:snapToGrid w:val="0"/>
          <w:szCs w:val="18"/>
        </w:rPr>
      </w:pPr>
      <w:r>
        <w:rPr>
          <w:rFonts w:cs="Arial"/>
          <w:b/>
          <w:snapToGrid w:val="0"/>
          <w:szCs w:val="18"/>
        </w:rPr>
        <w:t>Proposal 1: Either of options, Option1 or 2 can be used for specifying UE start and end location, as both of them capture the degradation in performance at very high SFN Doppler values.</w:t>
      </w:r>
    </w:p>
    <w:p w:rsidR="000D3298" w:rsidRDefault="000D3298" w:rsidP="000D3298">
      <w:pPr>
        <w:spacing w:line="276" w:lineRule="auto"/>
        <w:rPr>
          <w:b/>
          <w:lang w:val="en-US"/>
        </w:rPr>
      </w:pPr>
      <w:r>
        <w:rPr>
          <w:b/>
          <w:lang w:val="en-US"/>
        </w:rPr>
        <w:t>Proposal 2</w:t>
      </w:r>
      <w:r>
        <w:rPr>
          <w:lang w:val="en-US"/>
        </w:rPr>
        <w:t xml:space="preserve">: </w:t>
      </w:r>
      <w:r w:rsidRPr="00E32EA5">
        <w:rPr>
          <w:b/>
          <w:lang w:val="en-US"/>
        </w:rPr>
        <w:t>A low MCS value should be used to test UE’s performance in SFN channel</w:t>
      </w:r>
      <w:r>
        <w:rPr>
          <w:b/>
          <w:lang w:val="en-US"/>
        </w:rPr>
        <w:t>. We propose that no more than MCS 16</w:t>
      </w:r>
      <w:r w:rsidRPr="00E32EA5">
        <w:rPr>
          <w:b/>
          <w:lang w:val="en-US"/>
        </w:rPr>
        <w:t xml:space="preserve"> should be used for testing reference receiver</w:t>
      </w:r>
      <w:r>
        <w:rPr>
          <w:b/>
          <w:lang w:val="en-US"/>
        </w:rPr>
        <w:t>’s UE demodulation performance</w:t>
      </w:r>
      <w:r w:rsidRPr="00E32EA5">
        <w:rPr>
          <w:b/>
          <w:lang w:val="en-US"/>
        </w:rPr>
        <w:t>.</w:t>
      </w:r>
    </w:p>
    <w:p w:rsidR="00272A38" w:rsidRDefault="00272A38" w:rsidP="00272A38">
      <w:pPr>
        <w:keepNext/>
        <w:keepLines/>
        <w:pBdr>
          <w:top w:val="single" w:sz="12" w:space="3" w:color="auto"/>
        </w:pBdr>
        <w:tabs>
          <w:tab w:val="num" w:pos="432"/>
        </w:tabs>
        <w:spacing w:before="240" w:line="276" w:lineRule="auto"/>
        <w:ind w:left="432" w:hanging="432"/>
        <w:outlineLvl w:val="0"/>
        <w:rPr>
          <w:rFonts w:ascii="Arial" w:hAnsi="Arial"/>
          <w:sz w:val="36"/>
          <w:lang w:val="en-US"/>
        </w:rPr>
      </w:pPr>
      <w:r w:rsidRPr="00884F15">
        <w:rPr>
          <w:rFonts w:ascii="Arial" w:hAnsi="Arial"/>
          <w:sz w:val="36"/>
          <w:lang w:val="en-US"/>
        </w:rPr>
        <w:t>References</w:t>
      </w:r>
    </w:p>
    <w:p w:rsidR="00024473" w:rsidRDefault="00024473" w:rsidP="00024473">
      <w:pPr>
        <w:pStyle w:val="ListParagraph"/>
        <w:numPr>
          <w:ilvl w:val="0"/>
          <w:numId w:val="12"/>
        </w:numPr>
        <w:tabs>
          <w:tab w:val="left" w:pos="1985"/>
        </w:tabs>
        <w:spacing w:after="0" w:line="276" w:lineRule="auto"/>
        <w:jc w:val="both"/>
      </w:pPr>
      <w:r w:rsidRPr="008525F2">
        <w:t>R4-155201, “</w:t>
      </w:r>
      <w:r w:rsidRPr="008843AE">
        <w:t xml:space="preserve">Work plan for high speed WI”, NTT DOCOMO, INC., Huawei, </w:t>
      </w:r>
      <w:proofErr w:type="spellStart"/>
      <w:r w:rsidRPr="008843AE">
        <w:t>HiSilicon</w:t>
      </w:r>
      <w:proofErr w:type="spellEnd"/>
      <w:r w:rsidRPr="008843AE">
        <w:t>, TSG RAN#7</w:t>
      </w:r>
      <w:r>
        <w:t>8</w:t>
      </w:r>
    </w:p>
    <w:p w:rsidR="00E3021F" w:rsidRDefault="00E3021F" w:rsidP="00E3021F">
      <w:pPr>
        <w:pStyle w:val="ListParagraph"/>
        <w:tabs>
          <w:tab w:val="left" w:pos="1985"/>
        </w:tabs>
        <w:spacing w:after="0" w:line="276" w:lineRule="auto"/>
        <w:jc w:val="both"/>
      </w:pPr>
    </w:p>
    <w:p w:rsidR="000A3691" w:rsidRDefault="000A3691" w:rsidP="000A3691">
      <w:pPr>
        <w:pStyle w:val="ListParagraph"/>
        <w:numPr>
          <w:ilvl w:val="0"/>
          <w:numId w:val="12"/>
        </w:numPr>
        <w:tabs>
          <w:tab w:val="left" w:pos="1985"/>
        </w:tabs>
        <w:spacing w:after="0" w:line="276" w:lineRule="auto"/>
        <w:jc w:val="both"/>
      </w:pPr>
      <w:r>
        <w:t>R4-160992, “</w:t>
      </w:r>
      <w:r w:rsidRPr="000A3691">
        <w:t>UE demodulation performance in high speed scenarios in SFN deployment</w:t>
      </w:r>
      <w:r>
        <w:t xml:space="preserve">”, Qualcomm, TSG RAN4 #78, Malta, </w:t>
      </w:r>
      <w:r w:rsidR="00E3021F">
        <w:t>Feb</w:t>
      </w:r>
      <w:r>
        <w:t xml:space="preserve"> 2016</w:t>
      </w:r>
    </w:p>
    <w:p w:rsidR="00E3021F" w:rsidRDefault="00E3021F" w:rsidP="00E3021F">
      <w:pPr>
        <w:pStyle w:val="ListParagraph"/>
        <w:tabs>
          <w:tab w:val="left" w:pos="1985"/>
        </w:tabs>
        <w:spacing w:after="0" w:line="276" w:lineRule="auto"/>
        <w:jc w:val="both"/>
      </w:pPr>
    </w:p>
    <w:p w:rsidR="000A3691" w:rsidRDefault="000A3691" w:rsidP="000A3691">
      <w:pPr>
        <w:pStyle w:val="ListParagraph"/>
        <w:numPr>
          <w:ilvl w:val="0"/>
          <w:numId w:val="12"/>
        </w:numPr>
        <w:tabs>
          <w:tab w:val="left" w:pos="1985"/>
        </w:tabs>
        <w:spacing w:after="0" w:line="276" w:lineRule="auto"/>
        <w:jc w:val="both"/>
      </w:pPr>
      <w:r>
        <w:t>R4-161252, “</w:t>
      </w:r>
      <w:r w:rsidRPr="000A3691">
        <w:t>Way forward on UE performance enhancement under SFN channel</w:t>
      </w:r>
      <w:r>
        <w:t xml:space="preserve">”, </w:t>
      </w:r>
      <w:r w:rsidRPr="000A3691">
        <w:t xml:space="preserve">Huawei, </w:t>
      </w:r>
      <w:proofErr w:type="spellStart"/>
      <w:r w:rsidRPr="000A3691">
        <w:t>HiSilicon</w:t>
      </w:r>
      <w:proofErr w:type="spellEnd"/>
      <w:r w:rsidRPr="000A3691">
        <w:t>, NTT DoCoMo, Ericsson, Qualcomm, Intel</w:t>
      </w:r>
      <w:r>
        <w:t>, TSG RAN</w:t>
      </w:r>
      <w:r w:rsidR="00E3021F">
        <w:t>4</w:t>
      </w:r>
      <w:r>
        <w:t xml:space="preserve"> #78, Malta, Feb 2016</w:t>
      </w:r>
    </w:p>
    <w:p w:rsidR="00E3021F" w:rsidRDefault="00E3021F" w:rsidP="00E3021F">
      <w:pPr>
        <w:pStyle w:val="ListParagraph"/>
        <w:tabs>
          <w:tab w:val="left" w:pos="1985"/>
        </w:tabs>
        <w:spacing w:after="0" w:line="276" w:lineRule="auto"/>
        <w:jc w:val="both"/>
      </w:pPr>
    </w:p>
    <w:p w:rsidR="00E3021F" w:rsidRDefault="00024473" w:rsidP="00654C53">
      <w:pPr>
        <w:numPr>
          <w:ilvl w:val="0"/>
          <w:numId w:val="12"/>
        </w:numPr>
        <w:rPr>
          <w:lang w:val="en-US"/>
        </w:rPr>
      </w:pPr>
      <w:r w:rsidRPr="00E3021F">
        <w:rPr>
          <w:lang w:val="en-US"/>
        </w:rPr>
        <w:t xml:space="preserve">R4-163025, “Way forward on additional channel model for bidirectional SFN scenario”, Huawei, </w:t>
      </w:r>
      <w:proofErr w:type="spellStart"/>
      <w:r w:rsidRPr="00E3021F">
        <w:rPr>
          <w:lang w:val="en-US"/>
        </w:rPr>
        <w:t>HiSilicon</w:t>
      </w:r>
      <w:proofErr w:type="spellEnd"/>
      <w:r w:rsidRPr="00E3021F">
        <w:rPr>
          <w:lang w:val="en-US"/>
        </w:rPr>
        <w:t xml:space="preserve">, Intel, </w:t>
      </w:r>
      <w:proofErr w:type="spellStart"/>
      <w:r w:rsidRPr="00E3021F">
        <w:rPr>
          <w:lang w:val="en-US"/>
        </w:rPr>
        <w:t>MediaTek</w:t>
      </w:r>
      <w:proofErr w:type="spellEnd"/>
      <w:r w:rsidRPr="00E3021F">
        <w:rPr>
          <w:lang w:val="en-US"/>
        </w:rPr>
        <w:t xml:space="preserve"> Inc., NTT DOCOMO, INC, CMCC, ITRI, Qualcomm, Samsung, Ericsson, CATT, TSG RAN</w:t>
      </w:r>
      <w:r w:rsidR="00E3021F">
        <w:rPr>
          <w:lang w:val="en-US"/>
        </w:rPr>
        <w:t>4</w:t>
      </w:r>
      <w:r w:rsidRPr="00E3021F">
        <w:rPr>
          <w:lang w:val="en-US"/>
        </w:rPr>
        <w:t xml:space="preserve"> #78bis, San Jose del Cabo, April 2016</w:t>
      </w:r>
    </w:p>
    <w:p w:rsidR="00043225" w:rsidRDefault="00043225" w:rsidP="00654C53">
      <w:pPr>
        <w:numPr>
          <w:ilvl w:val="0"/>
          <w:numId w:val="12"/>
        </w:numPr>
        <w:rPr>
          <w:lang w:val="en-US"/>
        </w:rPr>
      </w:pPr>
      <w:r w:rsidRPr="00E3021F">
        <w:rPr>
          <w:lang w:val="en-US"/>
        </w:rPr>
        <w:t xml:space="preserve">R4-162016, “SFN channel model for advanced UE performance requirements”, Huawei, </w:t>
      </w:r>
      <w:proofErr w:type="spellStart"/>
      <w:r w:rsidRPr="00E3021F">
        <w:rPr>
          <w:lang w:val="en-US"/>
        </w:rPr>
        <w:t>HiSilicon</w:t>
      </w:r>
      <w:proofErr w:type="spellEnd"/>
      <w:r w:rsidRPr="00E3021F">
        <w:rPr>
          <w:lang w:val="en-US"/>
        </w:rPr>
        <w:t>, TSG RAN</w:t>
      </w:r>
      <w:r w:rsidR="00E3021F">
        <w:rPr>
          <w:lang w:val="en-US"/>
        </w:rPr>
        <w:t>4</w:t>
      </w:r>
      <w:r w:rsidRPr="00E3021F">
        <w:rPr>
          <w:lang w:val="en-US"/>
        </w:rPr>
        <w:t xml:space="preserve"> #78bis, San Jose del Cabo, April 2016</w:t>
      </w:r>
    </w:p>
    <w:p w:rsidR="00E3021F" w:rsidRPr="00E3021F" w:rsidRDefault="00E3021F" w:rsidP="00E3021F">
      <w:pPr>
        <w:numPr>
          <w:ilvl w:val="0"/>
          <w:numId w:val="12"/>
        </w:numPr>
        <w:rPr>
          <w:lang w:val="en-US"/>
        </w:rPr>
      </w:pPr>
      <w:r>
        <w:rPr>
          <w:lang w:val="en-US"/>
        </w:rPr>
        <w:t>R4-162630, “</w:t>
      </w:r>
      <w:r w:rsidRPr="00E3021F">
        <w:rPr>
          <w:lang w:val="en-US"/>
        </w:rPr>
        <w:t>MCS selection for UE demodulation performance testing in bidirectional HST SFN channel</w:t>
      </w:r>
      <w:r>
        <w:rPr>
          <w:lang w:val="en-US"/>
        </w:rPr>
        <w:t>”, TSG RAN4 #78bis, San Jose del Cabo, April 2016</w:t>
      </w:r>
      <w:bookmarkStart w:id="0" w:name="_GoBack"/>
      <w:bookmarkEnd w:id="0"/>
    </w:p>
    <w:sectPr w:rsidR="00E3021F" w:rsidRPr="00E302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e Semi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D1BC8"/>
    <w:multiLevelType w:val="hybridMultilevel"/>
    <w:tmpl w:val="0792D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A133A"/>
    <w:multiLevelType w:val="hybridMultilevel"/>
    <w:tmpl w:val="8542A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3970F8A"/>
    <w:multiLevelType w:val="hybridMultilevel"/>
    <w:tmpl w:val="46D4BE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833532"/>
    <w:multiLevelType w:val="hybridMultilevel"/>
    <w:tmpl w:val="1684444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DB43D7B"/>
    <w:multiLevelType w:val="hybridMultilevel"/>
    <w:tmpl w:val="BDF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B56D30"/>
    <w:multiLevelType w:val="hybridMultilevel"/>
    <w:tmpl w:val="190A0F7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6202E10"/>
    <w:multiLevelType w:val="hybridMultilevel"/>
    <w:tmpl w:val="C6BCB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E2672D"/>
    <w:multiLevelType w:val="hybridMultilevel"/>
    <w:tmpl w:val="FF82A292"/>
    <w:lvl w:ilvl="0" w:tplc="DE04C5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8"/>
  </w:num>
  <w:num w:numId="5">
    <w:abstractNumId w:val="2"/>
  </w:num>
  <w:num w:numId="6">
    <w:abstractNumId w:val="7"/>
  </w:num>
  <w:num w:numId="7">
    <w:abstractNumId w:val="11"/>
  </w:num>
  <w:num w:numId="8">
    <w:abstractNumId w:val="10"/>
  </w:num>
  <w:num w:numId="9">
    <w:abstractNumId w:val="1"/>
  </w:num>
  <w:num w:numId="10">
    <w:abstractNumId w:val="5"/>
  </w:num>
  <w:num w:numId="11">
    <w:abstractNumId w:val="4"/>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515"/>
    <w:rsid w:val="00013559"/>
    <w:rsid w:val="00024473"/>
    <w:rsid w:val="00043225"/>
    <w:rsid w:val="00053515"/>
    <w:rsid w:val="0006585F"/>
    <w:rsid w:val="00067834"/>
    <w:rsid w:val="00074A01"/>
    <w:rsid w:val="0009023B"/>
    <w:rsid w:val="00092418"/>
    <w:rsid w:val="00093A85"/>
    <w:rsid w:val="000A3691"/>
    <w:rsid w:val="000A438B"/>
    <w:rsid w:val="000D3298"/>
    <w:rsid w:val="000D41E9"/>
    <w:rsid w:val="00100345"/>
    <w:rsid w:val="00107458"/>
    <w:rsid w:val="00115E70"/>
    <w:rsid w:val="00167D5E"/>
    <w:rsid w:val="001C4E6A"/>
    <w:rsid w:val="001C6E10"/>
    <w:rsid w:val="001E07EB"/>
    <w:rsid w:val="001E4223"/>
    <w:rsid w:val="002130C2"/>
    <w:rsid w:val="00224CAC"/>
    <w:rsid w:val="00253D6A"/>
    <w:rsid w:val="002552AA"/>
    <w:rsid w:val="00265081"/>
    <w:rsid w:val="002714E1"/>
    <w:rsid w:val="00272A38"/>
    <w:rsid w:val="002816DB"/>
    <w:rsid w:val="0029055C"/>
    <w:rsid w:val="002D26FA"/>
    <w:rsid w:val="002D5A3E"/>
    <w:rsid w:val="002D6A34"/>
    <w:rsid w:val="002F1EF9"/>
    <w:rsid w:val="00307BAD"/>
    <w:rsid w:val="00312037"/>
    <w:rsid w:val="003218C5"/>
    <w:rsid w:val="003451F5"/>
    <w:rsid w:val="00357354"/>
    <w:rsid w:val="00373B71"/>
    <w:rsid w:val="00396BDD"/>
    <w:rsid w:val="003A0805"/>
    <w:rsid w:val="003A0943"/>
    <w:rsid w:val="003D40E1"/>
    <w:rsid w:val="003D5B3B"/>
    <w:rsid w:val="0040252B"/>
    <w:rsid w:val="00405E53"/>
    <w:rsid w:val="00406EF5"/>
    <w:rsid w:val="004143C4"/>
    <w:rsid w:val="004177AB"/>
    <w:rsid w:val="00472E7E"/>
    <w:rsid w:val="004842C0"/>
    <w:rsid w:val="00497F00"/>
    <w:rsid w:val="004B6776"/>
    <w:rsid w:val="004D6890"/>
    <w:rsid w:val="005310D0"/>
    <w:rsid w:val="005348F3"/>
    <w:rsid w:val="005401A8"/>
    <w:rsid w:val="005556C6"/>
    <w:rsid w:val="005563E4"/>
    <w:rsid w:val="005602A4"/>
    <w:rsid w:val="005730D3"/>
    <w:rsid w:val="005778B0"/>
    <w:rsid w:val="005A46EA"/>
    <w:rsid w:val="005C3153"/>
    <w:rsid w:val="005D156B"/>
    <w:rsid w:val="005D4ECF"/>
    <w:rsid w:val="005E38FA"/>
    <w:rsid w:val="005E5A5A"/>
    <w:rsid w:val="005E63CB"/>
    <w:rsid w:val="005F7563"/>
    <w:rsid w:val="00630820"/>
    <w:rsid w:val="00633A3C"/>
    <w:rsid w:val="0063799F"/>
    <w:rsid w:val="00685280"/>
    <w:rsid w:val="006B5A36"/>
    <w:rsid w:val="006C13CF"/>
    <w:rsid w:val="006C5517"/>
    <w:rsid w:val="006C765D"/>
    <w:rsid w:val="006D72AF"/>
    <w:rsid w:val="006E2C9D"/>
    <w:rsid w:val="00716589"/>
    <w:rsid w:val="00740C16"/>
    <w:rsid w:val="00757D5C"/>
    <w:rsid w:val="0079163F"/>
    <w:rsid w:val="007A0C35"/>
    <w:rsid w:val="007A0FF6"/>
    <w:rsid w:val="007A3EEE"/>
    <w:rsid w:val="007A5EBE"/>
    <w:rsid w:val="007B5707"/>
    <w:rsid w:val="007E5E85"/>
    <w:rsid w:val="007E6E66"/>
    <w:rsid w:val="008027C6"/>
    <w:rsid w:val="00826A09"/>
    <w:rsid w:val="00833FB9"/>
    <w:rsid w:val="0083620D"/>
    <w:rsid w:val="00836A0E"/>
    <w:rsid w:val="0086709B"/>
    <w:rsid w:val="008843AE"/>
    <w:rsid w:val="008A24BD"/>
    <w:rsid w:val="008C6205"/>
    <w:rsid w:val="008C6F7B"/>
    <w:rsid w:val="008D484F"/>
    <w:rsid w:val="008E1C25"/>
    <w:rsid w:val="008F561C"/>
    <w:rsid w:val="00922E1D"/>
    <w:rsid w:val="00933305"/>
    <w:rsid w:val="00946DAE"/>
    <w:rsid w:val="00980544"/>
    <w:rsid w:val="00982DA7"/>
    <w:rsid w:val="009A2F49"/>
    <w:rsid w:val="009A7D4E"/>
    <w:rsid w:val="009D7BF9"/>
    <w:rsid w:val="009E77EC"/>
    <w:rsid w:val="00A5150A"/>
    <w:rsid w:val="00A51622"/>
    <w:rsid w:val="00A57BBA"/>
    <w:rsid w:val="00A62F0C"/>
    <w:rsid w:val="00AA7860"/>
    <w:rsid w:val="00B21A76"/>
    <w:rsid w:val="00B21EAB"/>
    <w:rsid w:val="00B61F20"/>
    <w:rsid w:val="00B64183"/>
    <w:rsid w:val="00B65F49"/>
    <w:rsid w:val="00B71EFD"/>
    <w:rsid w:val="00B74214"/>
    <w:rsid w:val="00BA106F"/>
    <w:rsid w:val="00BA1F8F"/>
    <w:rsid w:val="00BB24D3"/>
    <w:rsid w:val="00BB7C24"/>
    <w:rsid w:val="00C00A49"/>
    <w:rsid w:val="00C126E0"/>
    <w:rsid w:val="00C14255"/>
    <w:rsid w:val="00C44130"/>
    <w:rsid w:val="00C81BEC"/>
    <w:rsid w:val="00C924C4"/>
    <w:rsid w:val="00C95FFC"/>
    <w:rsid w:val="00CE690E"/>
    <w:rsid w:val="00CF3804"/>
    <w:rsid w:val="00D07EBD"/>
    <w:rsid w:val="00D441BD"/>
    <w:rsid w:val="00D50EEB"/>
    <w:rsid w:val="00D61FFF"/>
    <w:rsid w:val="00D657C0"/>
    <w:rsid w:val="00D8368F"/>
    <w:rsid w:val="00D949EE"/>
    <w:rsid w:val="00DF3066"/>
    <w:rsid w:val="00E107A1"/>
    <w:rsid w:val="00E2342C"/>
    <w:rsid w:val="00E24F55"/>
    <w:rsid w:val="00E3021F"/>
    <w:rsid w:val="00E32EA5"/>
    <w:rsid w:val="00E56926"/>
    <w:rsid w:val="00E6455A"/>
    <w:rsid w:val="00E731F1"/>
    <w:rsid w:val="00E73768"/>
    <w:rsid w:val="00E752FA"/>
    <w:rsid w:val="00E8557E"/>
    <w:rsid w:val="00E93C6E"/>
    <w:rsid w:val="00EA6767"/>
    <w:rsid w:val="00EC1BC8"/>
    <w:rsid w:val="00ED2F98"/>
    <w:rsid w:val="00EE03A9"/>
    <w:rsid w:val="00EF5917"/>
    <w:rsid w:val="00F217D9"/>
    <w:rsid w:val="00F468E9"/>
    <w:rsid w:val="00F5112C"/>
    <w:rsid w:val="00FC7BF2"/>
    <w:rsid w:val="00FD2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A392A-B4C8-43C3-830B-4AF1180F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8FA"/>
    <w:pPr>
      <w:spacing w:after="180" w:line="240" w:lineRule="auto"/>
    </w:pPr>
    <w:rPr>
      <w:rFonts w:ascii="Times New Roman" w:eastAsia="MS Mincho" w:hAnsi="Times New Roman" w:cs="Times New Roman"/>
      <w:sz w:val="20"/>
      <w:szCs w:val="20"/>
      <w:lang w:val="en-GB"/>
    </w:rPr>
  </w:style>
  <w:style w:type="paragraph" w:styleId="Heading1">
    <w:name w:val="heading 1"/>
    <w:aliases w:val="H1,Char,h1,Heading 1 3GPP,Memo Heading 1,NMP Heading 1,app heading 1,l1,h11,h12,h13,h14,h15,h16,h17,h111,h121,h131,h141,h151,h161,h18,h112,h122,h132,h142,h152,h162,h19,h113,h123,h133,h143,h153,h163,1,Section of paper,Heading 1_a,heading 1"/>
    <w:next w:val="Normal"/>
    <w:link w:val="Heading1Char"/>
    <w:qFormat/>
    <w:rsid w:val="005E38F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Char Char,H2,h2,DO NOT USE_h2,h21,Heading 2 3GPP,Head2A,2,UNDERRUBRIK 1-2,Head 2,l2,TitreProp,Header 2,ITT t2,PA Major Section,Livello 2,R2,H21,Heading 2 Hidden,Head1,2nd level,heading 2,I2,Section Title,Heading2,list2,H2-Heading 2,Header&#10;2"/>
    <w:basedOn w:val="Heading1"/>
    <w:next w:val="Normal"/>
    <w:link w:val="Heading2Char"/>
    <w:qFormat/>
    <w:rsid w:val="005E38FA"/>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E38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E38FA"/>
    <w:pPr>
      <w:numPr>
        <w:ilvl w:val="3"/>
      </w:numPr>
      <w:outlineLvl w:val="3"/>
    </w:pPr>
    <w:rPr>
      <w:sz w:val="24"/>
    </w:rPr>
  </w:style>
  <w:style w:type="paragraph" w:styleId="Heading5">
    <w:name w:val="heading 5"/>
    <w:aliases w:val="h5,Heading5"/>
    <w:basedOn w:val="Heading4"/>
    <w:next w:val="Normal"/>
    <w:link w:val="Heading5Char"/>
    <w:qFormat/>
    <w:rsid w:val="005E38FA"/>
    <w:pPr>
      <w:numPr>
        <w:ilvl w:val="5"/>
      </w:numPr>
      <w:outlineLvl w:val="4"/>
    </w:pPr>
    <w:rPr>
      <w:sz w:val="22"/>
    </w:rPr>
  </w:style>
  <w:style w:type="paragraph" w:styleId="Heading6">
    <w:name w:val="heading 6"/>
    <w:basedOn w:val="Normal"/>
    <w:next w:val="Normal"/>
    <w:link w:val="Heading6Char"/>
    <w:qFormat/>
    <w:rsid w:val="00EE03A9"/>
    <w:pPr>
      <w:tabs>
        <w:tab w:val="num" w:pos="1499"/>
      </w:tabs>
      <w:spacing w:before="120" w:beforeAutospacing="1" w:afterLines="100"/>
      <w:ind w:left="1985" w:hanging="1985"/>
      <w:outlineLvl w:val="5"/>
    </w:pPr>
    <w:rPr>
      <w:rFonts w:ascii="Arial" w:eastAsia="Arial" w:hAnsi="Arial"/>
    </w:rPr>
  </w:style>
  <w:style w:type="paragraph" w:styleId="Heading7">
    <w:name w:val="heading 7"/>
    <w:basedOn w:val="Normal"/>
    <w:next w:val="Normal"/>
    <w:link w:val="Heading7Char"/>
    <w:qFormat/>
    <w:rsid w:val="005E38F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E38FA"/>
    <w:pPr>
      <w:numPr>
        <w:ilvl w:val="7"/>
      </w:numPr>
      <w:outlineLvl w:val="7"/>
    </w:pPr>
  </w:style>
  <w:style w:type="paragraph" w:styleId="Heading9">
    <w:name w:val="heading 9"/>
    <w:basedOn w:val="Heading8"/>
    <w:next w:val="Normal"/>
    <w:link w:val="Heading9Char"/>
    <w:qFormat/>
    <w:rsid w:val="005E38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1,h1 Char,Heading 1 3GPP Char,Memo Heading 1 Char,NMP Heading 1 Char,app heading 1 Char,l1 Char,h11 Char,h12 Char,h13 Char,h14 Char,h15 Char,h16 Char,h17 Char,h111 Char,h121 Char,h131 Char,h141 Char,h151 Char,h161 Char"/>
    <w:basedOn w:val="DefaultParagraphFont"/>
    <w:link w:val="Heading1"/>
    <w:rsid w:val="005E38FA"/>
    <w:rPr>
      <w:rFonts w:ascii="Arial" w:eastAsia="MS Mincho" w:hAnsi="Arial" w:cs="Times New Roman"/>
      <w:sz w:val="36"/>
      <w:szCs w:val="20"/>
      <w:lang w:val="en-GB"/>
    </w:rPr>
  </w:style>
  <w:style w:type="character" w:customStyle="1" w:styleId="Heading2Char">
    <w:name w:val="Heading 2 Char"/>
    <w:aliases w:val="Char Char Char,H2 Char,h2 Char,DO NOT USE_h2 Char,h21 Char,Heading 2 3GPP Char,Head2A Char,2 Char,UNDERRUBRIK 1-2 Char,Head 2 Char,l2 Char,TitreProp Char,Header 2 Char,ITT t2 Char,PA Major Section Char,Livello 2 Char,R2 Char,H21 Char"/>
    <w:basedOn w:val="DefaultParagraphFont"/>
    <w:link w:val="Heading2"/>
    <w:rsid w:val="005E38FA"/>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E38FA"/>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38FA"/>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5E38FA"/>
    <w:rPr>
      <w:rFonts w:ascii="Arial" w:eastAsia="MS Mincho" w:hAnsi="Arial" w:cs="Times New Roman"/>
      <w:szCs w:val="20"/>
      <w:lang w:val="en-GB"/>
    </w:rPr>
  </w:style>
  <w:style w:type="character" w:customStyle="1" w:styleId="Heading7Char">
    <w:name w:val="Heading 7 Char"/>
    <w:basedOn w:val="DefaultParagraphFont"/>
    <w:link w:val="Heading7"/>
    <w:rsid w:val="005E38FA"/>
    <w:rPr>
      <w:rFonts w:ascii="Arial" w:eastAsia="MS Mincho" w:hAnsi="Arial" w:cs="Times New Roman"/>
      <w:sz w:val="20"/>
      <w:szCs w:val="20"/>
      <w:lang w:val="en-GB"/>
    </w:rPr>
  </w:style>
  <w:style w:type="character" w:customStyle="1" w:styleId="Heading8Char">
    <w:name w:val="Heading 8 Char"/>
    <w:basedOn w:val="DefaultParagraphFont"/>
    <w:link w:val="Heading8"/>
    <w:rsid w:val="005E38FA"/>
    <w:rPr>
      <w:rFonts w:ascii="Arial" w:eastAsia="MS Mincho" w:hAnsi="Arial" w:cs="Times New Roman"/>
      <w:sz w:val="36"/>
      <w:szCs w:val="20"/>
      <w:lang w:val="en-GB"/>
    </w:rPr>
  </w:style>
  <w:style w:type="character" w:customStyle="1" w:styleId="Heading9Char">
    <w:name w:val="Heading 9 Char"/>
    <w:basedOn w:val="DefaultParagraphFont"/>
    <w:link w:val="Heading9"/>
    <w:rsid w:val="005E38F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38F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E38FA"/>
    <w:rPr>
      <w:rFonts w:ascii="Arial" w:eastAsia="MS Mincho" w:hAnsi="Arial" w:cs="Times New Roman"/>
      <w:b/>
      <w:noProof/>
      <w:sz w:val="18"/>
      <w:szCs w:val="20"/>
    </w:rPr>
  </w:style>
  <w:style w:type="paragraph" w:styleId="Footer">
    <w:name w:val="footer"/>
    <w:basedOn w:val="Header"/>
    <w:link w:val="FooterChar"/>
    <w:rsid w:val="005E38FA"/>
    <w:pPr>
      <w:jc w:val="center"/>
    </w:pPr>
    <w:rPr>
      <w:i/>
    </w:rPr>
  </w:style>
  <w:style w:type="character" w:customStyle="1" w:styleId="FooterChar">
    <w:name w:val="Footer Char"/>
    <w:basedOn w:val="DefaultParagraphFont"/>
    <w:link w:val="Footer"/>
    <w:rsid w:val="005E38FA"/>
    <w:rPr>
      <w:rFonts w:ascii="Arial" w:eastAsia="MS Mincho" w:hAnsi="Arial" w:cs="Times New Roman"/>
      <w:b/>
      <w:i/>
      <w:noProof/>
      <w:sz w:val="18"/>
      <w:szCs w:val="20"/>
    </w:rPr>
  </w:style>
  <w:style w:type="character" w:customStyle="1" w:styleId="Heading6Char">
    <w:name w:val="Heading 6 Char"/>
    <w:basedOn w:val="DefaultParagraphFont"/>
    <w:link w:val="Heading6"/>
    <w:rsid w:val="00EE03A9"/>
    <w:rPr>
      <w:rFonts w:ascii="Arial" w:eastAsia="Arial" w:hAnsi="Arial" w:cs="Times New Roman"/>
      <w:sz w:val="20"/>
      <w:szCs w:val="20"/>
      <w:lang w:val="en-GB"/>
    </w:rPr>
  </w:style>
  <w:style w:type="paragraph" w:styleId="ListParagraph">
    <w:name w:val="List Paragraph"/>
    <w:basedOn w:val="Normal"/>
    <w:uiPriority w:val="34"/>
    <w:qFormat/>
    <w:rsid w:val="00396BDD"/>
    <w:pPr>
      <w:ind w:left="720"/>
      <w:contextualSpacing/>
    </w:pPr>
  </w:style>
  <w:style w:type="paragraph" w:customStyle="1" w:styleId="TAC">
    <w:name w:val="TAC"/>
    <w:basedOn w:val="Normal"/>
    <w:link w:val="TACChar"/>
    <w:rsid w:val="00396BDD"/>
    <w:pPr>
      <w:keepNext/>
      <w:keepLines/>
      <w:overflowPunct w:val="0"/>
      <w:autoSpaceDE w:val="0"/>
      <w:autoSpaceDN w:val="0"/>
      <w:adjustRightInd w:val="0"/>
      <w:spacing w:after="0"/>
      <w:jc w:val="center"/>
      <w:textAlignment w:val="baseline"/>
    </w:pPr>
    <w:rPr>
      <w:rFonts w:ascii="Arial" w:eastAsia="SimSun" w:hAnsi="Arial"/>
      <w:sz w:val="18"/>
      <w:lang w:eastAsia="en-GB"/>
    </w:rPr>
  </w:style>
  <w:style w:type="character" w:customStyle="1" w:styleId="TACChar">
    <w:name w:val="TAC Char"/>
    <w:link w:val="TAC"/>
    <w:rsid w:val="00396BDD"/>
    <w:rPr>
      <w:rFonts w:ascii="Arial" w:eastAsia="SimSun" w:hAnsi="Arial" w:cs="Times New Roman"/>
      <w:sz w:val="18"/>
      <w:szCs w:val="20"/>
      <w:lang w:val="en-GB" w:eastAsia="en-GB"/>
    </w:rPr>
  </w:style>
  <w:style w:type="paragraph" w:customStyle="1" w:styleId="TAH">
    <w:name w:val="TAH"/>
    <w:basedOn w:val="TAC"/>
    <w:link w:val="TAHCar"/>
    <w:rsid w:val="00396BDD"/>
    <w:rPr>
      <w:b/>
    </w:rPr>
  </w:style>
  <w:style w:type="character" w:customStyle="1" w:styleId="TAHCar">
    <w:name w:val="TAH Car"/>
    <w:link w:val="TAH"/>
    <w:rsid w:val="00396BDD"/>
    <w:rPr>
      <w:rFonts w:ascii="Arial" w:eastAsia="SimSun" w:hAnsi="Arial" w:cs="Times New Roman"/>
      <w:b/>
      <w:sz w:val="18"/>
      <w:szCs w:val="20"/>
      <w:lang w:val="en-GB" w:eastAsia="en-GB"/>
    </w:rPr>
  </w:style>
  <w:style w:type="table" w:styleId="TableGrid">
    <w:name w:val="Table Grid"/>
    <w:basedOn w:val="TableNormal"/>
    <w:uiPriority w:val="39"/>
    <w:rsid w:val="0055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1425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H">
    <w:name w:val="TH"/>
    <w:basedOn w:val="Normal"/>
    <w:link w:val="THChar"/>
    <w:rsid w:val="00092418"/>
    <w:pPr>
      <w:keepNext/>
      <w:keepLines/>
      <w:spacing w:before="60"/>
      <w:jc w:val="center"/>
    </w:pPr>
    <w:rPr>
      <w:rFonts w:ascii="Arial" w:eastAsia="SimSun" w:hAnsi="Arial"/>
      <w:b/>
    </w:rPr>
  </w:style>
  <w:style w:type="character" w:customStyle="1" w:styleId="THChar">
    <w:name w:val="TH Char"/>
    <w:basedOn w:val="DefaultParagraphFont"/>
    <w:link w:val="TH"/>
    <w:rsid w:val="00092418"/>
    <w:rPr>
      <w:rFonts w:ascii="Arial" w:eastAsia="SimSun" w:hAnsi="Arial" w:cs="Times New Roman"/>
      <w:b/>
      <w:sz w:val="20"/>
      <w:szCs w:val="20"/>
      <w:lang w:val="en-GB"/>
    </w:rPr>
  </w:style>
  <w:style w:type="character" w:styleId="PlaceholderText">
    <w:name w:val="Placeholder Text"/>
    <w:basedOn w:val="DefaultParagraphFont"/>
    <w:uiPriority w:val="99"/>
    <w:semiHidden/>
    <w:rsid w:val="00E73768"/>
    <w:rPr>
      <w:color w:val="808080"/>
    </w:rPr>
  </w:style>
  <w:style w:type="paragraph" w:styleId="NormalWeb">
    <w:name w:val="Normal (Web)"/>
    <w:basedOn w:val="Normal"/>
    <w:uiPriority w:val="99"/>
    <w:semiHidden/>
    <w:unhideWhenUsed/>
    <w:rsid w:val="00C81BEC"/>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1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4</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19</cp:revision>
  <dcterms:created xsi:type="dcterms:W3CDTF">2016-03-31T20:32:00Z</dcterms:created>
  <dcterms:modified xsi:type="dcterms:W3CDTF">2016-05-13T15:44:00Z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134513611</vt:i4>
  </property>
  <property fmtid="{D5CDD505-2E9C-101B-9397-08002B2CF9AE}" pid="3" name="_NewReviewCycle">
    <vt:lpwstr/>
  </property>
  <property fmtid="{D5CDD505-2E9C-101B-9397-08002B2CF9AE}" pid="4" name="_EmailSubject">
    <vt:lpwstr>HST results for RAN4</vt:lpwstr>
  </property>
  <property fmtid="{D5CDD505-2E9C-101B-9397-08002B2CF9AE}" pid="5" name="_AuthorEmail">
    <vt:lpwstr>jaehor@qti.qualcomm.com</vt:lpwstr>
  </property>
  <property fmtid="{D5CDD505-2E9C-101B-9397-08002B2CF9AE}" pid="6" name="_AuthorEmailDisplayName">
    <vt:lpwstr>Ryu, Jaeho</vt:lpwstr>
  </property>
  <property fmtid="{D5CDD505-2E9C-101B-9397-08002B2CF9AE}" pid="7" name="_ReviewingToolsShownOnce">
    <vt:lpwstr/>
  </property>
</Properties>
</file>