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FAA" w:rsidRPr="004B7E17" w:rsidRDefault="00187FAA" w:rsidP="00187FAA">
      <w:pPr>
        <w:widowControl w:val="0"/>
        <w:tabs>
          <w:tab w:val="right" w:pos="9639"/>
          <w:tab w:val="right" w:pos="13323"/>
        </w:tabs>
        <w:spacing w:after="0"/>
        <w:rPr>
          <w:rFonts w:ascii="Arial" w:hAnsi="Arial" w:cs="Arial"/>
          <w:b/>
          <w:noProof/>
          <w:sz w:val="24"/>
          <w:szCs w:val="24"/>
          <w:lang w:val="en-US" w:eastAsia="ja-JP"/>
        </w:rPr>
      </w:pPr>
      <w:r w:rsidRPr="004B7E17">
        <w:rPr>
          <w:rFonts w:ascii="Arial" w:hAnsi="Arial" w:cs="Arial"/>
          <w:b/>
          <w:noProof/>
          <w:sz w:val="24"/>
          <w:szCs w:val="24"/>
          <w:lang w:val="en-US"/>
        </w:rPr>
        <w:t>3GPP TSG-RAN WG4 Meeting #</w:t>
      </w:r>
      <w:r w:rsidRPr="004B7E17">
        <w:rPr>
          <w:rFonts w:ascii="Arial" w:hAnsi="Arial" w:cs="Arial" w:hint="eastAsia"/>
          <w:b/>
          <w:noProof/>
          <w:sz w:val="24"/>
          <w:szCs w:val="24"/>
          <w:lang w:val="en-US" w:eastAsia="ja-JP"/>
        </w:rPr>
        <w:t>7</w:t>
      </w:r>
      <w:r>
        <w:rPr>
          <w:rFonts w:ascii="Arial" w:hAnsi="Arial" w:cs="Arial"/>
          <w:b/>
          <w:noProof/>
          <w:sz w:val="24"/>
          <w:szCs w:val="24"/>
          <w:lang w:val="en-US" w:eastAsia="ja-JP"/>
        </w:rPr>
        <w:t>9</w:t>
      </w:r>
      <w:r w:rsidRPr="004B7E17">
        <w:rPr>
          <w:rFonts w:ascii="Arial" w:hAnsi="Arial" w:cs="Arial"/>
          <w:b/>
          <w:noProof/>
          <w:sz w:val="24"/>
          <w:szCs w:val="24"/>
          <w:lang w:val="en-US"/>
        </w:rPr>
        <w:tab/>
        <w:t>R4-1</w:t>
      </w:r>
      <w:r>
        <w:rPr>
          <w:rFonts w:ascii="Arial" w:hAnsi="Arial" w:cs="Arial"/>
          <w:b/>
          <w:noProof/>
          <w:sz w:val="24"/>
          <w:szCs w:val="24"/>
          <w:lang w:val="en-US"/>
        </w:rPr>
        <w:t>63631</w:t>
      </w:r>
    </w:p>
    <w:p w:rsidR="00187FAA" w:rsidRDefault="00187FAA" w:rsidP="00187FAA">
      <w:pPr>
        <w:pStyle w:val="Footer"/>
        <w:jc w:val="both"/>
        <w:rPr>
          <w:i w:val="0"/>
          <w:noProof w:val="0"/>
          <w:sz w:val="24"/>
          <w:szCs w:val="24"/>
          <w:lang w:val="en-GB" w:eastAsia="ja-JP"/>
        </w:rPr>
      </w:pPr>
      <w:r>
        <w:rPr>
          <w:i w:val="0"/>
          <w:noProof w:val="0"/>
          <w:sz w:val="24"/>
          <w:szCs w:val="24"/>
          <w:lang w:val="en-GB" w:eastAsia="ja-JP"/>
        </w:rPr>
        <w:t>Nanjing, China May 23</w:t>
      </w:r>
      <w:r>
        <w:rPr>
          <w:i w:val="0"/>
          <w:noProof w:val="0"/>
          <w:sz w:val="24"/>
          <w:szCs w:val="24"/>
          <w:vertAlign w:val="superscript"/>
          <w:lang w:val="en-GB" w:eastAsia="ja-JP"/>
        </w:rPr>
        <w:t xml:space="preserve"> </w:t>
      </w:r>
      <w:r>
        <w:rPr>
          <w:i w:val="0"/>
          <w:noProof w:val="0"/>
          <w:sz w:val="24"/>
          <w:szCs w:val="24"/>
          <w:lang w:val="en-GB" w:eastAsia="ja-JP"/>
        </w:rPr>
        <w:t>- 27</w:t>
      </w:r>
      <w:r w:rsidRPr="004B7E17">
        <w:rPr>
          <w:i w:val="0"/>
          <w:noProof w:val="0"/>
          <w:sz w:val="24"/>
          <w:szCs w:val="24"/>
          <w:lang w:val="en-GB" w:eastAsia="ja-JP"/>
        </w:rPr>
        <w:t>, 201</w:t>
      </w:r>
      <w:r>
        <w:rPr>
          <w:i w:val="0"/>
          <w:noProof w:val="0"/>
          <w:sz w:val="24"/>
          <w:szCs w:val="24"/>
          <w:lang w:val="en-GB" w:eastAsia="ja-JP"/>
        </w:rPr>
        <w:t>6</w:t>
      </w:r>
    </w:p>
    <w:p w:rsidR="00187FAA" w:rsidRPr="008C4D7E" w:rsidRDefault="00187FAA" w:rsidP="00187FAA">
      <w:pPr>
        <w:pStyle w:val="Header"/>
        <w:rPr>
          <w:noProof w:val="0"/>
          <w:lang w:val="en-GB"/>
        </w:rPr>
      </w:pPr>
    </w:p>
    <w:p w:rsidR="00187FAA" w:rsidRDefault="00187FAA" w:rsidP="00187FAA">
      <w:pPr>
        <w:pStyle w:val="Footer"/>
        <w:rPr>
          <w:noProof w:val="0"/>
        </w:rPr>
      </w:pPr>
    </w:p>
    <w:p w:rsidR="00187FAA" w:rsidRDefault="00187FAA" w:rsidP="00187FAA">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6.5.1</w:t>
      </w:r>
    </w:p>
    <w:p w:rsidR="00187FAA" w:rsidRDefault="00187FAA" w:rsidP="00187FAA">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187FAA" w:rsidRPr="00F60377" w:rsidRDefault="00187FAA" w:rsidP="00187FAA">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Results for RLM test in CE mode A </w:t>
      </w:r>
    </w:p>
    <w:p w:rsidR="00187FAA" w:rsidRDefault="00187FAA" w:rsidP="00187FAA">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rsidR="00187FAA" w:rsidRDefault="00187FAA" w:rsidP="00187FAA">
      <w:pPr>
        <w:pStyle w:val="Heading1"/>
        <w:rPr>
          <w:lang w:val="en-US"/>
        </w:rPr>
      </w:pPr>
      <w:r>
        <w:rPr>
          <w:lang w:val="en-US"/>
        </w:rPr>
        <w:t>Introduction</w:t>
      </w:r>
    </w:p>
    <w:p w:rsidR="00187FAA" w:rsidRDefault="00187FAA" w:rsidP="00C23074">
      <w:pPr>
        <w:spacing w:line="276" w:lineRule="auto"/>
        <w:rPr>
          <w:lang w:val="en-US"/>
        </w:rPr>
      </w:pPr>
      <w:r>
        <w:rPr>
          <w:lang w:val="en-US"/>
        </w:rPr>
        <w:t xml:space="preserve">The RLM requirements for </w:t>
      </w:r>
      <w:proofErr w:type="spellStart"/>
      <w:r>
        <w:rPr>
          <w:lang w:val="en-US"/>
        </w:rPr>
        <w:t>eMTC</w:t>
      </w:r>
      <w:proofErr w:type="spellEnd"/>
      <w:r>
        <w:rPr>
          <w:lang w:val="en-US"/>
        </w:rPr>
        <w:t xml:space="preserve"> were agreed in [1]. In RAN 4 #78bis, way forward on the choice of MPDCCH parameters to be used to determine In-Sync and Out-of-Sync levels in CE mode A was agreed [2]. In this paper, we provide results based on the agreed simulation parameters. </w:t>
      </w:r>
    </w:p>
    <w:p w:rsidR="00187FAA" w:rsidRDefault="00187FAA" w:rsidP="00C23074">
      <w:pPr>
        <w:pStyle w:val="Heading1"/>
        <w:spacing w:line="276" w:lineRule="auto"/>
        <w:rPr>
          <w:lang w:val="en-US"/>
        </w:rPr>
      </w:pPr>
      <w:r>
        <w:rPr>
          <w:lang w:val="en-US"/>
        </w:rPr>
        <w:t>Discussion</w:t>
      </w:r>
    </w:p>
    <w:p w:rsidR="00187FAA" w:rsidRDefault="00187FAA" w:rsidP="00C23074">
      <w:pPr>
        <w:tabs>
          <w:tab w:val="num" w:pos="720"/>
        </w:tabs>
        <w:spacing w:line="276" w:lineRule="auto"/>
        <w:rPr>
          <w:color w:val="000000"/>
        </w:rPr>
      </w:pPr>
      <w:r>
        <w:rPr>
          <w:color w:val="000000"/>
        </w:rPr>
        <w:t xml:space="preserve">The way forward [2] contains the MPDCCH parameters that will be used in the RLM test for CE mode A. The agreed MPDCCH parameters are also summarized in Table 1. </w:t>
      </w:r>
    </w:p>
    <w:p w:rsidR="00187FAA" w:rsidRPr="00A778EE" w:rsidRDefault="00187FAA" w:rsidP="00187FAA">
      <w:pPr>
        <w:tabs>
          <w:tab w:val="num" w:pos="720"/>
        </w:tabs>
        <w:jc w:val="center"/>
        <w:rPr>
          <w:b/>
          <w:color w:val="000000"/>
        </w:rPr>
      </w:pPr>
      <w:r w:rsidRPr="00A778EE">
        <w:rPr>
          <w:b/>
          <w:color w:val="000000"/>
        </w:rPr>
        <w:t xml:space="preserve">Table 1: MPDCCH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1911"/>
        <w:gridCol w:w="2002"/>
      </w:tblGrid>
      <w:tr w:rsidR="00187FAA" w:rsidRPr="000131AB" w:rsidTr="00A23135">
        <w:trPr>
          <w:trHeight w:val="370"/>
          <w:jc w:val="center"/>
        </w:trPr>
        <w:tc>
          <w:tcPr>
            <w:tcW w:w="1464" w:type="dxa"/>
            <w:shd w:val="clear" w:color="auto" w:fill="D9D9D9"/>
          </w:tcPr>
          <w:p w:rsidR="00187FAA" w:rsidRPr="000131AB" w:rsidRDefault="00187FAA" w:rsidP="00A23135">
            <w:pPr>
              <w:tabs>
                <w:tab w:val="num" w:pos="720"/>
              </w:tabs>
              <w:rPr>
                <w:color w:val="000000"/>
              </w:rPr>
            </w:pPr>
          </w:p>
        </w:tc>
        <w:tc>
          <w:tcPr>
            <w:tcW w:w="1911" w:type="dxa"/>
            <w:shd w:val="clear" w:color="auto" w:fill="D9D9D9"/>
          </w:tcPr>
          <w:p w:rsidR="00187FAA" w:rsidRPr="000131AB" w:rsidRDefault="00187FAA" w:rsidP="00A23135">
            <w:pPr>
              <w:tabs>
                <w:tab w:val="num" w:pos="720"/>
              </w:tabs>
              <w:rPr>
                <w:color w:val="000000"/>
              </w:rPr>
            </w:pPr>
            <w:r w:rsidRPr="000131AB">
              <w:rPr>
                <w:color w:val="000000"/>
              </w:rPr>
              <w:t>Out-of-sync</w:t>
            </w:r>
          </w:p>
          <w:p w:rsidR="00187FAA" w:rsidRPr="000131AB" w:rsidRDefault="00187FAA" w:rsidP="00A23135">
            <w:pPr>
              <w:tabs>
                <w:tab w:val="num" w:pos="720"/>
              </w:tabs>
              <w:rPr>
                <w:color w:val="000000"/>
              </w:rPr>
            </w:pPr>
            <w:r w:rsidRPr="000131AB">
              <w:rPr>
                <w:color w:val="000000"/>
              </w:rPr>
              <w:t>(</w:t>
            </w:r>
            <w:proofErr w:type="spellStart"/>
            <w:r w:rsidRPr="000131AB">
              <w:rPr>
                <w:color w:val="000000"/>
              </w:rPr>
              <w:t>Agg</w:t>
            </w:r>
            <w:proofErr w:type="spellEnd"/>
            <w:r w:rsidRPr="000131AB">
              <w:rPr>
                <w:color w:val="000000"/>
              </w:rPr>
              <w:t xml:space="preserve"> Level, Rep)</w:t>
            </w:r>
          </w:p>
        </w:tc>
        <w:tc>
          <w:tcPr>
            <w:tcW w:w="2002" w:type="dxa"/>
            <w:shd w:val="clear" w:color="auto" w:fill="D9D9D9"/>
          </w:tcPr>
          <w:p w:rsidR="00187FAA" w:rsidRPr="000131AB" w:rsidRDefault="00187FAA" w:rsidP="00A23135">
            <w:pPr>
              <w:tabs>
                <w:tab w:val="num" w:pos="720"/>
              </w:tabs>
              <w:rPr>
                <w:color w:val="000000"/>
              </w:rPr>
            </w:pPr>
            <w:r w:rsidRPr="000131AB">
              <w:rPr>
                <w:color w:val="000000"/>
              </w:rPr>
              <w:t>In-sync</w:t>
            </w:r>
          </w:p>
          <w:p w:rsidR="00187FAA" w:rsidRPr="000131AB" w:rsidRDefault="00187FAA" w:rsidP="00A23135">
            <w:pPr>
              <w:tabs>
                <w:tab w:val="num" w:pos="720"/>
              </w:tabs>
              <w:rPr>
                <w:color w:val="000000"/>
              </w:rPr>
            </w:pPr>
            <w:r w:rsidRPr="000131AB">
              <w:rPr>
                <w:color w:val="000000"/>
              </w:rPr>
              <w:t>(</w:t>
            </w:r>
            <w:proofErr w:type="spellStart"/>
            <w:r w:rsidRPr="000131AB">
              <w:rPr>
                <w:color w:val="000000"/>
              </w:rPr>
              <w:t>Agg</w:t>
            </w:r>
            <w:proofErr w:type="spellEnd"/>
            <w:r w:rsidRPr="000131AB">
              <w:rPr>
                <w:color w:val="000000"/>
              </w:rPr>
              <w:t>. Level, Rep)</w:t>
            </w:r>
          </w:p>
        </w:tc>
      </w:tr>
      <w:tr w:rsidR="00187FAA" w:rsidRPr="000131AB" w:rsidTr="00A23135">
        <w:trPr>
          <w:jc w:val="center"/>
        </w:trPr>
        <w:tc>
          <w:tcPr>
            <w:tcW w:w="1464" w:type="dxa"/>
            <w:shd w:val="clear" w:color="auto" w:fill="auto"/>
          </w:tcPr>
          <w:p w:rsidR="00187FAA" w:rsidRPr="000131AB" w:rsidRDefault="00187FAA" w:rsidP="00A23135">
            <w:pPr>
              <w:tabs>
                <w:tab w:val="num" w:pos="720"/>
              </w:tabs>
              <w:rPr>
                <w:color w:val="000000"/>
              </w:rPr>
            </w:pPr>
            <w:r w:rsidRPr="000131AB">
              <w:rPr>
                <w:color w:val="000000"/>
              </w:rPr>
              <w:t>Set 1</w:t>
            </w:r>
          </w:p>
        </w:tc>
        <w:tc>
          <w:tcPr>
            <w:tcW w:w="1911" w:type="dxa"/>
            <w:shd w:val="clear" w:color="auto" w:fill="auto"/>
          </w:tcPr>
          <w:p w:rsidR="00187FAA" w:rsidRPr="000131AB" w:rsidRDefault="00187FAA" w:rsidP="00A23135">
            <w:pPr>
              <w:tabs>
                <w:tab w:val="num" w:pos="720"/>
              </w:tabs>
              <w:rPr>
                <w:color w:val="000000"/>
              </w:rPr>
            </w:pPr>
            <w:r w:rsidRPr="000131AB">
              <w:rPr>
                <w:color w:val="000000"/>
              </w:rPr>
              <w:t>(24,8)</w:t>
            </w:r>
          </w:p>
        </w:tc>
        <w:tc>
          <w:tcPr>
            <w:tcW w:w="2002" w:type="dxa"/>
            <w:shd w:val="clear" w:color="auto" w:fill="auto"/>
          </w:tcPr>
          <w:p w:rsidR="00187FAA" w:rsidRPr="000131AB" w:rsidRDefault="00187FAA" w:rsidP="00A23135">
            <w:pPr>
              <w:tabs>
                <w:tab w:val="num" w:pos="720"/>
              </w:tabs>
              <w:rPr>
                <w:color w:val="000000"/>
              </w:rPr>
            </w:pPr>
            <w:r w:rsidRPr="000131AB">
              <w:rPr>
                <w:color w:val="000000"/>
              </w:rPr>
              <w:t>(8,4)</w:t>
            </w:r>
          </w:p>
        </w:tc>
      </w:tr>
      <w:tr w:rsidR="00187FAA" w:rsidRPr="000131AB" w:rsidTr="00A23135">
        <w:trPr>
          <w:jc w:val="center"/>
        </w:trPr>
        <w:tc>
          <w:tcPr>
            <w:tcW w:w="1464" w:type="dxa"/>
            <w:shd w:val="clear" w:color="auto" w:fill="auto"/>
          </w:tcPr>
          <w:p w:rsidR="00187FAA" w:rsidRPr="000131AB" w:rsidRDefault="00187FAA" w:rsidP="00A23135">
            <w:pPr>
              <w:tabs>
                <w:tab w:val="num" w:pos="720"/>
              </w:tabs>
              <w:rPr>
                <w:color w:val="000000"/>
              </w:rPr>
            </w:pPr>
            <w:r w:rsidRPr="000131AB">
              <w:rPr>
                <w:color w:val="000000"/>
              </w:rPr>
              <w:t>Set 2</w:t>
            </w:r>
          </w:p>
        </w:tc>
        <w:tc>
          <w:tcPr>
            <w:tcW w:w="1911" w:type="dxa"/>
            <w:shd w:val="clear" w:color="auto" w:fill="auto"/>
          </w:tcPr>
          <w:p w:rsidR="00187FAA" w:rsidRPr="000131AB" w:rsidRDefault="00187FAA" w:rsidP="00A23135">
            <w:pPr>
              <w:tabs>
                <w:tab w:val="num" w:pos="720"/>
              </w:tabs>
              <w:rPr>
                <w:color w:val="000000"/>
              </w:rPr>
            </w:pPr>
            <w:r w:rsidRPr="000131AB">
              <w:rPr>
                <w:color w:val="000000"/>
              </w:rPr>
              <w:t>(16,4)</w:t>
            </w:r>
          </w:p>
        </w:tc>
        <w:tc>
          <w:tcPr>
            <w:tcW w:w="2002" w:type="dxa"/>
            <w:shd w:val="clear" w:color="auto" w:fill="auto"/>
          </w:tcPr>
          <w:p w:rsidR="00187FAA" w:rsidRPr="000131AB" w:rsidRDefault="00187FAA" w:rsidP="00A23135">
            <w:pPr>
              <w:tabs>
                <w:tab w:val="num" w:pos="720"/>
              </w:tabs>
              <w:rPr>
                <w:color w:val="000000"/>
              </w:rPr>
            </w:pPr>
            <w:r w:rsidRPr="000131AB">
              <w:rPr>
                <w:color w:val="000000"/>
              </w:rPr>
              <w:t>(4,2)</w:t>
            </w:r>
          </w:p>
        </w:tc>
      </w:tr>
    </w:tbl>
    <w:p w:rsidR="00187FAA" w:rsidRDefault="00187FAA" w:rsidP="00187FAA">
      <w:pPr>
        <w:tabs>
          <w:tab w:val="num" w:pos="720"/>
        </w:tabs>
        <w:rPr>
          <w:color w:val="000000"/>
        </w:rPr>
      </w:pPr>
    </w:p>
    <w:p w:rsidR="00187FAA" w:rsidRDefault="00187FAA" w:rsidP="00C23074">
      <w:pPr>
        <w:tabs>
          <w:tab w:val="num" w:pos="720"/>
        </w:tabs>
        <w:spacing w:line="276" w:lineRule="auto"/>
        <w:rPr>
          <w:color w:val="000000"/>
        </w:rPr>
      </w:pPr>
      <w:r>
        <w:rPr>
          <w:color w:val="000000"/>
        </w:rPr>
        <w:t xml:space="preserve">Note that, during the test, the UE will be configured with one of the two sets randomly, and accordingly it needs to decide whether it is in in-sync or out-of-sync. Also note that, in order to have enough separation between in-sync and out-of-sync SNR levels, the aggregation level as well as repetition level corresponding to in-sync is lower than out-of-sync. For non-DRX, the agreed channel for the test is ETU30L, while for DRX the agreed channel is AWGN. In </w:t>
      </w:r>
      <w:r w:rsidRPr="00187FAA">
        <w:rPr>
          <w:b/>
          <w:color w:val="000000"/>
        </w:rPr>
        <w:t>Table 2 &amp; 3</w:t>
      </w:r>
      <w:r>
        <w:rPr>
          <w:color w:val="000000"/>
        </w:rPr>
        <w:t xml:space="preserve">, we provide SNR levels for in-sync and out-of-sync based on BLER for DCI format 6_1A. </w:t>
      </w:r>
      <w:r w:rsidR="00FB4790">
        <w:rPr>
          <w:color w:val="000000"/>
        </w:rPr>
        <w:t xml:space="preserve">Our first proposal is </w:t>
      </w:r>
    </w:p>
    <w:p w:rsidR="00FB4790" w:rsidRPr="00187FAA" w:rsidRDefault="00FB4790" w:rsidP="00FB4790">
      <w:pPr>
        <w:spacing w:line="276" w:lineRule="auto"/>
        <w:jc w:val="both"/>
        <w:rPr>
          <w:b/>
          <w:lang w:val="en-US" w:eastAsia="ja-JP"/>
        </w:rPr>
      </w:pPr>
      <w:r w:rsidRPr="00187FAA">
        <w:rPr>
          <w:b/>
          <w:lang w:val="en-US" w:eastAsia="ja-JP"/>
        </w:rPr>
        <w:t xml:space="preserve">Proposal 1: The results in Table 2 &amp; 3 should be considered while determining the Qin and </w:t>
      </w:r>
      <w:proofErr w:type="spellStart"/>
      <w:r w:rsidRPr="00187FAA">
        <w:rPr>
          <w:b/>
          <w:lang w:val="en-US" w:eastAsia="ja-JP"/>
        </w:rPr>
        <w:t>Qout</w:t>
      </w:r>
      <w:proofErr w:type="spellEnd"/>
      <w:r w:rsidRPr="00187FAA">
        <w:rPr>
          <w:b/>
          <w:lang w:val="en-US" w:eastAsia="ja-JP"/>
        </w:rPr>
        <w:t xml:space="preserve"> levels for RLM tests in CE mode A for non-DRX and DRX scenarios respectively. </w:t>
      </w:r>
    </w:p>
    <w:p w:rsidR="00534B88" w:rsidRDefault="00FB4790" w:rsidP="00C23074">
      <w:pPr>
        <w:tabs>
          <w:tab w:val="num" w:pos="720"/>
        </w:tabs>
        <w:spacing w:line="276" w:lineRule="auto"/>
        <w:rPr>
          <w:color w:val="000000"/>
        </w:rPr>
      </w:pPr>
      <w:r>
        <w:rPr>
          <w:color w:val="000000"/>
        </w:rPr>
        <w:t>Now, f</w:t>
      </w:r>
      <w:r w:rsidR="00534B88">
        <w:rPr>
          <w:color w:val="000000"/>
        </w:rPr>
        <w:t>rom the results we have the following observations</w:t>
      </w:r>
    </w:p>
    <w:p w:rsidR="00534B88" w:rsidRPr="00534B88" w:rsidRDefault="00534B88" w:rsidP="00C23074">
      <w:pPr>
        <w:tabs>
          <w:tab w:val="num" w:pos="720"/>
        </w:tabs>
        <w:spacing w:line="276" w:lineRule="auto"/>
        <w:rPr>
          <w:b/>
          <w:color w:val="000000"/>
        </w:rPr>
      </w:pPr>
      <w:r w:rsidRPr="00534B88">
        <w:rPr>
          <w:b/>
          <w:color w:val="000000"/>
        </w:rPr>
        <w:t xml:space="preserve">Observation 1: SNR level for in-sync and out-of-sync are lower for Set 1 compared to Set 2. </w:t>
      </w:r>
    </w:p>
    <w:p w:rsidR="00534B88" w:rsidRPr="00534B88" w:rsidRDefault="00534B88" w:rsidP="00C23074">
      <w:pPr>
        <w:tabs>
          <w:tab w:val="num" w:pos="720"/>
        </w:tabs>
        <w:spacing w:line="276" w:lineRule="auto"/>
        <w:rPr>
          <w:b/>
          <w:color w:val="000000"/>
        </w:rPr>
      </w:pPr>
      <w:r w:rsidRPr="00534B88">
        <w:rPr>
          <w:b/>
          <w:color w:val="000000"/>
        </w:rPr>
        <w:t xml:space="preserve">Observation 2: SNR gap between in-sync and out-of-sync is smaller in Set 1 compared to Set 2. </w:t>
      </w:r>
    </w:p>
    <w:p w:rsidR="00C23074" w:rsidRDefault="00C23074" w:rsidP="00C23074">
      <w:pPr>
        <w:tabs>
          <w:tab w:val="num" w:pos="720"/>
        </w:tabs>
        <w:spacing w:line="276" w:lineRule="auto"/>
        <w:rPr>
          <w:color w:val="000000"/>
        </w:rPr>
      </w:pPr>
      <w:r>
        <w:rPr>
          <w:color w:val="000000"/>
        </w:rPr>
        <w:lastRenderedPageBreak/>
        <w:t xml:space="preserve">Observation 1 is obvious because, aggregation level and repetition levels chosen for Set 1 are higher compared to the corresponding aggregation level and repetition level chosen for Set 2. Observation 2 can be explained by following </w:t>
      </w:r>
    </w:p>
    <w:p w:rsidR="00C23074" w:rsidRDefault="00C23074" w:rsidP="00C23074">
      <w:pPr>
        <w:pStyle w:val="ListParagraph"/>
        <w:numPr>
          <w:ilvl w:val="0"/>
          <w:numId w:val="5"/>
        </w:numPr>
        <w:tabs>
          <w:tab w:val="num" w:pos="720"/>
        </w:tabs>
        <w:spacing w:line="276" w:lineRule="auto"/>
        <w:rPr>
          <w:color w:val="000000"/>
        </w:rPr>
      </w:pPr>
      <w:r w:rsidRPr="00C23074">
        <w:rPr>
          <w:color w:val="000000"/>
        </w:rPr>
        <w:t xml:space="preserve">In Set 1, effective </w:t>
      </w:r>
      <w:proofErr w:type="spellStart"/>
      <w:r w:rsidRPr="00C23074">
        <w:rPr>
          <w:color w:val="000000"/>
        </w:rPr>
        <w:t>coderate</w:t>
      </w:r>
      <w:proofErr w:type="spellEnd"/>
      <w:r w:rsidRPr="00C23074">
        <w:rPr>
          <w:color w:val="000000"/>
        </w:rPr>
        <w:t xml:space="preserve"> of MPDCCH is 6 times lower for out-of-sync compared to in-sync, while in Set 2, effective </w:t>
      </w:r>
      <w:proofErr w:type="spellStart"/>
      <w:r w:rsidRPr="00C23074">
        <w:rPr>
          <w:color w:val="000000"/>
        </w:rPr>
        <w:t>coderate</w:t>
      </w:r>
      <w:proofErr w:type="spellEnd"/>
      <w:r w:rsidRPr="00C23074">
        <w:rPr>
          <w:color w:val="000000"/>
        </w:rPr>
        <w:t xml:space="preserve"> of MPDCCH is 8 times lower for out-of-sync compared to in-sync,</w:t>
      </w:r>
    </w:p>
    <w:p w:rsidR="00187FAA" w:rsidRPr="00C23074" w:rsidRDefault="00C23074" w:rsidP="00C23074">
      <w:pPr>
        <w:pStyle w:val="ListParagraph"/>
        <w:numPr>
          <w:ilvl w:val="0"/>
          <w:numId w:val="5"/>
        </w:numPr>
        <w:tabs>
          <w:tab w:val="num" w:pos="720"/>
        </w:tabs>
        <w:spacing w:line="276" w:lineRule="auto"/>
        <w:rPr>
          <w:color w:val="000000"/>
        </w:rPr>
      </w:pPr>
      <w:r w:rsidRPr="00C23074">
        <w:rPr>
          <w:color w:val="000000"/>
        </w:rPr>
        <w:t>SNR level</w:t>
      </w:r>
      <w:r>
        <w:rPr>
          <w:color w:val="000000"/>
        </w:rPr>
        <w:t>s for out-of-sync and in-sync are</w:t>
      </w:r>
      <w:r w:rsidRPr="00C23074">
        <w:rPr>
          <w:color w:val="000000"/>
        </w:rPr>
        <w:t xml:space="preserve"> </w:t>
      </w:r>
      <w:r w:rsidR="00571A90">
        <w:rPr>
          <w:color w:val="000000"/>
        </w:rPr>
        <w:t>significantly</w:t>
      </w:r>
      <w:r w:rsidRPr="00C23074">
        <w:rPr>
          <w:color w:val="000000"/>
        </w:rPr>
        <w:t xml:space="preserve"> lower in Set 1 compared to the corresponding SNR level</w:t>
      </w:r>
      <w:r>
        <w:rPr>
          <w:color w:val="000000"/>
        </w:rPr>
        <w:t xml:space="preserve">s of Set 2. At very low SNR, </w:t>
      </w:r>
      <w:r w:rsidR="00571A90">
        <w:rPr>
          <w:color w:val="000000"/>
        </w:rPr>
        <w:t>some gain from repetition is wiped out by increased error in channel estimation.</w:t>
      </w:r>
    </w:p>
    <w:p w:rsidR="00187FAA" w:rsidRDefault="00187FAA" w:rsidP="00187FAA">
      <w:pPr>
        <w:tabs>
          <w:tab w:val="num" w:pos="720"/>
        </w:tabs>
        <w:jc w:val="center"/>
        <w:rPr>
          <w:b/>
          <w:color w:val="000000"/>
          <w:sz w:val="18"/>
          <w:szCs w:val="18"/>
        </w:rPr>
      </w:pPr>
    </w:p>
    <w:p w:rsidR="00187FAA" w:rsidRPr="003D6D62" w:rsidRDefault="00187FAA" w:rsidP="00187FAA">
      <w:pPr>
        <w:tabs>
          <w:tab w:val="num" w:pos="720"/>
        </w:tabs>
        <w:jc w:val="center"/>
        <w:rPr>
          <w:b/>
          <w:color w:val="000000"/>
          <w:sz w:val="18"/>
          <w:szCs w:val="18"/>
          <w:lang w:val="en-US"/>
        </w:rPr>
      </w:pPr>
      <w:r w:rsidRPr="003D6D62">
        <w:rPr>
          <w:b/>
          <w:color w:val="000000"/>
          <w:sz w:val="18"/>
          <w:szCs w:val="18"/>
        </w:rPr>
        <w:t>Table 2. SNR levels corresponding to out of sync and in sync MPDCCH parameters in ETU30L 2x1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2460"/>
        <w:gridCol w:w="2070"/>
      </w:tblGrid>
      <w:tr w:rsidR="00187FAA" w:rsidRPr="003D6D62" w:rsidTr="00A23135">
        <w:trPr>
          <w:tblHeader/>
          <w:jc w:val="center"/>
        </w:trPr>
        <w:tc>
          <w:tcPr>
            <w:tcW w:w="1199" w:type="dxa"/>
            <w:shd w:val="pct10" w:color="auto" w:fill="auto"/>
          </w:tcPr>
          <w:p w:rsidR="00187FAA" w:rsidRPr="003D6D62" w:rsidRDefault="00187FAA" w:rsidP="00A23135">
            <w:pPr>
              <w:spacing w:after="0"/>
              <w:rPr>
                <w:sz w:val="18"/>
                <w:szCs w:val="18"/>
              </w:rPr>
            </w:pPr>
          </w:p>
        </w:tc>
        <w:tc>
          <w:tcPr>
            <w:tcW w:w="2460" w:type="dxa"/>
            <w:shd w:val="pct10" w:color="auto" w:fill="auto"/>
          </w:tcPr>
          <w:p w:rsidR="00187FAA" w:rsidRPr="003D6D62" w:rsidRDefault="00187FAA" w:rsidP="00A23135">
            <w:pPr>
              <w:spacing w:after="0"/>
              <w:rPr>
                <w:sz w:val="18"/>
                <w:szCs w:val="18"/>
              </w:rPr>
            </w:pPr>
            <w:r w:rsidRPr="003D6D62">
              <w:rPr>
                <w:sz w:val="18"/>
                <w:szCs w:val="18"/>
              </w:rPr>
              <w:t>Out-of-sync</w:t>
            </w:r>
          </w:p>
          <w:p w:rsidR="00187FAA" w:rsidRPr="003D6D62" w:rsidRDefault="00187FAA" w:rsidP="00A23135">
            <w:pPr>
              <w:spacing w:after="0"/>
              <w:rPr>
                <w:sz w:val="18"/>
                <w:szCs w:val="18"/>
              </w:rPr>
            </w:pPr>
            <w:r w:rsidRPr="003D6D62">
              <w:rPr>
                <w:sz w:val="18"/>
                <w:szCs w:val="18"/>
              </w:rPr>
              <w:t>(SNR for 10% BLER)</w:t>
            </w:r>
          </w:p>
        </w:tc>
        <w:tc>
          <w:tcPr>
            <w:tcW w:w="2070" w:type="dxa"/>
            <w:shd w:val="pct10" w:color="auto" w:fill="auto"/>
          </w:tcPr>
          <w:p w:rsidR="00187FAA" w:rsidRPr="003D6D62" w:rsidRDefault="00187FAA" w:rsidP="00A23135">
            <w:pPr>
              <w:spacing w:after="0"/>
              <w:rPr>
                <w:sz w:val="18"/>
                <w:szCs w:val="18"/>
              </w:rPr>
            </w:pPr>
            <w:r w:rsidRPr="003D6D62">
              <w:rPr>
                <w:sz w:val="18"/>
                <w:szCs w:val="18"/>
              </w:rPr>
              <w:t>In-sync</w:t>
            </w:r>
          </w:p>
          <w:p w:rsidR="00187FAA" w:rsidRPr="003D6D62" w:rsidRDefault="00187FAA" w:rsidP="00A23135">
            <w:pPr>
              <w:spacing w:after="0"/>
              <w:rPr>
                <w:sz w:val="18"/>
                <w:szCs w:val="18"/>
              </w:rPr>
            </w:pPr>
            <w:r w:rsidRPr="003D6D62">
              <w:rPr>
                <w:sz w:val="18"/>
                <w:szCs w:val="18"/>
              </w:rPr>
              <w:t>(SNR for 2% BLER)</w:t>
            </w:r>
          </w:p>
        </w:tc>
      </w:tr>
      <w:tr w:rsidR="00187FAA" w:rsidRPr="003D6D62" w:rsidTr="00A23135">
        <w:trPr>
          <w:tblHeader/>
          <w:jc w:val="center"/>
        </w:trPr>
        <w:tc>
          <w:tcPr>
            <w:tcW w:w="1199" w:type="dxa"/>
            <w:shd w:val="clear" w:color="auto" w:fill="FFFFFF"/>
          </w:tcPr>
          <w:p w:rsidR="00187FAA" w:rsidRPr="003D6D62" w:rsidRDefault="00187FAA" w:rsidP="00A23135">
            <w:pPr>
              <w:spacing w:after="0"/>
              <w:rPr>
                <w:sz w:val="18"/>
                <w:szCs w:val="18"/>
              </w:rPr>
            </w:pPr>
            <w:r w:rsidRPr="003D6D62">
              <w:rPr>
                <w:sz w:val="18"/>
                <w:szCs w:val="18"/>
              </w:rPr>
              <w:t>Set 1</w:t>
            </w:r>
          </w:p>
        </w:tc>
        <w:tc>
          <w:tcPr>
            <w:tcW w:w="2460" w:type="dxa"/>
            <w:shd w:val="clear" w:color="auto" w:fill="FFFFFF"/>
          </w:tcPr>
          <w:p w:rsidR="00187FAA" w:rsidRPr="003D6D62" w:rsidRDefault="00187FAA" w:rsidP="00A23135">
            <w:pPr>
              <w:spacing w:after="0"/>
              <w:rPr>
                <w:sz w:val="18"/>
                <w:szCs w:val="18"/>
              </w:rPr>
            </w:pPr>
            <w:r w:rsidRPr="003D6D62">
              <w:rPr>
                <w:sz w:val="18"/>
                <w:szCs w:val="18"/>
              </w:rPr>
              <w:t>-11 dB</w:t>
            </w:r>
          </w:p>
          <w:p w:rsidR="00187FAA" w:rsidRPr="003D6D62" w:rsidRDefault="00187FAA" w:rsidP="00A23135">
            <w:pPr>
              <w:spacing w:after="0"/>
              <w:rPr>
                <w:sz w:val="18"/>
                <w:szCs w:val="18"/>
              </w:rPr>
            </w:pPr>
          </w:p>
        </w:tc>
        <w:tc>
          <w:tcPr>
            <w:tcW w:w="2070" w:type="dxa"/>
            <w:shd w:val="clear" w:color="auto" w:fill="FFFFFF"/>
          </w:tcPr>
          <w:p w:rsidR="00187FAA" w:rsidRPr="003D6D62" w:rsidRDefault="00187FAA" w:rsidP="00A23135">
            <w:pPr>
              <w:spacing w:after="0"/>
              <w:rPr>
                <w:sz w:val="18"/>
                <w:szCs w:val="18"/>
              </w:rPr>
            </w:pPr>
            <w:r w:rsidRPr="003D6D62">
              <w:rPr>
                <w:sz w:val="18"/>
                <w:szCs w:val="18"/>
              </w:rPr>
              <w:t>-4 dB</w:t>
            </w:r>
          </w:p>
        </w:tc>
      </w:tr>
      <w:tr w:rsidR="00187FAA" w:rsidRPr="003D6D62" w:rsidTr="00A23135">
        <w:trPr>
          <w:tblHeader/>
          <w:jc w:val="center"/>
        </w:trPr>
        <w:tc>
          <w:tcPr>
            <w:tcW w:w="1199" w:type="dxa"/>
            <w:shd w:val="clear" w:color="auto" w:fill="FFFFFF"/>
          </w:tcPr>
          <w:p w:rsidR="00187FAA" w:rsidRPr="003D6D62" w:rsidRDefault="00187FAA" w:rsidP="00A23135">
            <w:pPr>
              <w:spacing w:after="0"/>
              <w:rPr>
                <w:sz w:val="18"/>
                <w:szCs w:val="18"/>
              </w:rPr>
            </w:pPr>
            <w:r w:rsidRPr="003D6D62">
              <w:rPr>
                <w:sz w:val="18"/>
                <w:szCs w:val="18"/>
              </w:rPr>
              <w:t>Set 2</w:t>
            </w:r>
          </w:p>
        </w:tc>
        <w:tc>
          <w:tcPr>
            <w:tcW w:w="2460" w:type="dxa"/>
            <w:shd w:val="clear" w:color="auto" w:fill="FFFFFF"/>
          </w:tcPr>
          <w:p w:rsidR="00187FAA" w:rsidRPr="003D6D62" w:rsidRDefault="00187FAA" w:rsidP="00A23135">
            <w:pPr>
              <w:spacing w:after="0"/>
              <w:rPr>
                <w:sz w:val="18"/>
                <w:szCs w:val="18"/>
              </w:rPr>
            </w:pPr>
            <w:r w:rsidRPr="003D6D62">
              <w:rPr>
                <w:sz w:val="18"/>
                <w:szCs w:val="18"/>
              </w:rPr>
              <w:t>-8.6 dB</w:t>
            </w:r>
          </w:p>
          <w:p w:rsidR="00187FAA" w:rsidRPr="003D6D62" w:rsidRDefault="00187FAA" w:rsidP="00A23135">
            <w:pPr>
              <w:spacing w:after="0"/>
              <w:rPr>
                <w:sz w:val="18"/>
                <w:szCs w:val="18"/>
              </w:rPr>
            </w:pPr>
          </w:p>
        </w:tc>
        <w:tc>
          <w:tcPr>
            <w:tcW w:w="2070" w:type="dxa"/>
            <w:shd w:val="clear" w:color="auto" w:fill="FFFFFF"/>
          </w:tcPr>
          <w:p w:rsidR="00187FAA" w:rsidRPr="003D6D62" w:rsidRDefault="00187FAA" w:rsidP="00A23135">
            <w:pPr>
              <w:spacing w:after="0"/>
              <w:rPr>
                <w:sz w:val="18"/>
                <w:szCs w:val="18"/>
              </w:rPr>
            </w:pPr>
            <w:r w:rsidRPr="003D6D62">
              <w:rPr>
                <w:sz w:val="18"/>
                <w:szCs w:val="18"/>
              </w:rPr>
              <w:t>1 dB</w:t>
            </w:r>
          </w:p>
        </w:tc>
      </w:tr>
    </w:tbl>
    <w:p w:rsidR="00187FAA" w:rsidRDefault="00187FAA" w:rsidP="00187FAA">
      <w:pPr>
        <w:tabs>
          <w:tab w:val="num" w:pos="720"/>
        </w:tabs>
        <w:jc w:val="center"/>
        <w:rPr>
          <w:b/>
          <w:color w:val="000000"/>
          <w:sz w:val="18"/>
          <w:szCs w:val="18"/>
        </w:rPr>
      </w:pPr>
    </w:p>
    <w:p w:rsidR="00187FAA" w:rsidRPr="003D6D62" w:rsidRDefault="00187FAA" w:rsidP="00187FAA">
      <w:pPr>
        <w:tabs>
          <w:tab w:val="num" w:pos="720"/>
        </w:tabs>
        <w:jc w:val="center"/>
        <w:rPr>
          <w:b/>
          <w:color w:val="000000"/>
          <w:sz w:val="18"/>
          <w:szCs w:val="18"/>
          <w:lang w:val="en-US"/>
        </w:rPr>
      </w:pPr>
      <w:r w:rsidRPr="003D6D62">
        <w:rPr>
          <w:b/>
          <w:color w:val="000000"/>
          <w:sz w:val="18"/>
          <w:szCs w:val="18"/>
        </w:rPr>
        <w:t>Table 3. SNR levels corresponding to out of sync and in sync MPDCCH parameters in AWGN 2x1</w:t>
      </w:r>
      <w:r>
        <w:rPr>
          <w:b/>
          <w:color w:val="000000"/>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2460"/>
        <w:gridCol w:w="2070"/>
      </w:tblGrid>
      <w:tr w:rsidR="00187FAA" w:rsidRPr="003D6D62" w:rsidTr="00A23135">
        <w:trPr>
          <w:tblHeader/>
          <w:jc w:val="center"/>
        </w:trPr>
        <w:tc>
          <w:tcPr>
            <w:tcW w:w="1199" w:type="dxa"/>
            <w:shd w:val="pct10" w:color="auto" w:fill="auto"/>
          </w:tcPr>
          <w:p w:rsidR="00187FAA" w:rsidRPr="003D6D62" w:rsidRDefault="00187FAA" w:rsidP="00A23135">
            <w:pPr>
              <w:spacing w:after="0"/>
              <w:rPr>
                <w:sz w:val="18"/>
                <w:szCs w:val="18"/>
              </w:rPr>
            </w:pPr>
          </w:p>
        </w:tc>
        <w:tc>
          <w:tcPr>
            <w:tcW w:w="2460" w:type="dxa"/>
            <w:shd w:val="pct10" w:color="auto" w:fill="auto"/>
          </w:tcPr>
          <w:p w:rsidR="00187FAA" w:rsidRPr="003D6D62" w:rsidRDefault="00187FAA" w:rsidP="00A23135">
            <w:pPr>
              <w:spacing w:after="0"/>
              <w:rPr>
                <w:sz w:val="18"/>
                <w:szCs w:val="18"/>
              </w:rPr>
            </w:pPr>
            <w:r w:rsidRPr="003D6D62">
              <w:rPr>
                <w:sz w:val="18"/>
                <w:szCs w:val="18"/>
              </w:rPr>
              <w:t>Out-of-sync</w:t>
            </w:r>
          </w:p>
          <w:p w:rsidR="00187FAA" w:rsidRPr="003D6D62" w:rsidRDefault="00187FAA" w:rsidP="00A23135">
            <w:pPr>
              <w:spacing w:after="0"/>
              <w:rPr>
                <w:sz w:val="18"/>
                <w:szCs w:val="18"/>
              </w:rPr>
            </w:pPr>
            <w:r w:rsidRPr="003D6D62">
              <w:rPr>
                <w:sz w:val="18"/>
                <w:szCs w:val="18"/>
              </w:rPr>
              <w:t>(SNR for 10% BLER)</w:t>
            </w:r>
          </w:p>
        </w:tc>
        <w:tc>
          <w:tcPr>
            <w:tcW w:w="2070" w:type="dxa"/>
            <w:shd w:val="pct10" w:color="auto" w:fill="auto"/>
          </w:tcPr>
          <w:p w:rsidR="00187FAA" w:rsidRPr="003D6D62" w:rsidRDefault="00187FAA" w:rsidP="00A23135">
            <w:pPr>
              <w:spacing w:after="0"/>
              <w:rPr>
                <w:sz w:val="18"/>
                <w:szCs w:val="18"/>
              </w:rPr>
            </w:pPr>
            <w:r w:rsidRPr="003D6D62">
              <w:rPr>
                <w:sz w:val="18"/>
                <w:szCs w:val="18"/>
              </w:rPr>
              <w:t>In-sync</w:t>
            </w:r>
          </w:p>
          <w:p w:rsidR="00187FAA" w:rsidRPr="003D6D62" w:rsidRDefault="00187FAA" w:rsidP="00A23135">
            <w:pPr>
              <w:spacing w:after="0"/>
              <w:rPr>
                <w:sz w:val="18"/>
                <w:szCs w:val="18"/>
              </w:rPr>
            </w:pPr>
            <w:r w:rsidRPr="003D6D62">
              <w:rPr>
                <w:sz w:val="18"/>
                <w:szCs w:val="18"/>
              </w:rPr>
              <w:t>(SNR for 2% BLER)</w:t>
            </w:r>
          </w:p>
        </w:tc>
      </w:tr>
      <w:tr w:rsidR="00187FAA" w:rsidRPr="003D6D62" w:rsidTr="00A23135">
        <w:trPr>
          <w:tblHeader/>
          <w:jc w:val="center"/>
        </w:trPr>
        <w:tc>
          <w:tcPr>
            <w:tcW w:w="1199" w:type="dxa"/>
            <w:shd w:val="clear" w:color="auto" w:fill="FFFFFF"/>
          </w:tcPr>
          <w:p w:rsidR="00187FAA" w:rsidRPr="003D6D62" w:rsidRDefault="00187FAA" w:rsidP="00A23135">
            <w:pPr>
              <w:spacing w:after="0"/>
              <w:rPr>
                <w:sz w:val="18"/>
                <w:szCs w:val="18"/>
              </w:rPr>
            </w:pPr>
            <w:r w:rsidRPr="003D6D62">
              <w:rPr>
                <w:sz w:val="18"/>
                <w:szCs w:val="18"/>
              </w:rPr>
              <w:t>Set 1</w:t>
            </w:r>
          </w:p>
        </w:tc>
        <w:tc>
          <w:tcPr>
            <w:tcW w:w="2460" w:type="dxa"/>
            <w:shd w:val="clear" w:color="auto" w:fill="FFFFFF"/>
          </w:tcPr>
          <w:p w:rsidR="00187FAA" w:rsidRPr="003D6D62" w:rsidRDefault="00187FAA" w:rsidP="00A23135">
            <w:pPr>
              <w:spacing w:after="0"/>
              <w:rPr>
                <w:sz w:val="18"/>
                <w:szCs w:val="18"/>
              </w:rPr>
            </w:pPr>
            <w:r w:rsidRPr="003D6D62">
              <w:rPr>
                <w:sz w:val="18"/>
                <w:szCs w:val="18"/>
              </w:rPr>
              <w:t>-14 dB</w:t>
            </w:r>
          </w:p>
          <w:p w:rsidR="00187FAA" w:rsidRPr="003D6D62" w:rsidRDefault="00187FAA" w:rsidP="00A23135">
            <w:pPr>
              <w:spacing w:after="0"/>
              <w:rPr>
                <w:sz w:val="18"/>
                <w:szCs w:val="18"/>
              </w:rPr>
            </w:pPr>
          </w:p>
        </w:tc>
        <w:tc>
          <w:tcPr>
            <w:tcW w:w="2070" w:type="dxa"/>
            <w:shd w:val="clear" w:color="auto" w:fill="FFFFFF"/>
          </w:tcPr>
          <w:p w:rsidR="00187FAA" w:rsidRPr="003D6D62" w:rsidRDefault="00187FAA" w:rsidP="00A23135">
            <w:pPr>
              <w:spacing w:after="0"/>
              <w:rPr>
                <w:sz w:val="18"/>
                <w:szCs w:val="18"/>
              </w:rPr>
            </w:pPr>
            <w:r w:rsidRPr="003D6D62">
              <w:rPr>
                <w:sz w:val="18"/>
                <w:szCs w:val="18"/>
              </w:rPr>
              <w:t>-8 dB</w:t>
            </w:r>
          </w:p>
        </w:tc>
      </w:tr>
      <w:tr w:rsidR="00187FAA" w:rsidRPr="003D6D62" w:rsidTr="00A23135">
        <w:trPr>
          <w:tblHeader/>
          <w:jc w:val="center"/>
        </w:trPr>
        <w:tc>
          <w:tcPr>
            <w:tcW w:w="1199" w:type="dxa"/>
            <w:shd w:val="clear" w:color="auto" w:fill="FFFFFF"/>
          </w:tcPr>
          <w:p w:rsidR="00187FAA" w:rsidRPr="003D6D62" w:rsidRDefault="00EA2BD5" w:rsidP="00A23135">
            <w:pPr>
              <w:spacing w:after="0"/>
              <w:rPr>
                <w:sz w:val="18"/>
                <w:szCs w:val="18"/>
              </w:rPr>
            </w:pPr>
            <w:r>
              <w:rPr>
                <w:sz w:val="18"/>
                <w:szCs w:val="18"/>
              </w:rPr>
              <w:t xml:space="preserve">Set </w:t>
            </w:r>
            <w:r w:rsidR="00187FAA" w:rsidRPr="003D6D62">
              <w:rPr>
                <w:sz w:val="18"/>
                <w:szCs w:val="18"/>
              </w:rPr>
              <w:t>2</w:t>
            </w:r>
          </w:p>
        </w:tc>
        <w:tc>
          <w:tcPr>
            <w:tcW w:w="2460" w:type="dxa"/>
            <w:shd w:val="clear" w:color="auto" w:fill="FFFFFF"/>
          </w:tcPr>
          <w:p w:rsidR="00187FAA" w:rsidRPr="003D6D62" w:rsidRDefault="00187FAA" w:rsidP="00A23135">
            <w:pPr>
              <w:spacing w:after="0"/>
              <w:rPr>
                <w:sz w:val="18"/>
                <w:szCs w:val="18"/>
              </w:rPr>
            </w:pPr>
            <w:r w:rsidRPr="003D6D62">
              <w:rPr>
                <w:sz w:val="18"/>
                <w:szCs w:val="18"/>
              </w:rPr>
              <w:t>-11 dB</w:t>
            </w:r>
          </w:p>
          <w:p w:rsidR="00187FAA" w:rsidRPr="003D6D62" w:rsidRDefault="00187FAA" w:rsidP="00A23135">
            <w:pPr>
              <w:spacing w:after="0"/>
              <w:rPr>
                <w:sz w:val="18"/>
                <w:szCs w:val="18"/>
              </w:rPr>
            </w:pPr>
          </w:p>
        </w:tc>
        <w:tc>
          <w:tcPr>
            <w:tcW w:w="2070" w:type="dxa"/>
            <w:shd w:val="clear" w:color="auto" w:fill="FFFFFF"/>
          </w:tcPr>
          <w:p w:rsidR="00187FAA" w:rsidRPr="003D6D62" w:rsidRDefault="00187FAA" w:rsidP="00A23135">
            <w:pPr>
              <w:spacing w:after="0"/>
              <w:rPr>
                <w:sz w:val="18"/>
                <w:szCs w:val="18"/>
              </w:rPr>
            </w:pPr>
            <w:r w:rsidRPr="003D6D62">
              <w:rPr>
                <w:sz w:val="18"/>
                <w:szCs w:val="18"/>
              </w:rPr>
              <w:t xml:space="preserve"> -2.6 dB</w:t>
            </w:r>
          </w:p>
        </w:tc>
      </w:tr>
    </w:tbl>
    <w:p w:rsidR="003322D6" w:rsidRDefault="003322D6" w:rsidP="00187FAA"/>
    <w:p w:rsidR="00EA2BD5" w:rsidRPr="00D14A62" w:rsidRDefault="00EA2BD5" w:rsidP="00D14A62">
      <w:pPr>
        <w:spacing w:line="276" w:lineRule="auto"/>
      </w:pPr>
      <w:r w:rsidRPr="00D14A62">
        <w:t xml:space="preserve">Finally, it is critical to recognize that at very low SNR, reliably estimating SNR itself is a challenge. </w:t>
      </w:r>
      <w:r w:rsidR="00D14A62" w:rsidRPr="00D14A62">
        <w:t>From our evaluation of SNR estimation, at SNRs close to -15dB, accuracy of SNR estimation of only about ±5dB can be achieved and at SNRs around -6dB, the accuracy of about ±3dB can be achieved</w:t>
      </w:r>
      <w:r w:rsidR="00D14A62">
        <w:t xml:space="preserve">. Thus an 8 to 10dB gap is required </w:t>
      </w:r>
      <w:r w:rsidR="00FB4790">
        <w:t xml:space="preserve">between Qin and </w:t>
      </w:r>
      <w:proofErr w:type="spellStart"/>
      <w:r w:rsidR="00FB4790">
        <w:t>Qout</w:t>
      </w:r>
      <w:proofErr w:type="spellEnd"/>
      <w:r w:rsidR="00FB4790">
        <w:t xml:space="preserve"> levels so</w:t>
      </w:r>
      <w:r w:rsidR="00D14A62">
        <w:t xml:space="preserve"> that reasonable</w:t>
      </w:r>
      <w:r w:rsidR="00FB4790">
        <w:t xml:space="preserve"> values of</w:t>
      </w:r>
      <w:r w:rsidR="00D14A62">
        <w:t xml:space="preserve"> SNR2 and SNR4</w:t>
      </w:r>
      <w:r w:rsidR="00F92181">
        <w:t xml:space="preserve"> (see Figure 1)</w:t>
      </w:r>
      <w:r w:rsidR="00D14A62">
        <w:t xml:space="preserve"> </w:t>
      </w:r>
      <w:r w:rsidR="00FB4790">
        <w:t>can be set for stable test conditions</w:t>
      </w:r>
      <w:r w:rsidR="00D14A62">
        <w:t>.</w:t>
      </w:r>
      <w:r w:rsidR="00FB4790">
        <w:t xml:space="preserve"> This condition does not hold true in Set 1, where gap in AWGN is 6dB and gap in ETU30L is only 7dB.</w:t>
      </w:r>
      <w:r w:rsidR="00D14A62">
        <w:t xml:space="preserve"> </w:t>
      </w:r>
    </w:p>
    <w:p w:rsidR="00EA2BD5" w:rsidRDefault="00EA2BD5" w:rsidP="00187FAA"/>
    <w:p w:rsidR="00EA2BD5" w:rsidRDefault="00EA2BD5" w:rsidP="00EA2BD5">
      <w:pPr>
        <w:jc w:val="center"/>
        <w:rPr>
          <w:b/>
          <w:lang w:val="en-US"/>
        </w:rPr>
      </w:pPr>
      <w:r>
        <w:rPr>
          <w:b/>
          <w:noProof/>
          <w:lang w:val="en-US"/>
        </w:rPr>
        <mc:AlternateContent>
          <mc:Choice Requires="wpg">
            <w:drawing>
              <wp:anchor distT="0" distB="0" distL="114300" distR="114300" simplePos="0" relativeHeight="251659264" behindDoc="0" locked="0" layoutInCell="1" allowOverlap="1">
                <wp:simplePos x="0" y="0"/>
                <wp:positionH relativeFrom="column">
                  <wp:posOffset>349250</wp:posOffset>
                </wp:positionH>
                <wp:positionV relativeFrom="paragraph">
                  <wp:posOffset>65405</wp:posOffset>
                </wp:positionV>
                <wp:extent cx="4987925" cy="1483995"/>
                <wp:effectExtent l="0" t="0" r="0" b="0"/>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87925" cy="1483995"/>
                          <a:chOff x="0" y="0"/>
                          <a:chExt cx="4051054" cy="1613794"/>
                        </a:xfrm>
                      </wpg:grpSpPr>
                      <wpg:grpSp>
                        <wpg:cNvPr id="29" name="Group 2"/>
                        <wpg:cNvGrpSpPr>
                          <a:grpSpLocks/>
                        </wpg:cNvGrpSpPr>
                        <wpg:grpSpPr bwMode="auto">
                          <a:xfrm>
                            <a:off x="70724" y="0"/>
                            <a:ext cx="3980330" cy="1613794"/>
                            <a:chOff x="70724" y="0"/>
                            <a:chExt cx="3980330" cy="1613794"/>
                          </a:xfrm>
                        </wpg:grpSpPr>
                        <wps:wsp>
                          <wps:cNvPr id="30" name="Elbow Connector 7"/>
                          <wps:cNvCnPr>
                            <a:cxnSpLocks noChangeShapeType="1"/>
                          </wps:cNvCnPr>
                          <wps:spPr bwMode="auto">
                            <a:xfrm>
                              <a:off x="759214" y="107722"/>
                              <a:ext cx="645459" cy="537882"/>
                            </a:xfrm>
                            <a:prstGeom prst="bentConnector3">
                              <a:avLst>
                                <a:gd name="adj1" fmla="val 50000"/>
                              </a:avLst>
                            </a:prstGeom>
                            <a:noFill/>
                            <a:ln w="952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Elbow Connector 8"/>
                          <wps:cNvCnPr>
                            <a:cxnSpLocks noChangeShapeType="1"/>
                          </wps:cNvCnPr>
                          <wps:spPr bwMode="auto">
                            <a:xfrm>
                              <a:off x="1216414" y="645604"/>
                              <a:ext cx="1484555" cy="381897"/>
                            </a:xfrm>
                            <a:prstGeom prst="bentConnector3">
                              <a:avLst>
                                <a:gd name="adj1" fmla="val 16306"/>
                              </a:avLst>
                            </a:prstGeom>
                            <a:noFill/>
                            <a:ln w="952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2" name="Elbow Connector 9"/>
                          <wps:cNvCnPr>
                            <a:cxnSpLocks noChangeShapeType="1"/>
                          </wps:cNvCnPr>
                          <wps:spPr bwMode="auto">
                            <a:xfrm rot="5400000" flipH="1" flipV="1">
                              <a:off x="2536915" y="417004"/>
                              <a:ext cx="785309" cy="457200"/>
                            </a:xfrm>
                            <a:prstGeom prst="bentConnector3">
                              <a:avLst>
                                <a:gd name="adj1" fmla="val 66440"/>
                              </a:avLst>
                            </a:prstGeom>
                            <a:noFill/>
                            <a:ln w="952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3" name="Straight Connector 10"/>
                          <wps:cNvCnPr>
                            <a:cxnSpLocks noChangeShapeType="1"/>
                          </wps:cNvCnPr>
                          <wps:spPr bwMode="auto">
                            <a:xfrm>
                              <a:off x="3158170" y="250458"/>
                              <a:ext cx="672350" cy="0"/>
                            </a:xfrm>
                            <a:prstGeom prst="line">
                              <a:avLst/>
                            </a:prstGeom>
                            <a:noFill/>
                            <a:ln w="952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4" name="TextBox 41"/>
                          <wps:cNvSpPr txBox="1">
                            <a:spLocks noChangeArrowheads="1"/>
                          </wps:cNvSpPr>
                          <wps:spPr bwMode="auto">
                            <a:xfrm>
                              <a:off x="70724" y="0"/>
                              <a:ext cx="565081" cy="21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 level</w:t>
                                </w:r>
                              </w:p>
                            </w:txbxContent>
                          </wps:txbx>
                          <wps:bodyPr rot="0" vert="horz" wrap="square" lIns="91440" tIns="45720" rIns="91440" bIns="45720" anchor="t" anchorCtr="0" upright="1">
                            <a:noAutofit/>
                          </wps:bodyPr>
                        </wps:wsp>
                        <wps:wsp>
                          <wps:cNvPr id="35" name="TextBox 42"/>
                          <wps:cNvSpPr txBox="1">
                            <a:spLocks noChangeArrowheads="1"/>
                          </wps:cNvSpPr>
                          <wps:spPr bwMode="auto">
                            <a:xfrm>
                              <a:off x="1118376" y="70070"/>
                              <a:ext cx="40427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SNR1</w:t>
                                </w:r>
                              </w:p>
                            </w:txbxContent>
                          </wps:txbx>
                          <wps:bodyPr rot="0" vert="horz" wrap="square" lIns="91440" tIns="45720" rIns="91440" bIns="45720" anchor="t" anchorCtr="0" upright="1">
                            <a:noAutofit/>
                          </wps:bodyPr>
                        </wps:wsp>
                        <wps:wsp>
                          <wps:cNvPr id="36" name="TextBox 43"/>
                          <wps:cNvSpPr txBox="1">
                            <a:spLocks noChangeArrowheads="1"/>
                          </wps:cNvSpPr>
                          <wps:spPr bwMode="auto">
                            <a:xfrm>
                              <a:off x="677665" y="513386"/>
                              <a:ext cx="40427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SNR2</w:t>
                                </w:r>
                              </w:p>
                            </w:txbxContent>
                          </wps:txbx>
                          <wps:bodyPr rot="0" vert="horz" wrap="square" lIns="91440" tIns="45720" rIns="91440" bIns="45720" anchor="t" anchorCtr="0" upright="1">
                            <a:noAutofit/>
                          </wps:bodyPr>
                        </wps:wsp>
                        <wps:wsp>
                          <wps:cNvPr id="37" name="TextBox 44"/>
                          <wps:cNvSpPr txBox="1">
                            <a:spLocks noChangeArrowheads="1"/>
                          </wps:cNvSpPr>
                          <wps:spPr bwMode="auto">
                            <a:xfrm>
                              <a:off x="1014275" y="930537"/>
                              <a:ext cx="40427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Pr>
                                    <w:rFonts w:ascii="Calibri" w:hAnsi="Calibri"/>
                                    <w:color w:val="000000"/>
                                    <w:kern w:val="24"/>
                                    <w:sz w:val="16"/>
                                    <w:szCs w:val="16"/>
                                  </w:rPr>
                                  <w:t>SNR3</w:t>
                                </w:r>
                              </w:p>
                            </w:txbxContent>
                          </wps:txbx>
                          <wps:bodyPr rot="0" vert="horz" wrap="square" lIns="91440" tIns="45720" rIns="91440" bIns="45720" anchor="t" anchorCtr="0" upright="1">
                            <a:noAutofit/>
                          </wps:bodyPr>
                        </wps:wsp>
                        <wps:wsp>
                          <wps:cNvPr id="38" name="TextBox 45"/>
                          <wps:cNvSpPr txBox="1">
                            <a:spLocks noChangeArrowheads="1"/>
                          </wps:cNvSpPr>
                          <wps:spPr bwMode="auto">
                            <a:xfrm>
                              <a:off x="2301717" y="419402"/>
                              <a:ext cx="40427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SNR4</w:t>
                                </w:r>
                              </w:p>
                            </w:txbxContent>
                          </wps:txbx>
                          <wps:bodyPr rot="0" vert="horz" wrap="square" lIns="91440" tIns="45720" rIns="91440" bIns="45720" anchor="t" anchorCtr="0" upright="1">
                            <a:noAutofit/>
                          </wps:bodyPr>
                        </wps:wsp>
                        <wps:wsp>
                          <wps:cNvPr id="39" name="TextBox 46"/>
                          <wps:cNvSpPr txBox="1">
                            <a:spLocks noChangeArrowheads="1"/>
                          </wps:cNvSpPr>
                          <wps:spPr bwMode="auto">
                            <a:xfrm>
                              <a:off x="2753892" y="70070"/>
                              <a:ext cx="40427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SNR5</w:t>
                                </w:r>
                              </w:p>
                            </w:txbxContent>
                          </wps:txbx>
                          <wps:bodyPr rot="0" vert="horz" wrap="square" lIns="91440" tIns="45720" rIns="91440" bIns="45720" anchor="t" anchorCtr="0" upright="1">
                            <a:noAutofit/>
                          </wps:bodyPr>
                        </wps:wsp>
                        <wps:wsp>
                          <wps:cNvPr id="40" name="Straight Connector 17"/>
                          <wps:cNvCnPr>
                            <a:cxnSpLocks noChangeShapeType="1"/>
                          </wps:cNvCnPr>
                          <wps:spPr bwMode="auto">
                            <a:xfrm>
                              <a:off x="394672" y="1312288"/>
                              <a:ext cx="3656382" cy="0"/>
                            </a:xfrm>
                            <a:prstGeom prst="line">
                              <a:avLst/>
                            </a:prstGeom>
                            <a:noFill/>
                            <a:ln w="9525"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1" name="Straight Connector 18"/>
                          <wps:cNvCnPr>
                            <a:cxnSpLocks noChangeShapeType="1"/>
                          </wps:cNvCnPr>
                          <wps:spPr bwMode="auto">
                            <a:xfrm flipV="1">
                              <a:off x="1461584" y="1218156"/>
                              <a:ext cx="0" cy="172123"/>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2" name="Straight Connector 19"/>
                          <wps:cNvCnPr>
                            <a:cxnSpLocks noChangeShapeType="1"/>
                          </wps:cNvCnPr>
                          <wps:spPr bwMode="auto">
                            <a:xfrm flipV="1">
                              <a:off x="1081943" y="1218156"/>
                              <a:ext cx="0" cy="172123"/>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3" name="Straight Connector 20"/>
                          <wps:cNvCnPr>
                            <a:cxnSpLocks noChangeShapeType="1"/>
                          </wps:cNvCnPr>
                          <wps:spPr bwMode="auto">
                            <a:xfrm flipV="1">
                              <a:off x="2702762" y="1226227"/>
                              <a:ext cx="0" cy="172123"/>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Straight Connector 21"/>
                          <wps:cNvCnPr>
                            <a:cxnSpLocks noChangeShapeType="1"/>
                          </wps:cNvCnPr>
                          <wps:spPr bwMode="auto">
                            <a:xfrm flipV="1">
                              <a:off x="3183271" y="1226227"/>
                              <a:ext cx="0" cy="172123"/>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Straight Connector 22"/>
                          <wps:cNvCnPr>
                            <a:cxnSpLocks noChangeShapeType="1"/>
                          </wps:cNvCnPr>
                          <wps:spPr bwMode="auto">
                            <a:xfrm flipV="1">
                              <a:off x="3609991" y="1226227"/>
                              <a:ext cx="0" cy="172123"/>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TextBox 59"/>
                          <wps:cNvSpPr txBox="1">
                            <a:spLocks noChangeArrowheads="1"/>
                          </wps:cNvSpPr>
                          <wps:spPr bwMode="auto">
                            <a:xfrm>
                              <a:off x="959954" y="1395513"/>
                              <a:ext cx="24397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A</w:t>
                                </w:r>
                              </w:p>
                            </w:txbxContent>
                          </wps:txbx>
                          <wps:bodyPr rot="0" vert="horz" wrap="square" lIns="91440" tIns="45720" rIns="91440" bIns="45720" anchor="t" anchorCtr="0" upright="1">
                            <a:noAutofit/>
                          </wps:bodyPr>
                        </wps:wsp>
                        <wps:wsp>
                          <wps:cNvPr id="47" name="TextBox 60"/>
                          <wps:cNvSpPr txBox="1">
                            <a:spLocks noChangeArrowheads="1"/>
                          </wps:cNvSpPr>
                          <wps:spPr bwMode="auto">
                            <a:xfrm>
                              <a:off x="1331135" y="1398350"/>
                              <a:ext cx="240772"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B</w:t>
                                </w:r>
                              </w:p>
                            </w:txbxContent>
                          </wps:txbx>
                          <wps:bodyPr rot="0" vert="horz" wrap="square" lIns="91440" tIns="45720" rIns="91440" bIns="45720" anchor="t" anchorCtr="0" upright="1">
                            <a:noAutofit/>
                          </wps:bodyPr>
                        </wps:wsp>
                        <wps:wsp>
                          <wps:cNvPr id="48" name="TextBox 61"/>
                          <wps:cNvSpPr txBox="1">
                            <a:spLocks noChangeArrowheads="1"/>
                          </wps:cNvSpPr>
                          <wps:spPr bwMode="auto">
                            <a:xfrm>
                              <a:off x="2580583" y="1398349"/>
                              <a:ext cx="239168"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C</w:t>
                                </w:r>
                              </w:p>
                            </w:txbxContent>
                          </wps:txbx>
                          <wps:bodyPr rot="0" vert="horz" wrap="square" lIns="91440" tIns="45720" rIns="91440" bIns="45720" anchor="t" anchorCtr="0" upright="1">
                            <a:noAutofit/>
                          </wps:bodyPr>
                        </wps:wsp>
                        <wps:wsp>
                          <wps:cNvPr id="49" name="TextBox 62"/>
                          <wps:cNvSpPr txBox="1">
                            <a:spLocks noChangeArrowheads="1"/>
                          </wps:cNvSpPr>
                          <wps:spPr bwMode="auto">
                            <a:xfrm>
                              <a:off x="3063687" y="1395513"/>
                              <a:ext cx="247184"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D</w:t>
                                </w:r>
                              </w:p>
                            </w:txbxContent>
                          </wps:txbx>
                          <wps:bodyPr rot="0" vert="horz" wrap="square" lIns="91440" tIns="45720" rIns="91440" bIns="45720" anchor="t" anchorCtr="0" upright="1">
                            <a:noAutofit/>
                          </wps:bodyPr>
                        </wps:wsp>
                        <wps:wsp>
                          <wps:cNvPr id="50" name="TextBox 63"/>
                          <wps:cNvSpPr txBox="1">
                            <a:spLocks noChangeArrowheads="1"/>
                          </wps:cNvSpPr>
                          <wps:spPr bwMode="auto">
                            <a:xfrm>
                              <a:off x="3494345" y="1398349"/>
                              <a:ext cx="234360"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E</w:t>
                                </w:r>
                              </w:p>
                            </w:txbxContent>
                          </wps:txbx>
                          <wps:bodyPr rot="0" vert="horz" wrap="square" lIns="91440" tIns="45720" rIns="91440" bIns="45720" anchor="t" anchorCtr="0" upright="1">
                            <a:noAutofit/>
                          </wps:bodyPr>
                        </wps:wsp>
                      </wpg:grpSp>
                      <wps:wsp>
                        <wps:cNvPr id="51" name="Straight Connector 3"/>
                        <wps:cNvCnPr>
                          <a:cxnSpLocks noChangeShapeType="1"/>
                        </wps:cNvCnPr>
                        <wps:spPr bwMode="auto">
                          <a:xfrm>
                            <a:off x="357019" y="887651"/>
                            <a:ext cx="3662979" cy="0"/>
                          </a:xfrm>
                          <a:prstGeom prst="line">
                            <a:avLst/>
                          </a:prstGeom>
                          <a:noFill/>
                          <a:ln w="9525" algn="ctr">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52" name="Straight Connector 4"/>
                        <wps:cNvCnPr>
                          <a:cxnSpLocks noChangeShapeType="1"/>
                        </wps:cNvCnPr>
                        <wps:spPr bwMode="auto">
                          <a:xfrm>
                            <a:off x="357020" y="419402"/>
                            <a:ext cx="3662979" cy="0"/>
                          </a:xfrm>
                          <a:prstGeom prst="line">
                            <a:avLst/>
                          </a:prstGeom>
                          <a:noFill/>
                          <a:ln w="9525" algn="ctr">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53" name="TextBox 69"/>
                        <wps:cNvSpPr txBox="1">
                          <a:spLocks noChangeArrowheads="1"/>
                        </wps:cNvSpPr>
                        <wps:spPr bwMode="auto">
                          <a:xfrm>
                            <a:off x="0" y="772769"/>
                            <a:ext cx="396262"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proofErr w:type="spellStart"/>
                              <w:r w:rsidRPr="00263399">
                                <w:rPr>
                                  <w:rFonts w:ascii="Calibri" w:hAnsi="Calibri"/>
                                  <w:color w:val="000000"/>
                                  <w:kern w:val="24"/>
                                  <w:sz w:val="16"/>
                                  <w:szCs w:val="16"/>
                                </w:rPr>
                                <w:t>Qout</w:t>
                              </w:r>
                              <w:proofErr w:type="spellEnd"/>
                            </w:p>
                          </w:txbxContent>
                        </wps:txbx>
                        <wps:bodyPr rot="0" vert="horz" wrap="square" lIns="91440" tIns="45720" rIns="91440" bIns="45720" anchor="t" anchorCtr="0" upright="1">
                          <a:noAutofit/>
                        </wps:bodyPr>
                      </wps:wsp>
                      <wps:wsp>
                        <wps:cNvPr id="54" name="TextBox 70"/>
                        <wps:cNvSpPr txBox="1">
                          <a:spLocks noChangeArrowheads="1"/>
                        </wps:cNvSpPr>
                        <wps:spPr bwMode="auto">
                          <a:xfrm>
                            <a:off x="1004" y="297942"/>
                            <a:ext cx="332142"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Qin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style="position:absolute;left:0;text-align:left;margin-left:27.5pt;margin-top:5.15pt;width:392.75pt;height:116.85pt;z-index:251659264" coordsize="40510,1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">
                <v:group id="Group 2" o:spid="_x0000_s1027" style="position:absolute;left:707;width:39803;height:16137" coordorigin="707" coordsize="39803,161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 o:spid="_x0000_s1028" type="#_x0000_t34" style="position:absolute;left:7592;top:1077;width:6454;height:537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5aFMIAAADbAAAADwAAAGRycy9kb3ducmV2LnhtbERP3WrCMBS+F3yHcAa703QbzNIZpVQG&#10;+7kQqw9w1pw1XZuT0kStPr25GHj58f0v16PtxIkG3zhW8DRPQBBXTjdcKzjs32cpCB+QNXaOScGF&#10;PKxX08kSM+3OvKNTGWoRQ9hnqMCE0GdS+sqQRT93PXHkft1gMUQ41FIPeI7htpPPSfIqLTYcGwz2&#10;VBiq2vJoFfTfX+Xux2w+/+r2WFy3ebFIx4tSjw9j/gYi0Bju4n/3h1bwEtfHL/E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5aFMIAAADbAAAADwAAAAAAAAAAAAAA&#10;AAChAgAAZHJzL2Rvd25yZXYueG1sUEsFBgAAAAAEAAQA+QAAAJADAAAAAA==&#10;"/>
                  <v:shape id="Elbow Connector 8" o:spid="_x0000_s1029" type="#_x0000_t34" style="position:absolute;left:12164;top:6456;width:14845;height:38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XyfcEAAADbAAAADwAAAGRycy9kb3ducmV2LnhtbESP0YrCMBRE3wX/IVzBN027onS7xlKE&#10;hT7u1v2AS3NtyzY3pUlt/XsjCD4OM3OGOWaz6cSNBtdaVhBvIxDEldUt1wr+Lt+bBITzyBo7y6Tg&#10;Tg6y03JxxFTbiX/pVvpaBAi7FBU03veplK5qyKDb2p44eFc7GPRBDrXUA04Bbjr5EUUHabDlsNBg&#10;T+eGqv9yNAp8MSXjT9yPu+u9/Oz2ZxvlulBqvZrzLxCeZv8Ov9qFVrCL4fkl/AB5e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tfJ9wQAAANsAAAAPAAAAAAAAAAAAAAAA&#10;AKECAABkcnMvZG93bnJldi54bWxQSwUGAAAAAAQABAD5AAAAjwMAAAAA&#10;" adj="3522"/>
                  <v:shape id="Elbow Connector 9" o:spid="_x0000_s1030" type="#_x0000_t34" style="position:absolute;left:25368;top:4170;width:7853;height:4572;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3X0cAAAADbAAAADwAAAGRycy9kb3ducmV2LnhtbESPzarCMBSE9xd8h3AEd9dUBZFqFBFE&#10;d+IPuD00x6banIQmavv2Rrhwl8PMfMMsVq2txYuaUDlWMBpmIIgLpysuFVzO298ZiBCRNdaOSUFH&#10;AVbL3s8Cc+3efKTXKZYiQTjkqMDE6HMpQ2HIYhg6T5y8m2ssxiSbUuoG3wluaznOsqm0WHFaMOhp&#10;Y6h4nJ5Wga+vciTdPes6fzDnsKtu002n1KDfrucgIrXxP/zX3msFkzF8v6QfIJ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eN19HAAAAA2wAAAA8AAAAAAAAAAAAAAAAA&#10;oQIAAGRycy9kb3ducmV2LnhtbFBLBQYAAAAABAAEAPkAAACOAwAAAAA=&#10;" adj="14351"/>
                  <v:line id="Straight Connector 10" o:spid="_x0000_s1031" style="position:absolute;visibility:visible;mso-wrap-style:square" from="31581,2504" to="38305,2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hvv8QAAADbAAAADwAAAGRycy9kb3ducmV2LnhtbESPQU/CQBCF7yb8h82QeJMtNjFYWQig&#10;RCInwRiPk+64rXRnm+4I9d+zJiQcX968782bznvfqCN1sQ5sYDzKQBGXwdbsDHzs13cTUFGQLTaB&#10;ycAfRZjPBjdTLGw48Tsdd+JUgnAs0EAl0hZax7Iij3EUWuLkfYfOoyTZOW07PCW4b/R9lj1ojzWn&#10;hgpbWlVUHna/Pr2xfXRf8kLL1+elvOHa7fkz/zHmdtgvnkAJ9XI9vqQ31kCew/+WBAA9O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iG+/xAAAANsAAAAPAAAAAAAAAAAA&#10;AAAAAKECAABkcnMvZG93bnJldi54bWxQSwUGAAAAAAQABAD5AAAAkgMAAAAA&#10;">
                    <v:stroke endarrow="block" joinstyle="miter"/>
                  </v:line>
                  <v:shapetype id="_x0000_t202" coordsize="21600,21600" o:spt="202" path="m,l,21600r21600,l21600,xe">
                    <v:stroke joinstyle="miter"/>
                    <v:path gradientshapeok="t" o:connecttype="rect"/>
                  </v:shapetype>
                  <v:shape id="TextBox 41" o:spid="_x0000_s1032" type="#_x0000_t202" style="position:absolute;left:707;width:5651;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 level</w:t>
                          </w:r>
                        </w:p>
                      </w:txbxContent>
                    </v:textbox>
                  </v:shape>
                  <v:shape id="TextBox 42" o:spid="_x0000_s1033" type="#_x0000_t202" style="position:absolute;left:11183;top:700;width:4043;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SNR1</w:t>
                          </w:r>
                        </w:p>
                      </w:txbxContent>
                    </v:textbox>
                  </v:shape>
                  <v:shape id="TextBox 43" o:spid="_x0000_s1034" type="#_x0000_t202" style="position:absolute;left:6776;top:5133;width:4043;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SNR2</w:t>
                          </w:r>
                        </w:p>
                      </w:txbxContent>
                    </v:textbox>
                  </v:shape>
                  <v:shape id="TextBox 44" o:spid="_x0000_s1035" type="#_x0000_t202" style="position:absolute;left:10142;top:9305;width:4043;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EA2BD5" w:rsidRDefault="00EA2BD5" w:rsidP="00EA2BD5">
                          <w:pPr>
                            <w:pStyle w:val="NormalWeb"/>
                            <w:spacing w:before="0" w:beforeAutospacing="0" w:after="0" w:afterAutospacing="0"/>
                          </w:pPr>
                          <w:r>
                            <w:rPr>
                              <w:rFonts w:ascii="Calibri" w:hAnsi="Calibri"/>
                              <w:color w:val="000000"/>
                              <w:kern w:val="24"/>
                              <w:sz w:val="16"/>
                              <w:szCs w:val="16"/>
                            </w:rPr>
                            <w:t>SNR3</w:t>
                          </w:r>
                        </w:p>
                      </w:txbxContent>
                    </v:textbox>
                  </v:shape>
                  <v:shape id="TextBox 45" o:spid="_x0000_s1036" type="#_x0000_t202" style="position:absolute;left:23017;top:4194;width:4042;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SNR4</w:t>
                          </w:r>
                        </w:p>
                      </w:txbxContent>
                    </v:textbox>
                  </v:shape>
                  <v:shape id="TextBox 46" o:spid="_x0000_s1037" type="#_x0000_t202" style="position:absolute;left:27538;top:700;width:4043;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SNR5</w:t>
                          </w:r>
                        </w:p>
                      </w:txbxContent>
                    </v:textbox>
                  </v:shape>
                  <v:line id="Straight Connector 17" o:spid="_x0000_s1038" style="position:absolute;visibility:visible;mso-wrap-style:square" from="3946,13122" to="40510,13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yCtcQAAADbAAAADwAAAGRycy9kb3ducmV2LnhtbESPwU7DMAyG70i8Q2QkbiwdIARl2cSA&#10;CTRObNPE0Wq8tFvjVI3ZytvjAxJH6/f/+fNkNsTWHKnPTWIH41EBhrhKvuHgYLNeXN2DyYLssU1M&#10;Dn4ow2x6fjbB0qcTf9JxJcEohHOJDmqRrrQ2VzVFzKPUEWu2S31E0bEP1vd4Unhs7XVR3NmIDeuF&#10;Gjt6rqk6rL6janw8hC95pfnby1yWuAhr3t7snbu8GJ4ewQgN8r/81373Dm7VXn9RANj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XIK1xAAAANsAAAAPAAAAAAAAAAAA&#10;AAAAAKECAABkcnMvZG93bnJldi54bWxQSwUGAAAAAAQABAD5AAAAkgMAAAAA&#10;">
                    <v:stroke endarrow="block" joinstyle="miter"/>
                  </v:line>
                  <v:line id="Straight Connector 18" o:spid="_x0000_s1039" style="position:absolute;flip:y;visibility:visible;mso-wrap-style:square" from="14615,12181" to="14615,13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YOsMAAADbAAAADwAAAGRycy9kb3ducmV2LnhtbESPT4vCMBTE74LfIbwFb5oqom7XKCKI&#10;exHWPwjeHs3bttq8lCTW7rffCILHYWZ+w8yXralEQ86XlhUMBwkI4szqknMFp+OmPwPhA7LGyjIp&#10;+CMPy0W3M8dU2wfvqTmEXEQI+xQVFCHUqZQ+K8igH9iaOHq/1hkMUbpcaoePCDeVHCXJRBosOS4U&#10;WNO6oOx2uBsFjZPXW3CmvfyMz9OLvH7Otn6nVO+jXX2BCNSGd/jV/tYKxkN4fo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vmDrDAAAA2wAAAA8AAAAAAAAAAAAA&#10;AAAAoQIAAGRycy9kb3ducmV2LnhtbFBLBQYAAAAABAAEAPkAAACRAwAAAAA=&#10;" strokeweight="1pt">
                    <v:stroke joinstyle="miter"/>
                  </v:line>
                  <v:line id="Straight Connector 19" o:spid="_x0000_s1040" style="position:absolute;flip:y;visibility:visible;mso-wrap-style:square" from="10819,12181" to="10819,13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0GTcIAAADbAAAADwAAAGRycy9kb3ducmV2LnhtbESPQYvCMBSE7wv+h/AEb2uqiKvVKCIs&#10;7kVwVQRvj+bZVpuXkmRr998bQfA4zMw3zHzZmko05HxpWcGgn4AgzqwuOVdwPHx/TkD4gKyxskwK&#10;/snDctH5mGOq7Z1/qdmHXEQI+xQVFCHUqZQ+K8ig79uaOHoX6wyGKF0utcN7hJtKDpNkLA2WHBcK&#10;rGldUHbb/xkFjZPXW3CmPe9Gp6+zvE4nG79VqtdtVzMQgdrwDr/aP1rBaAjPL/E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r0GTcIAAADbAAAADwAAAAAAAAAAAAAA&#10;AAChAgAAZHJzL2Rvd25yZXYueG1sUEsFBgAAAAAEAAQA+QAAAJADAAAAAA==&#10;" strokeweight="1pt">
                    <v:stroke joinstyle="miter"/>
                  </v:line>
                  <v:line id="Straight Connector 20" o:spid="_x0000_s1041" style="position:absolute;flip:y;visibility:visible;mso-wrap-style:square" from="27027,12262" to="27027,1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Gj1sQAAADbAAAADwAAAGRycy9kb3ducmV2LnhtbESPT4vCMBTE7wt+h/CEva2pf9jVahQR&#10;RC/Crorg7dE822rzUpJsrd/eCAt7HGbmN8xs0ZpKNOR8aVlBv5eAIM6sLjlXcDysP8YgfEDWWFkm&#10;BQ/ysJh33maYanvnH2r2IRcRwj5FBUUIdSqlzwoy6Hu2Jo7exTqDIUqXS+3wHuGmkoMk+ZQGS44L&#10;Bda0Kii77X+NgsbJ6y04056/R6evs7xOxhu/U+q92y6nIAK14T/8195qBaMhvL7EHy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8aPWxAAAANsAAAAPAAAAAAAAAAAA&#10;AAAAAKECAABkcnMvZG93bnJldi54bWxQSwUGAAAAAAQABAD5AAAAkgMAAAAA&#10;" strokeweight="1pt">
                    <v:stroke joinstyle="miter"/>
                  </v:line>
                  <v:line id="Straight Connector 21" o:spid="_x0000_s1042" style="position:absolute;flip:y;visibility:visible;mso-wrap-style:square" from="31832,12262" to="31832,1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g7osMAAADbAAAADwAAAGRycy9kb3ducmV2LnhtbESPQWvCQBSE70L/w/KE3nSjhKrRVYpQ&#10;6qWgtgjeHtlnEs2+DbvbGP+9Kwgeh5n5hlmsOlOLlpyvLCsYDRMQxLnVFRcK/n6/BlMQPiBrrC2T&#10;ght5WC3fegvMtL3yjtp9KESEsM9QQRlCk0np85IM+qFtiKN3ss5giNIVUju8Rrip5ThJPqTBiuNC&#10;iQ2tS8ov+3+joHXyfAnOdMdtepgc5Xk2/fY/Sr33u885iEBdeIWf7Y1WkKbw+BJ/gF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YO6LDAAAA2wAAAA8AAAAAAAAAAAAA&#10;AAAAoQIAAGRycy9kb3ducmV2LnhtbFBLBQYAAAAABAAEAPkAAACRAwAAAAA=&#10;" strokeweight="1pt">
                    <v:stroke joinstyle="miter"/>
                  </v:line>
                  <v:line id="Straight Connector 22" o:spid="_x0000_s1043" style="position:absolute;flip:y;visibility:visible;mso-wrap-style:square" from="36099,12262" to="36099,1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SeOcMAAADbAAAADwAAAGRycy9kb3ducmV2LnhtbESPT4vCMBTE74LfITzBm6Yurrpdo8iC&#10;uJcF/7Hg7dG8bavNS0lird/eLAgeh5n5DTNftqYSDTlfWlYwGiYgiDOrS84VHA/rwQyED8gaK8uk&#10;4E4elotuZ46ptjfeUbMPuYgQ9ikqKEKoUyl9VpBBP7Q1cfT+rDMYonS51A5vEW4q+ZYkE2mw5LhQ&#10;YE1fBWWX/dUoaJw8X4Iz7Wk7/p2e5PljtvE/SvV77eoTRKA2vMLP9rdWMH6H/y/xB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UnjnDAAAA2wAAAA8AAAAAAAAAAAAA&#10;AAAAoQIAAGRycy9kb3ducmV2LnhtbFBLBQYAAAAABAAEAPkAAACRAwAAAAA=&#10;" strokeweight="1pt">
                    <v:stroke joinstyle="miter"/>
                  </v:line>
                  <v:shape id="TextBox 59" o:spid="_x0000_s1044" type="#_x0000_t202" style="position:absolute;left:9599;top:13955;width:2440;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A</w:t>
                          </w:r>
                        </w:p>
                      </w:txbxContent>
                    </v:textbox>
                  </v:shape>
                  <v:shape id="TextBox 60" o:spid="_x0000_s1045" type="#_x0000_t202" style="position:absolute;left:13311;top:13983;width:2408;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B</w:t>
                          </w:r>
                        </w:p>
                      </w:txbxContent>
                    </v:textbox>
                  </v:shape>
                  <v:shape id="TextBox 61" o:spid="_x0000_s1046" type="#_x0000_t202" style="position:absolute;left:25805;top:13983;width:2392;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C</w:t>
                          </w:r>
                        </w:p>
                      </w:txbxContent>
                    </v:textbox>
                  </v:shape>
                  <v:shape id="TextBox 62" o:spid="_x0000_s1047" type="#_x0000_t202" style="position:absolute;left:30636;top:13955;width:2472;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D</w:t>
                          </w:r>
                        </w:p>
                      </w:txbxContent>
                    </v:textbox>
                  </v:shape>
                  <v:shape id="TextBox 63" o:spid="_x0000_s1048" type="#_x0000_t202" style="position:absolute;left:34943;top:13983;width:2344;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E</w:t>
                          </w:r>
                        </w:p>
                      </w:txbxContent>
                    </v:textbox>
                  </v:shape>
                </v:group>
                <v:line id="Straight Connector 3" o:spid="_x0000_s1049" style="position:absolute;visibility:visible;mso-wrap-style:square" from="3570,8876" to="40199,8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I8xcMAAADbAAAADwAAAGRycy9kb3ducmV2LnhtbESPX2vCMBTF3wd+h3AF3zStMjeqUepg&#10;MJjI7AZ7vTTXttjclCS13bc3g8EeD+fPj7Pdj6YVN3K+sawgXSQgiEurG64UfH2+zp9B+ICssbVM&#10;Cn7Iw343edhipu3AZ7oVoRJxhH2GCuoQukxKX9Zk0C9sRxy9i3UGQ5SuktrhEMdNK5dJspYGG46E&#10;Gjt6qam8Fr2JkP6wku/Dsbg+nb/zXrqP0xorpWbTMd+ACDSG//Bf+00reEzh90v8AXJ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SPMXDAAAA2wAAAA8AAAAAAAAAAAAA&#10;AAAAoQIAAGRycy9kb3ducmV2LnhtbFBLBQYAAAAABAAEAPkAAACRAwAAAAA=&#10;">
                  <v:stroke dashstyle="3 1" joinstyle="miter"/>
                </v:line>
                <v:line id="Straight Connector 4" o:spid="_x0000_s1050" style="position:absolute;visibility:visible;mso-wrap-style:square" from="3570,4194" to="40199,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CissMAAADbAAAADwAAAGRycy9kb3ducmV2LnhtbESPX2vCMBTF3wd+h3CFvWlqx9yoRqmC&#10;MJjI7AZ7vTTXttjclCS13bc3g8EeD+fPj7PejqYVN3K+saxgMU9AEJdWN1wp+Po8zF5B+ICssbVM&#10;Cn7Iw3YzeVhjpu3AZ7oVoRJxhH2GCuoQukxKX9Zk0M9tRxy9i3UGQ5SuktrhEMdNK9MkWUqDDUdC&#10;jR3tayqvRW8ipN89yffhWFxfzt95L93HaYmVUo/TMV+BCDSG//Bf+00reE7h90v8AX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orLDAAAA2wAAAA8AAAAAAAAAAAAA&#10;AAAAoQIAAGRycy9kb3ducmV2LnhtbFBLBQYAAAAABAAEAPkAAACRAwAAAAA=&#10;">
                  <v:stroke dashstyle="3 1" joinstyle="miter"/>
                </v:line>
                <v:shape id="TextBox 69" o:spid="_x0000_s1051" type="#_x0000_t202" style="position:absolute;top:7727;width:3962;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Qout</w:t>
                        </w:r>
                      </w:p>
                    </w:txbxContent>
                  </v:textbox>
                </v:shape>
                <v:shape id="TextBox 70" o:spid="_x0000_s1052" type="#_x0000_t202" style="position:absolute;left:10;top:2979;width:3321;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EA2BD5" w:rsidRDefault="00EA2BD5" w:rsidP="00EA2BD5">
                        <w:pPr>
                          <w:pStyle w:val="NormalWeb"/>
                          <w:spacing w:before="0" w:beforeAutospacing="0" w:after="0" w:afterAutospacing="0"/>
                        </w:pPr>
                        <w:r w:rsidRPr="00263399">
                          <w:rPr>
                            <w:rFonts w:ascii="Calibri" w:hAnsi="Calibri"/>
                            <w:color w:val="000000"/>
                            <w:kern w:val="24"/>
                            <w:sz w:val="16"/>
                            <w:szCs w:val="16"/>
                          </w:rPr>
                          <w:t>Qin</w:t>
                        </w:r>
                      </w:p>
                    </w:txbxContent>
                  </v:textbox>
                </v:shape>
              </v:group>
            </w:pict>
          </mc:Fallback>
        </mc:AlternateContent>
      </w:r>
    </w:p>
    <w:p w:rsidR="00EA2BD5" w:rsidRDefault="00EA2BD5" w:rsidP="00EA2BD5">
      <w:pPr>
        <w:rPr>
          <w:b/>
          <w:lang w:val="en-US"/>
        </w:rPr>
      </w:pPr>
    </w:p>
    <w:p w:rsidR="00EA2BD5" w:rsidRDefault="00EA2BD5" w:rsidP="00EA2BD5">
      <w:pPr>
        <w:jc w:val="center"/>
        <w:rPr>
          <w:b/>
          <w:lang w:val="en-US"/>
        </w:rPr>
      </w:pPr>
    </w:p>
    <w:p w:rsidR="00EA2BD5" w:rsidRDefault="00EA2BD5" w:rsidP="00EA2BD5">
      <w:pPr>
        <w:rPr>
          <w:b/>
          <w:lang w:val="en-US"/>
        </w:rPr>
      </w:pPr>
      <w:r>
        <w:rPr>
          <w:b/>
          <w:lang w:val="en-US"/>
        </w:rPr>
        <w:tab/>
      </w:r>
      <w:r>
        <w:rPr>
          <w:b/>
          <w:lang w:val="en-US"/>
        </w:rPr>
        <w:tab/>
      </w:r>
      <w:r>
        <w:rPr>
          <w:b/>
          <w:lang w:val="en-US"/>
        </w:rPr>
        <w:tab/>
      </w:r>
      <w:r>
        <w:rPr>
          <w:b/>
          <w:lang w:val="en-US"/>
        </w:rPr>
        <w:tab/>
      </w:r>
    </w:p>
    <w:p w:rsidR="00EA2BD5" w:rsidRDefault="00EA2BD5" w:rsidP="00EA2BD5">
      <w:pPr>
        <w:rPr>
          <w:b/>
          <w:lang w:val="en-US"/>
        </w:rPr>
      </w:pPr>
    </w:p>
    <w:p w:rsidR="00EA2BD5" w:rsidRDefault="00EA2BD5" w:rsidP="00187FAA"/>
    <w:p w:rsidR="00EA2BD5" w:rsidRDefault="00EA2BD5" w:rsidP="00EA2BD5">
      <w:pPr>
        <w:jc w:val="center"/>
        <w:rPr>
          <w:b/>
        </w:rPr>
      </w:pPr>
      <w:r w:rsidRPr="00EA2BD5">
        <w:rPr>
          <w:b/>
        </w:rPr>
        <w:t>Figure 1: Typical SNR configuration in RLM tests</w:t>
      </w:r>
    </w:p>
    <w:p w:rsidR="00FB4790" w:rsidRDefault="00FB4790" w:rsidP="00FB4790">
      <w:pPr>
        <w:rPr>
          <w:b/>
        </w:rPr>
      </w:pPr>
    </w:p>
    <w:p w:rsidR="00FB4790" w:rsidRDefault="00FB4790" w:rsidP="002554F6">
      <w:pPr>
        <w:spacing w:line="276" w:lineRule="auto"/>
        <w:rPr>
          <w:b/>
        </w:rPr>
      </w:pPr>
      <w:r>
        <w:rPr>
          <w:b/>
        </w:rPr>
        <w:t xml:space="preserve">Observation 3: The gap between Qin and </w:t>
      </w:r>
      <w:proofErr w:type="spellStart"/>
      <w:r>
        <w:rPr>
          <w:b/>
        </w:rPr>
        <w:t>Qout</w:t>
      </w:r>
      <w:proofErr w:type="spellEnd"/>
      <w:r w:rsidR="002554F6">
        <w:rPr>
          <w:b/>
        </w:rPr>
        <w:t xml:space="preserve"> SNR levels</w:t>
      </w:r>
      <w:r>
        <w:rPr>
          <w:b/>
        </w:rPr>
        <w:t xml:space="preserve"> in Set 1 are smaller than that required by the accuracy of SNR estimation.</w:t>
      </w:r>
      <w:r w:rsidR="00F92181">
        <w:rPr>
          <w:b/>
        </w:rPr>
        <w:t xml:space="preserve"> Hence defining a reliable test </w:t>
      </w:r>
      <w:r w:rsidR="002554F6">
        <w:rPr>
          <w:b/>
        </w:rPr>
        <w:t>using Set 1 MPDCCH parameters can be challenging.</w:t>
      </w:r>
    </w:p>
    <w:p w:rsidR="002554F6" w:rsidRPr="00EA2BD5" w:rsidRDefault="002554F6" w:rsidP="002554F6">
      <w:pPr>
        <w:spacing w:line="276" w:lineRule="auto"/>
        <w:rPr>
          <w:b/>
        </w:rPr>
      </w:pPr>
      <w:r>
        <w:rPr>
          <w:b/>
        </w:rPr>
        <w:lastRenderedPageBreak/>
        <w:t xml:space="preserve">Proposal 2: RAN4 should </w:t>
      </w:r>
      <w:r w:rsidR="003A521B">
        <w:rPr>
          <w:b/>
        </w:rPr>
        <w:t xml:space="preserve">consider the challenge in defining a stable RLM test for Set 1 </w:t>
      </w:r>
      <w:r w:rsidR="0086261E">
        <w:rPr>
          <w:b/>
        </w:rPr>
        <w:t xml:space="preserve">MPDCCH </w:t>
      </w:r>
      <w:r w:rsidR="003A521B">
        <w:rPr>
          <w:b/>
        </w:rPr>
        <w:t>parameters</w:t>
      </w:r>
      <w:r w:rsidR="00F913D1">
        <w:rPr>
          <w:b/>
        </w:rPr>
        <w:t xml:space="preserve"> prior to defining the tests, since Set 1 parameters may not lead to a stable RLM </w:t>
      </w:r>
      <w:bookmarkStart w:id="0" w:name="_GoBack"/>
      <w:bookmarkEnd w:id="0"/>
      <w:r w:rsidR="00F913D1">
        <w:rPr>
          <w:b/>
        </w:rPr>
        <w:t>test.</w:t>
      </w:r>
    </w:p>
    <w:p w:rsidR="00187FAA" w:rsidRPr="003D6D62" w:rsidRDefault="00187FAA" w:rsidP="00801852">
      <w:pPr>
        <w:pStyle w:val="Heading1"/>
        <w:jc w:val="both"/>
      </w:pPr>
      <w:r>
        <w:t>Conclusion</w:t>
      </w:r>
    </w:p>
    <w:p w:rsidR="00187FAA" w:rsidRDefault="00187FAA" w:rsidP="00EA2BD5">
      <w:pPr>
        <w:spacing w:line="276" w:lineRule="auto"/>
        <w:jc w:val="both"/>
        <w:rPr>
          <w:lang w:val="en-US" w:eastAsia="ja-JP"/>
        </w:rPr>
      </w:pPr>
      <w:r>
        <w:rPr>
          <w:lang w:val="en-US" w:eastAsia="ja-JP"/>
        </w:rPr>
        <w:t>In this paper we have provided simulation results for out of sync and in sync SNR levels based on the agreed way forward for testing RLM in CE mode A. We have the following proposals.</w:t>
      </w:r>
    </w:p>
    <w:p w:rsidR="00FB4790" w:rsidRDefault="00FB4790" w:rsidP="00FB4790">
      <w:pPr>
        <w:spacing w:line="276" w:lineRule="auto"/>
        <w:jc w:val="both"/>
        <w:rPr>
          <w:b/>
          <w:lang w:val="en-US" w:eastAsia="ja-JP"/>
        </w:rPr>
      </w:pPr>
      <w:r w:rsidRPr="00187FAA">
        <w:rPr>
          <w:b/>
          <w:lang w:val="en-US" w:eastAsia="ja-JP"/>
        </w:rPr>
        <w:t xml:space="preserve">Proposal 1: The results in Table 2 &amp; 3 should be considered while determining the Qin and </w:t>
      </w:r>
      <w:proofErr w:type="spellStart"/>
      <w:r w:rsidRPr="00187FAA">
        <w:rPr>
          <w:b/>
          <w:lang w:val="en-US" w:eastAsia="ja-JP"/>
        </w:rPr>
        <w:t>Qout</w:t>
      </w:r>
      <w:proofErr w:type="spellEnd"/>
      <w:r w:rsidRPr="00187FAA">
        <w:rPr>
          <w:b/>
          <w:lang w:val="en-US" w:eastAsia="ja-JP"/>
        </w:rPr>
        <w:t xml:space="preserve"> levels for RLM tests in CE mode A for non-DRX and DRX scenarios respectively. </w:t>
      </w:r>
    </w:p>
    <w:p w:rsidR="00F913D1" w:rsidRPr="00EA2BD5" w:rsidRDefault="00F913D1" w:rsidP="00F913D1">
      <w:pPr>
        <w:spacing w:line="276" w:lineRule="auto"/>
        <w:rPr>
          <w:b/>
        </w:rPr>
      </w:pPr>
      <w:r>
        <w:rPr>
          <w:b/>
        </w:rPr>
        <w:t>Proposal 2: RAN4 should consider the challenge in defining a stable RLM test for Set 1 MPDCCH parameters prior to defining the tests, since Set 1 parameters may not lead to a stable</w:t>
      </w:r>
      <w:r>
        <w:rPr>
          <w:b/>
        </w:rPr>
        <w:t xml:space="preserve"> RLM</w:t>
      </w:r>
      <w:r>
        <w:rPr>
          <w:b/>
        </w:rPr>
        <w:t xml:space="preserve"> test.</w:t>
      </w:r>
    </w:p>
    <w:p w:rsidR="00187FAA" w:rsidRDefault="00187FAA" w:rsidP="00187FAA">
      <w:pPr>
        <w:pStyle w:val="Heading1"/>
        <w:numPr>
          <w:ilvl w:val="0"/>
          <w:numId w:val="0"/>
        </w:numPr>
        <w:ind w:left="432" w:hanging="432"/>
        <w:rPr>
          <w:lang w:val="en-US"/>
        </w:rPr>
      </w:pPr>
      <w:r>
        <w:rPr>
          <w:lang w:val="en-US"/>
        </w:rPr>
        <w:t>References</w:t>
      </w:r>
    </w:p>
    <w:p w:rsidR="00187FAA" w:rsidRDefault="00187FAA" w:rsidP="00187FAA">
      <w:pPr>
        <w:numPr>
          <w:ilvl w:val="0"/>
          <w:numId w:val="2"/>
        </w:numPr>
        <w:rPr>
          <w:lang w:val="en-US"/>
        </w:rPr>
      </w:pPr>
      <w:bookmarkStart w:id="1" w:name="_Ref324320224"/>
      <w:r>
        <w:rPr>
          <w:lang w:val="en-US"/>
        </w:rPr>
        <w:t>R4-161299, “</w:t>
      </w:r>
      <w:r>
        <w:rPr>
          <w:noProof/>
        </w:rPr>
        <w:t xml:space="preserve">Radio link monitoring </w:t>
      </w:r>
      <w:r w:rsidRPr="006210B5">
        <w:rPr>
          <w:noProof/>
        </w:rPr>
        <w:t>for Rel-13 MTC UE</w:t>
      </w:r>
      <w:r>
        <w:rPr>
          <w:noProof/>
        </w:rPr>
        <w:t>”, Ericsson</w:t>
      </w:r>
    </w:p>
    <w:bookmarkEnd w:id="1"/>
    <w:p w:rsidR="00187FAA" w:rsidRDefault="00187FAA" w:rsidP="00187FAA">
      <w:pPr>
        <w:numPr>
          <w:ilvl w:val="0"/>
          <w:numId w:val="2"/>
        </w:numPr>
        <w:rPr>
          <w:lang w:val="en-US"/>
        </w:rPr>
      </w:pPr>
      <w:r>
        <w:rPr>
          <w:lang w:val="en-US"/>
        </w:rPr>
        <w:t>R4-163025, “</w:t>
      </w:r>
      <w:r w:rsidRPr="00521137">
        <w:rPr>
          <w:lang w:val="en-US"/>
        </w:rPr>
        <w:t xml:space="preserve">WF on </w:t>
      </w:r>
      <w:proofErr w:type="spellStart"/>
      <w:r w:rsidRPr="00521137">
        <w:rPr>
          <w:lang w:val="en-US"/>
        </w:rPr>
        <w:t>eMTC</w:t>
      </w:r>
      <w:proofErr w:type="spellEnd"/>
      <w:r w:rsidRPr="00521137">
        <w:rPr>
          <w:lang w:val="en-US"/>
        </w:rPr>
        <w:t xml:space="preserve"> RLM </w:t>
      </w:r>
      <w:proofErr w:type="spellStart"/>
      <w:r w:rsidRPr="00521137">
        <w:rPr>
          <w:lang w:val="en-US"/>
        </w:rPr>
        <w:t>CEMode</w:t>
      </w:r>
      <w:proofErr w:type="spellEnd"/>
      <w:r w:rsidRPr="00521137">
        <w:rPr>
          <w:lang w:val="en-US"/>
        </w:rPr>
        <w:t xml:space="preserve"> A test</w:t>
      </w:r>
      <w:r>
        <w:rPr>
          <w:lang w:val="en-US"/>
        </w:rPr>
        <w:t xml:space="preserve">”, </w:t>
      </w:r>
      <w:r w:rsidRPr="00521137">
        <w:rPr>
          <w:lang w:val="en-US"/>
        </w:rPr>
        <w:t>Nokia, Anritsu, Ericsson, Qualcomm</w:t>
      </w:r>
      <w:r>
        <w:rPr>
          <w:lang w:val="en-US"/>
        </w:rPr>
        <w:t>, TSG RAN #78bis, San Jose del Cabo, April 2016</w:t>
      </w:r>
    </w:p>
    <w:p w:rsidR="00187FAA" w:rsidRDefault="00187FAA" w:rsidP="00187FAA"/>
    <w:sectPr w:rsidR="00187F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61A86"/>
    <w:multiLevelType w:val="hybridMultilevel"/>
    <w:tmpl w:val="8FF0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7BC75AE1"/>
    <w:multiLevelType w:val="hybridMultilevel"/>
    <w:tmpl w:val="C3F64974"/>
    <w:lvl w:ilvl="0" w:tplc="F0463F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E110AE"/>
    <w:multiLevelType w:val="hybridMultilevel"/>
    <w:tmpl w:val="3B78B6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E2672D"/>
    <w:multiLevelType w:val="hybridMultilevel"/>
    <w:tmpl w:val="FF82A292"/>
    <w:lvl w:ilvl="0" w:tplc="DE04C5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51A"/>
    <w:rsid w:val="00022ADF"/>
    <w:rsid w:val="00187FAA"/>
    <w:rsid w:val="001F251A"/>
    <w:rsid w:val="002554F6"/>
    <w:rsid w:val="003322D6"/>
    <w:rsid w:val="003A521B"/>
    <w:rsid w:val="00534B88"/>
    <w:rsid w:val="00571A90"/>
    <w:rsid w:val="0086261E"/>
    <w:rsid w:val="00C23074"/>
    <w:rsid w:val="00C65B83"/>
    <w:rsid w:val="00D14A62"/>
    <w:rsid w:val="00EA2BD5"/>
    <w:rsid w:val="00F913D1"/>
    <w:rsid w:val="00F92181"/>
    <w:rsid w:val="00FB4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636084-EE78-4118-8240-3AC16163F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FAA"/>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87FA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187FAA"/>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187FA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87FAA"/>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87FAA"/>
    <w:pPr>
      <w:numPr>
        <w:ilvl w:val="5"/>
      </w:numPr>
      <w:outlineLvl w:val="4"/>
    </w:pPr>
    <w:rPr>
      <w:sz w:val="22"/>
    </w:rPr>
  </w:style>
  <w:style w:type="paragraph" w:styleId="Heading7">
    <w:name w:val="heading 7"/>
    <w:basedOn w:val="Normal"/>
    <w:next w:val="Normal"/>
    <w:link w:val="Heading7Char"/>
    <w:qFormat/>
    <w:rsid w:val="00187FAA"/>
    <w:pPr>
      <w:keepNext/>
      <w:keepLines/>
      <w:numPr>
        <w:ilvl w:val="6"/>
        <w:numId w:val="1"/>
      </w:numPr>
      <w:spacing w:before="120"/>
      <w:outlineLvl w:val="6"/>
    </w:pPr>
    <w:rPr>
      <w:rFonts w:ascii="Arial" w:hAnsi="Arial"/>
    </w:rPr>
  </w:style>
  <w:style w:type="paragraph" w:styleId="Heading8">
    <w:name w:val="heading 8"/>
    <w:aliases w:val="Table Heading"/>
    <w:basedOn w:val="Heading1"/>
    <w:next w:val="Normal"/>
    <w:link w:val="Heading8Char"/>
    <w:qFormat/>
    <w:rsid w:val="00187FAA"/>
    <w:pPr>
      <w:numPr>
        <w:ilvl w:val="7"/>
      </w:numPr>
      <w:outlineLvl w:val="7"/>
    </w:pPr>
  </w:style>
  <w:style w:type="paragraph" w:styleId="Heading9">
    <w:name w:val="heading 9"/>
    <w:aliases w:val="Figure Heading,FH"/>
    <w:basedOn w:val="Heading8"/>
    <w:next w:val="Normal"/>
    <w:link w:val="Heading9Char"/>
    <w:qFormat/>
    <w:rsid w:val="00187F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7FAA"/>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9"/>
    <w:rsid w:val="00187FAA"/>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187FAA"/>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7FAA"/>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187FAA"/>
    <w:rPr>
      <w:rFonts w:ascii="Arial" w:eastAsia="MS Mincho" w:hAnsi="Arial" w:cs="Times New Roman"/>
      <w:szCs w:val="20"/>
      <w:lang w:val="en-GB"/>
    </w:rPr>
  </w:style>
  <w:style w:type="character" w:customStyle="1" w:styleId="Heading7Char">
    <w:name w:val="Heading 7 Char"/>
    <w:basedOn w:val="DefaultParagraphFont"/>
    <w:link w:val="Heading7"/>
    <w:rsid w:val="00187FAA"/>
    <w:rPr>
      <w:rFonts w:ascii="Arial" w:eastAsia="MS Mincho" w:hAnsi="Arial" w:cs="Times New Roman"/>
      <w:sz w:val="20"/>
      <w:szCs w:val="20"/>
      <w:lang w:val="en-GB"/>
    </w:rPr>
  </w:style>
  <w:style w:type="character" w:customStyle="1" w:styleId="Heading8Char">
    <w:name w:val="Heading 8 Char"/>
    <w:aliases w:val="Table Heading Char"/>
    <w:basedOn w:val="DefaultParagraphFont"/>
    <w:link w:val="Heading8"/>
    <w:rsid w:val="00187FAA"/>
    <w:rPr>
      <w:rFonts w:ascii="Arial" w:eastAsia="MS Mincho" w:hAnsi="Arial" w:cs="Times New Roman"/>
      <w:sz w:val="36"/>
      <w:szCs w:val="20"/>
      <w:lang w:val="en-GB"/>
    </w:rPr>
  </w:style>
  <w:style w:type="character" w:customStyle="1" w:styleId="Heading9Char">
    <w:name w:val="Heading 9 Char"/>
    <w:aliases w:val="Figure Heading Char,FH Char"/>
    <w:basedOn w:val="DefaultParagraphFont"/>
    <w:link w:val="Heading9"/>
    <w:rsid w:val="00187FA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87FA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7FAA"/>
    <w:rPr>
      <w:rFonts w:ascii="Arial" w:eastAsia="MS Mincho" w:hAnsi="Arial" w:cs="Times New Roman"/>
      <w:b/>
      <w:noProof/>
      <w:sz w:val="18"/>
      <w:szCs w:val="20"/>
    </w:rPr>
  </w:style>
  <w:style w:type="paragraph" w:styleId="Footer">
    <w:name w:val="footer"/>
    <w:basedOn w:val="Header"/>
    <w:link w:val="FooterChar"/>
    <w:rsid w:val="00187FAA"/>
    <w:pPr>
      <w:jc w:val="center"/>
    </w:pPr>
    <w:rPr>
      <w:i/>
    </w:rPr>
  </w:style>
  <w:style w:type="character" w:customStyle="1" w:styleId="FooterChar">
    <w:name w:val="Footer Char"/>
    <w:basedOn w:val="DefaultParagraphFont"/>
    <w:link w:val="Footer"/>
    <w:rsid w:val="00187FAA"/>
    <w:rPr>
      <w:rFonts w:ascii="Arial" w:eastAsia="MS Mincho" w:hAnsi="Arial" w:cs="Times New Roman"/>
      <w:b/>
      <w:i/>
      <w:noProof/>
      <w:sz w:val="18"/>
      <w:szCs w:val="20"/>
    </w:rPr>
  </w:style>
  <w:style w:type="paragraph" w:styleId="ListParagraph">
    <w:name w:val="List Paragraph"/>
    <w:basedOn w:val="Normal"/>
    <w:uiPriority w:val="34"/>
    <w:qFormat/>
    <w:rsid w:val="00C23074"/>
    <w:pPr>
      <w:ind w:left="720"/>
      <w:contextualSpacing/>
    </w:pPr>
  </w:style>
  <w:style w:type="paragraph" w:styleId="NormalWeb">
    <w:name w:val="Normal (Web)"/>
    <w:basedOn w:val="Normal"/>
    <w:uiPriority w:val="99"/>
    <w:unhideWhenUsed/>
    <w:rsid w:val="00EA2BD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10</cp:revision>
  <dcterms:created xsi:type="dcterms:W3CDTF">2016-05-12T20:53:00Z</dcterms:created>
  <dcterms:modified xsi:type="dcterms:W3CDTF">2016-05-13T15:49:00Z</dcterms:modified>
</cp:coreProperties>
</file>