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5010A" w14:textId="2A8F3F7D"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FC0320">
        <w:rPr>
          <w:b/>
          <w:noProof/>
          <w:sz w:val="24"/>
          <w:lang w:eastAsia="ko-KR"/>
        </w:rPr>
        <w:t>8</w:t>
      </w:r>
      <w:r>
        <w:rPr>
          <w:b/>
          <w:i/>
          <w:noProof/>
          <w:sz w:val="28"/>
        </w:rPr>
        <w:tab/>
      </w:r>
      <w:r w:rsidRPr="007F57A1">
        <w:rPr>
          <w:rFonts w:hint="eastAsia"/>
          <w:b/>
          <w:noProof/>
          <w:sz w:val="24"/>
          <w:szCs w:val="24"/>
          <w:lang w:eastAsia="ko-KR"/>
        </w:rPr>
        <w:t>R4-</w:t>
      </w:r>
      <w:r w:rsidR="009E0B92">
        <w:rPr>
          <w:b/>
          <w:noProof/>
          <w:sz w:val="24"/>
          <w:szCs w:val="24"/>
          <w:lang w:eastAsia="ko-KR"/>
        </w:rPr>
        <w:t>160364</w:t>
      </w:r>
    </w:p>
    <w:p w14:paraId="053232EE" w14:textId="33D94423" w:rsidR="00DF7315" w:rsidRDefault="00FC0320" w:rsidP="006C6A7C">
      <w:pPr>
        <w:pStyle w:val="CRCoverPage"/>
        <w:outlineLvl w:val="0"/>
        <w:rPr>
          <w:b/>
          <w:noProof/>
          <w:sz w:val="24"/>
          <w:lang w:eastAsia="ko-KR"/>
        </w:rPr>
      </w:pPr>
      <w:r>
        <w:rPr>
          <w:rFonts w:eastAsia="Batang"/>
          <w:b/>
          <w:noProof/>
          <w:sz w:val="24"/>
          <w:lang w:eastAsia="ko-KR"/>
        </w:rPr>
        <w:t>Malta</w:t>
      </w:r>
      <w:r w:rsidR="006C6A7C">
        <w:rPr>
          <w:rFonts w:hint="eastAsia"/>
          <w:b/>
          <w:noProof/>
          <w:sz w:val="24"/>
          <w:lang w:eastAsia="ko-KR"/>
        </w:rPr>
        <w:t>,</w:t>
      </w:r>
      <w:r w:rsidR="006C6A7C">
        <w:rPr>
          <w:b/>
          <w:noProof/>
          <w:sz w:val="24"/>
          <w:lang w:eastAsia="ko-KR"/>
        </w:rPr>
        <w:t xml:space="preserve"> </w:t>
      </w:r>
      <w:r>
        <w:rPr>
          <w:b/>
          <w:noProof/>
          <w:sz w:val="24"/>
          <w:lang w:eastAsia="ko-KR"/>
        </w:rPr>
        <w:t>Malta</w:t>
      </w:r>
      <w:r w:rsidR="006C6A7C">
        <w:rPr>
          <w:b/>
          <w:noProof/>
          <w:sz w:val="24"/>
          <w:lang w:eastAsia="ko-KR"/>
        </w:rPr>
        <w:t>,</w:t>
      </w:r>
      <w:r w:rsidR="00B35A35">
        <w:rPr>
          <w:b/>
          <w:noProof/>
          <w:sz w:val="24"/>
        </w:rPr>
        <w:t xml:space="preserve"> 1</w:t>
      </w:r>
      <w:r>
        <w:rPr>
          <w:b/>
          <w:noProof/>
          <w:sz w:val="24"/>
        </w:rPr>
        <w:t>5</w:t>
      </w:r>
      <w:r w:rsidR="006C6A7C" w:rsidRPr="00464011">
        <w:rPr>
          <w:b/>
          <w:noProof/>
          <w:sz w:val="24"/>
          <w:vertAlign w:val="superscript"/>
          <w:lang w:eastAsia="ko-KR"/>
        </w:rPr>
        <w:t>th</w:t>
      </w:r>
      <w:r w:rsidR="006C6A7C">
        <w:rPr>
          <w:rFonts w:eastAsiaTheme="minorEastAsia" w:hint="eastAsia"/>
          <w:b/>
          <w:noProof/>
          <w:sz w:val="24"/>
          <w:lang w:eastAsia="ko-KR"/>
        </w:rPr>
        <w:t xml:space="preserve"> </w:t>
      </w:r>
      <w:r w:rsidR="006C6A7C">
        <w:rPr>
          <w:b/>
          <w:noProof/>
          <w:sz w:val="24"/>
          <w:lang w:eastAsia="ko-KR"/>
        </w:rPr>
        <w:t>–</w:t>
      </w:r>
      <w:r w:rsidR="006C6A7C" w:rsidRPr="000802C3">
        <w:rPr>
          <w:rFonts w:hint="eastAsia"/>
          <w:b/>
          <w:noProof/>
          <w:sz w:val="24"/>
          <w:lang w:eastAsia="ko-KR"/>
        </w:rPr>
        <w:t xml:space="preserve"> </w:t>
      </w:r>
      <w:r w:rsidR="00B35A35">
        <w:rPr>
          <w:b/>
          <w:noProof/>
          <w:sz w:val="24"/>
          <w:lang w:eastAsia="ko-KR"/>
        </w:rPr>
        <w:t>1</w:t>
      </w:r>
      <w:r>
        <w:rPr>
          <w:b/>
          <w:noProof/>
          <w:sz w:val="24"/>
          <w:lang w:eastAsia="ko-KR"/>
        </w:rPr>
        <w:t>9</w:t>
      </w:r>
      <w:r w:rsidR="006C6A7C" w:rsidRPr="00464011">
        <w:rPr>
          <w:b/>
          <w:noProof/>
          <w:sz w:val="24"/>
          <w:vertAlign w:val="superscript"/>
          <w:lang w:eastAsia="ko-KR"/>
        </w:rPr>
        <w:t>th</w:t>
      </w:r>
      <w:r w:rsidR="006C6A7C" w:rsidRPr="00223DCA">
        <w:rPr>
          <w:rFonts w:hint="eastAsia"/>
          <w:b/>
          <w:noProof/>
          <w:sz w:val="24"/>
          <w:lang w:eastAsia="ko-KR"/>
        </w:rPr>
        <w:t xml:space="preserve"> </w:t>
      </w:r>
      <w:r>
        <w:rPr>
          <w:rFonts w:eastAsiaTheme="minorEastAsia"/>
          <w:b/>
          <w:noProof/>
          <w:sz w:val="24"/>
          <w:lang w:eastAsia="ko-KR"/>
        </w:rPr>
        <w:t>February</w:t>
      </w:r>
      <w:r w:rsidR="006C6A7C" w:rsidRPr="0011455D">
        <w:rPr>
          <w:rFonts w:hint="eastAsia"/>
          <w:b/>
          <w:noProof/>
          <w:sz w:val="24"/>
          <w:lang w:eastAsia="ko-KR"/>
        </w:rPr>
        <w:t xml:space="preserve"> 201</w:t>
      </w:r>
      <w:r>
        <w:rPr>
          <w:b/>
          <w:noProof/>
          <w:sz w:val="24"/>
          <w:lang w:eastAsia="ko-KR"/>
        </w:rPr>
        <w:t>6</w:t>
      </w:r>
    </w:p>
    <w:p w14:paraId="2AF2D08C" w14:textId="77777777" w:rsidR="008C5946" w:rsidRPr="006C6A7C" w:rsidRDefault="008C5946" w:rsidP="006C6A7C">
      <w:pPr>
        <w:pStyle w:val="CRCoverPage"/>
        <w:outlineLvl w:val="0"/>
        <w:rPr>
          <w:rFonts w:eastAsia="Malgun Gothic"/>
          <w:b/>
          <w:noProof/>
          <w:sz w:val="24"/>
          <w:lang w:eastAsia="ko-KR"/>
        </w:rPr>
      </w:pPr>
    </w:p>
    <w:p w14:paraId="71D878B9" w14:textId="0B6F805C"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BD5204">
        <w:rPr>
          <w:rFonts w:ascii="Arial" w:hAnsi="Arial" w:cs="Arial"/>
          <w:sz w:val="24"/>
          <w:szCs w:val="24"/>
        </w:rPr>
        <w:t>6.23.5</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3E882455"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DC68B8">
        <w:rPr>
          <w:rFonts w:ascii="Arial" w:hAnsi="Arial" w:cs="Arial"/>
          <w:sz w:val="24"/>
          <w:szCs w:val="24"/>
        </w:rPr>
        <w:t>Discussion on</w:t>
      </w:r>
      <w:r w:rsidR="009A69CC">
        <w:rPr>
          <w:rFonts w:ascii="Arial" w:hAnsi="Arial" w:cs="Arial"/>
          <w:sz w:val="24"/>
          <w:szCs w:val="24"/>
        </w:rPr>
        <w:t xml:space="preserve"> NB-IOT RRM Requirements</w:t>
      </w:r>
    </w:p>
    <w:p w14:paraId="66EAA9FF" w14:textId="5DCCA0D6"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00216505">
        <w:rPr>
          <w:rFonts w:ascii="Arial" w:hAnsi="Arial" w:cs="Arial"/>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02845012" w14:textId="08CE7140" w:rsidR="002827C2" w:rsidRPr="00CB1326" w:rsidRDefault="00FE624A" w:rsidP="009A69CC">
      <w:pPr>
        <w:rPr>
          <w:rFonts w:cs="v4.2.0"/>
          <w:lang w:val="en-US"/>
        </w:rPr>
      </w:pPr>
      <w:r>
        <w:rPr>
          <w:rFonts w:cs="v4.2.0"/>
        </w:rPr>
        <w:t xml:space="preserve">RAN1 and RAN2 are still discussing details on the physical layer design and signalling aspects for NB-IOT. There have been some agreements in the meetings but a lot of details are yet to be specified. Based on the agreements so far, this paper discusses RRM requirements impact and the need for </w:t>
      </w:r>
      <w:r w:rsidR="00AC38FD">
        <w:rPr>
          <w:rFonts w:cs="v4.2.0"/>
        </w:rPr>
        <w:t xml:space="preserve">initial </w:t>
      </w:r>
      <w:r w:rsidR="008C1FCA">
        <w:rPr>
          <w:rFonts w:cs="v4.2.0"/>
        </w:rPr>
        <w:t xml:space="preserve">RAN4 </w:t>
      </w:r>
      <w:r>
        <w:rPr>
          <w:rFonts w:cs="v4.2.0"/>
        </w:rPr>
        <w:t xml:space="preserve">discussion on specific requirements. </w:t>
      </w:r>
    </w:p>
    <w:p w14:paraId="07B5897A" w14:textId="77777777" w:rsidR="00127BEA" w:rsidRDefault="007179AF" w:rsidP="007179AF">
      <w:pPr>
        <w:pStyle w:val="Heading1"/>
        <w:rPr>
          <w:lang w:val="en-US" w:eastAsia="ko-KR"/>
        </w:rPr>
      </w:pPr>
      <w:r>
        <w:rPr>
          <w:lang w:val="en-US" w:eastAsia="ko-KR"/>
        </w:rPr>
        <w:t>2</w:t>
      </w:r>
      <w:r>
        <w:rPr>
          <w:rFonts w:hint="eastAsia"/>
          <w:lang w:val="en-US" w:eastAsia="ko-KR"/>
        </w:rPr>
        <w:tab/>
      </w:r>
      <w:r w:rsidR="00127BEA">
        <w:rPr>
          <w:lang w:val="en-US" w:eastAsia="ko-KR"/>
        </w:rPr>
        <w:t>Idle Mode Requirements</w:t>
      </w:r>
    </w:p>
    <w:p w14:paraId="7CB28353" w14:textId="3FA2AE35" w:rsidR="00C65AC9" w:rsidRDefault="00651DB5" w:rsidP="00C65AC9">
      <w:pPr>
        <w:pStyle w:val="Heading2"/>
        <w:rPr>
          <w:lang w:val="en-US" w:eastAsia="ko-KR"/>
        </w:rPr>
      </w:pPr>
      <w:r>
        <w:rPr>
          <w:lang w:val="en-US" w:eastAsia="ko-KR"/>
        </w:rPr>
        <w:t>2.1</w:t>
      </w:r>
      <w:r w:rsidR="00C65AC9">
        <w:rPr>
          <w:lang w:val="en-US" w:eastAsia="ko-KR"/>
        </w:rPr>
        <w:tab/>
        <w:t>Cell Reselection</w:t>
      </w:r>
    </w:p>
    <w:p w14:paraId="676501BC" w14:textId="630FAF2E" w:rsidR="00C65AC9" w:rsidRDefault="007A5644" w:rsidP="00C65AC9">
      <w:pPr>
        <w:rPr>
          <w:lang w:val="en-US" w:eastAsia="ko-KR"/>
        </w:rPr>
      </w:pPr>
      <w:r>
        <w:rPr>
          <w:lang w:val="en-US" w:eastAsia="ko-KR"/>
        </w:rPr>
        <w:t>Cell r</w:t>
      </w:r>
      <w:r w:rsidR="0018100A">
        <w:rPr>
          <w:lang w:val="en-US" w:eastAsia="ko-KR"/>
        </w:rPr>
        <w:t xml:space="preserve">eselection requirements in </w:t>
      </w:r>
      <w:r w:rsidR="00BE48EA">
        <w:rPr>
          <w:lang w:val="en-US" w:eastAsia="ko-KR"/>
        </w:rPr>
        <w:t>Section 4.2 in</w:t>
      </w:r>
      <w:r w:rsidR="00231DC7">
        <w:rPr>
          <w:lang w:val="en-US" w:eastAsia="ko-KR"/>
        </w:rPr>
        <w:t xml:space="preserve"> [1] </w:t>
      </w:r>
      <w:r w:rsidR="0018100A">
        <w:rPr>
          <w:lang w:val="en-US" w:eastAsia="ko-KR"/>
        </w:rPr>
        <w:t>would need to be specified for NB-IOT. H</w:t>
      </w:r>
      <w:r w:rsidR="00C65AC9">
        <w:rPr>
          <w:lang w:val="en-US" w:eastAsia="ko-KR"/>
        </w:rPr>
        <w:t xml:space="preserve">igher priority search </w:t>
      </w:r>
      <w:r w:rsidR="004E6FAA">
        <w:rPr>
          <w:lang w:val="en-US" w:eastAsia="ko-KR"/>
        </w:rPr>
        <w:t xml:space="preserve">requirement </w:t>
      </w:r>
      <w:r w:rsidR="00C65AC9">
        <w:rPr>
          <w:lang w:val="en-US" w:eastAsia="ko-KR"/>
        </w:rPr>
        <w:t xml:space="preserve">for </w:t>
      </w:r>
      <w:r w:rsidR="007C5C55">
        <w:rPr>
          <w:lang w:val="en-US" w:eastAsia="ko-KR"/>
        </w:rPr>
        <w:t>NB-IOT needs discussion. We may have to wait for RAN2 discussion</w:t>
      </w:r>
      <w:r w:rsidR="00CB140D">
        <w:rPr>
          <w:lang w:val="en-US" w:eastAsia="ko-KR"/>
        </w:rPr>
        <w:t>/agreements</w:t>
      </w:r>
      <w:r w:rsidR="007C5C55">
        <w:rPr>
          <w:lang w:val="en-US" w:eastAsia="ko-KR"/>
        </w:rPr>
        <w:t xml:space="preserve"> on this topic</w:t>
      </w:r>
      <w:r w:rsidR="004E6FAA">
        <w:rPr>
          <w:lang w:val="en-US" w:eastAsia="ko-KR"/>
        </w:rPr>
        <w:t xml:space="preserve"> of higher priority layers</w:t>
      </w:r>
      <w:r w:rsidR="007C5C55">
        <w:rPr>
          <w:lang w:val="en-US" w:eastAsia="ko-KR"/>
        </w:rPr>
        <w:t xml:space="preserve"> but at a minimum we can agree that </w:t>
      </w:r>
      <w:r w:rsidR="00836853">
        <w:rPr>
          <w:lang w:val="en-US" w:eastAsia="ko-KR"/>
        </w:rPr>
        <w:t xml:space="preserve">if higher priority </w:t>
      </w:r>
      <w:r w:rsidR="00F41F22">
        <w:rPr>
          <w:lang w:val="en-US" w:eastAsia="ko-KR"/>
        </w:rPr>
        <w:t>layers</w:t>
      </w:r>
      <w:r w:rsidR="00836853">
        <w:rPr>
          <w:lang w:val="en-US" w:eastAsia="ko-KR"/>
        </w:rPr>
        <w:t xml:space="preserve"> </w:t>
      </w:r>
      <w:r w:rsidR="00F41F22">
        <w:rPr>
          <w:lang w:val="en-US" w:eastAsia="ko-KR"/>
        </w:rPr>
        <w:t>are specified</w:t>
      </w:r>
      <w:r w:rsidR="00836853">
        <w:rPr>
          <w:lang w:val="en-US" w:eastAsia="ko-KR"/>
        </w:rPr>
        <w:t xml:space="preserve">, </w:t>
      </w:r>
      <w:r w:rsidR="007C5C55">
        <w:rPr>
          <w:lang w:val="en-US" w:eastAsia="ko-KR"/>
        </w:rPr>
        <w:t>only inter-frequency carriers</w:t>
      </w:r>
      <w:r w:rsidR="00EA271D">
        <w:rPr>
          <w:lang w:val="en-US" w:eastAsia="ko-KR"/>
        </w:rPr>
        <w:t xml:space="preserve"> (</w:t>
      </w:r>
      <w:r w:rsidR="00836853">
        <w:rPr>
          <w:lang w:val="en-US" w:eastAsia="ko-KR"/>
        </w:rPr>
        <w:t>i.e. exclude</w:t>
      </w:r>
      <w:r w:rsidR="00540995">
        <w:rPr>
          <w:lang w:val="en-US" w:eastAsia="ko-KR"/>
        </w:rPr>
        <w:t xml:space="preserve"> inter-RAT carriers)</w:t>
      </w:r>
      <w:r w:rsidR="007C5C55">
        <w:rPr>
          <w:lang w:val="en-US" w:eastAsia="ko-KR"/>
        </w:rPr>
        <w:t xml:space="preserve"> will </w:t>
      </w:r>
      <w:r w:rsidR="003E7FE7">
        <w:rPr>
          <w:lang w:val="en-US" w:eastAsia="ko-KR"/>
        </w:rPr>
        <w:t xml:space="preserve">be </w:t>
      </w:r>
      <w:r w:rsidR="007C5C55">
        <w:rPr>
          <w:lang w:val="en-US" w:eastAsia="ko-KR"/>
        </w:rPr>
        <w:t xml:space="preserve">considered </w:t>
      </w:r>
      <w:r w:rsidR="008F4A0B">
        <w:rPr>
          <w:lang w:val="en-US" w:eastAsia="ko-KR"/>
        </w:rPr>
        <w:t xml:space="preserve">for </w:t>
      </w:r>
      <w:r w:rsidR="007C5C55">
        <w:rPr>
          <w:lang w:val="en-US" w:eastAsia="ko-KR"/>
        </w:rPr>
        <w:t>higher priority</w:t>
      </w:r>
      <w:r w:rsidR="008F4A0B">
        <w:rPr>
          <w:lang w:val="en-US" w:eastAsia="ko-KR"/>
        </w:rPr>
        <w:t xml:space="preserve"> search</w:t>
      </w:r>
      <w:r w:rsidR="007C5C55">
        <w:rPr>
          <w:lang w:val="en-US" w:eastAsia="ko-KR"/>
        </w:rPr>
        <w:t xml:space="preserve">. </w:t>
      </w:r>
      <w:r w:rsidR="00E4386D">
        <w:rPr>
          <w:lang w:val="en-US" w:eastAsia="ko-KR"/>
        </w:rPr>
        <w:t>Meas</w:t>
      </w:r>
      <w:r w:rsidR="005607A4">
        <w:rPr>
          <w:lang w:val="en-US" w:eastAsia="ko-KR"/>
        </w:rPr>
        <w:t>urement and evaluation of intra-</w:t>
      </w:r>
      <w:r w:rsidR="00E4386D">
        <w:rPr>
          <w:lang w:val="en-US" w:eastAsia="ko-KR"/>
        </w:rPr>
        <w:t xml:space="preserve">frequency cells and inter-frequency cells will need to be discussed especially since NB-IOT will need to support </w:t>
      </w:r>
      <w:r w:rsidR="004510DE">
        <w:rPr>
          <w:lang w:val="en-US" w:eastAsia="ko-KR"/>
        </w:rPr>
        <w:t xml:space="preserve">longer </w:t>
      </w:r>
      <w:r w:rsidR="001A5F47">
        <w:rPr>
          <w:lang w:val="en-US" w:eastAsia="ko-KR"/>
        </w:rPr>
        <w:t>e</w:t>
      </w:r>
      <w:r w:rsidR="00E4386D">
        <w:rPr>
          <w:lang w:val="en-US" w:eastAsia="ko-KR"/>
        </w:rPr>
        <w:t>DRX cycle lengths of upto 3 hours</w:t>
      </w:r>
      <w:r w:rsidR="001A5F47">
        <w:rPr>
          <w:lang w:val="en-US" w:eastAsia="ko-KR"/>
        </w:rPr>
        <w:t xml:space="preserve"> and also taking into account the fact that UE is expected to monitor paging during certain paging windows only and can go to sleep for long durations in between paging windows</w:t>
      </w:r>
      <w:r w:rsidR="00E4386D">
        <w:rPr>
          <w:lang w:val="en-US" w:eastAsia="ko-KR"/>
        </w:rPr>
        <w:t xml:space="preserve">. </w:t>
      </w:r>
      <w:r w:rsidR="005B7A75">
        <w:rPr>
          <w:lang w:val="en-US" w:eastAsia="ko-KR"/>
        </w:rPr>
        <w:t>So r</w:t>
      </w:r>
      <w:r w:rsidR="00181E7C">
        <w:rPr>
          <w:lang w:val="en-US" w:eastAsia="ko-KR"/>
        </w:rPr>
        <w:t>equirements related to</w:t>
      </w:r>
      <w:r w:rsidR="00E4386D">
        <w:rPr>
          <w:lang w:val="en-US" w:eastAsia="ko-KR"/>
        </w:rPr>
        <w:t xml:space="preserve"> </w:t>
      </w:r>
      <w:r w:rsidR="00E4386D">
        <w:rPr>
          <w:rFonts w:cs="v4.2.0"/>
        </w:rPr>
        <w:t>N</w:t>
      </w:r>
      <w:r w:rsidR="00E4386D">
        <w:rPr>
          <w:rFonts w:cs="v4.2.0"/>
          <w:vertAlign w:val="subscript"/>
        </w:rPr>
        <w:t xml:space="preserve">serv </w:t>
      </w:r>
      <w:r w:rsidR="00E4386D">
        <w:rPr>
          <w:rFonts w:cs="v4.2.0"/>
        </w:rPr>
        <w:t xml:space="preserve">(number of DRX cycles), </w:t>
      </w:r>
      <w:bookmarkStart w:id="1" w:name="OLE_LINK6"/>
      <w:bookmarkStart w:id="2" w:name="OLE_LINK5"/>
      <w:r w:rsidR="00E4386D">
        <w:rPr>
          <w:rFonts w:cs="v4.2.0"/>
        </w:rPr>
        <w:t>T</w:t>
      </w:r>
      <w:r w:rsidR="00E4386D">
        <w:rPr>
          <w:rFonts w:cs="v4.2.0"/>
          <w:vertAlign w:val="subscript"/>
        </w:rPr>
        <w:t>detect,EUTRAN_Intra</w:t>
      </w:r>
      <w:bookmarkEnd w:id="1"/>
      <w:bookmarkEnd w:id="2"/>
      <w:r w:rsidR="00E4386D">
        <w:rPr>
          <w:rFonts w:cs="v4.2.0"/>
        </w:rPr>
        <w:t>, T</w:t>
      </w:r>
      <w:r w:rsidR="00E4386D">
        <w:rPr>
          <w:rFonts w:cs="v4.2.0"/>
          <w:vertAlign w:val="subscript"/>
        </w:rPr>
        <w:t>measure,EUTRAN_Intra</w:t>
      </w:r>
      <w:r w:rsidR="00E4386D">
        <w:rPr>
          <w:rFonts w:cs="v4.2.0"/>
        </w:rPr>
        <w:t>, T</w:t>
      </w:r>
      <w:r w:rsidR="00E4386D">
        <w:rPr>
          <w:rFonts w:cs="v4.2.0"/>
          <w:vertAlign w:val="subscript"/>
        </w:rPr>
        <w:t>evaluate,EUTRAN_Intra</w:t>
      </w:r>
      <w:r w:rsidR="00181E7C">
        <w:rPr>
          <w:rFonts w:cs="v4.2.0"/>
          <w:vertAlign w:val="subscript"/>
        </w:rPr>
        <w:t xml:space="preserve"> </w:t>
      </w:r>
      <w:r w:rsidR="006A3A1F" w:rsidRPr="006A3A1F">
        <w:rPr>
          <w:lang w:val="en-US" w:eastAsia="ko-KR"/>
        </w:rPr>
        <w:t xml:space="preserve">and the margin by which the </w:t>
      </w:r>
      <w:r w:rsidR="00C805C3">
        <w:rPr>
          <w:lang w:val="en-US" w:eastAsia="ko-KR"/>
        </w:rPr>
        <w:t xml:space="preserve">new cell </w:t>
      </w:r>
      <w:r w:rsidR="006A3A1F" w:rsidRPr="006A3A1F">
        <w:rPr>
          <w:lang w:val="en-US" w:eastAsia="ko-KR"/>
        </w:rPr>
        <w:t xml:space="preserve">should be better </w:t>
      </w:r>
      <w:r w:rsidR="00060876">
        <w:rPr>
          <w:lang w:val="en-US" w:eastAsia="ko-KR"/>
        </w:rPr>
        <w:t xml:space="preserve">should </w:t>
      </w:r>
      <w:r w:rsidR="008C45E8" w:rsidRPr="008C45E8">
        <w:rPr>
          <w:lang w:val="en-US" w:eastAsia="ko-KR"/>
        </w:rPr>
        <w:t xml:space="preserve">also </w:t>
      </w:r>
      <w:r w:rsidR="00181E7C" w:rsidRPr="00181E7C">
        <w:rPr>
          <w:lang w:val="en-US" w:eastAsia="ko-KR"/>
        </w:rPr>
        <w:t>be dicussed.</w:t>
      </w:r>
    </w:p>
    <w:p w14:paraId="7F10D6E1" w14:textId="2AF28A36" w:rsidR="00651DB5" w:rsidRPr="002D605B" w:rsidRDefault="005C1D67" w:rsidP="005C1D67">
      <w:pPr>
        <w:pStyle w:val="Heading2"/>
        <w:rPr>
          <w:lang w:val="en-US" w:eastAsia="ko-KR"/>
        </w:rPr>
      </w:pPr>
      <w:r>
        <w:rPr>
          <w:lang w:val="en-US" w:eastAsia="ko-KR"/>
        </w:rPr>
        <w:t>2.2</w:t>
      </w:r>
      <w:r w:rsidR="00651DB5" w:rsidRPr="002D605B">
        <w:rPr>
          <w:lang w:val="en-US" w:eastAsia="ko-KR"/>
        </w:rPr>
        <w:tab/>
        <w:t>UE measurement capability</w:t>
      </w:r>
    </w:p>
    <w:p w14:paraId="441063F5" w14:textId="730DF61A" w:rsidR="00651DB5" w:rsidRPr="00031FF0" w:rsidRDefault="00651DB5" w:rsidP="00651DB5">
      <w:pPr>
        <w:rPr>
          <w:lang w:val="en-US" w:eastAsia="ko-KR"/>
        </w:rPr>
      </w:pPr>
      <w:r>
        <w:rPr>
          <w:lang w:val="en-US" w:eastAsia="ko-KR"/>
        </w:rPr>
        <w:t>RAN4 should discuss how many intra-frequency and inter-frequency carriers need to be measured for NB-IOT as specified in section 4.2.2.9</w:t>
      </w:r>
      <w:r w:rsidR="00BE48EA">
        <w:rPr>
          <w:lang w:val="en-US" w:eastAsia="ko-KR"/>
        </w:rPr>
        <w:t xml:space="preserve"> in [1]</w:t>
      </w:r>
      <w:r>
        <w:rPr>
          <w:lang w:val="en-US" w:eastAsia="ko-KR"/>
        </w:rPr>
        <w:t>. It is clear that inter-RAT measurements are not necessary and thus no handover requirements need to be specified. Also, if more than one inter-frequency carrier needs to be monitored, then it is worth discussing if a single inter-frequency me</w:t>
      </w:r>
      <w:bookmarkStart w:id="3" w:name="_GoBack"/>
      <w:bookmarkEnd w:id="3"/>
      <w:r>
        <w:rPr>
          <w:lang w:val="en-US" w:eastAsia="ko-KR"/>
        </w:rPr>
        <w:t>asurement requirement should be specified for all carriers or if it is better to divide the carriers as normal performance group and reduced performance group as in the Rel-12 increased carrier monitoring feature thus relaxing UE current consumption due to measurements.</w:t>
      </w:r>
    </w:p>
    <w:p w14:paraId="336E28C5" w14:textId="4A6051BB" w:rsidR="00D649A9" w:rsidRPr="002D605B" w:rsidRDefault="005C1D67" w:rsidP="005C1D67">
      <w:pPr>
        <w:pStyle w:val="Heading2"/>
        <w:rPr>
          <w:lang w:val="en-US" w:eastAsia="ko-KR"/>
        </w:rPr>
      </w:pPr>
      <w:r>
        <w:rPr>
          <w:lang w:val="en-US" w:eastAsia="ko-KR"/>
        </w:rPr>
        <w:t>2.3</w:t>
      </w:r>
      <w:r w:rsidR="00D649A9" w:rsidRPr="002D605B">
        <w:rPr>
          <w:rFonts w:hint="eastAsia"/>
          <w:lang w:val="en-US" w:eastAsia="ko-KR"/>
        </w:rPr>
        <w:tab/>
      </w:r>
      <w:r w:rsidR="00CE1E17" w:rsidRPr="002D605B">
        <w:rPr>
          <w:lang w:val="en-US" w:eastAsia="ko-KR"/>
        </w:rPr>
        <w:t>P</w:t>
      </w:r>
      <w:r w:rsidR="00237D0B" w:rsidRPr="002D605B">
        <w:rPr>
          <w:lang w:val="en-US" w:eastAsia="ko-KR"/>
        </w:rPr>
        <w:t>aging</w:t>
      </w:r>
    </w:p>
    <w:p w14:paraId="3864A5B6" w14:textId="06BD8EE5" w:rsidR="00820CD6" w:rsidRPr="006436AF" w:rsidRDefault="00B96E2D" w:rsidP="00294F0B">
      <w:pPr>
        <w:tabs>
          <w:tab w:val="num" w:pos="720"/>
        </w:tabs>
        <w:rPr>
          <w:lang w:val="en-US" w:eastAsia="ko-KR"/>
        </w:rPr>
      </w:pPr>
      <w:r w:rsidRPr="006436AF">
        <w:rPr>
          <w:lang w:eastAsia="ko-KR"/>
        </w:rPr>
        <w:t>When cell reselection is triggered at UE, there is an interruption in downlink channel reception on current cell since UE has to read SI from new cell and camp on it</w:t>
      </w:r>
      <w:r w:rsidR="006436AF">
        <w:rPr>
          <w:lang w:eastAsia="ko-KR"/>
        </w:rPr>
        <w:t xml:space="preserve">. </w:t>
      </w:r>
      <w:r w:rsidRPr="006436AF">
        <w:rPr>
          <w:lang w:eastAsia="ko-KR"/>
        </w:rPr>
        <w:t>Current requirement</w:t>
      </w:r>
      <w:r w:rsidR="00890166">
        <w:rPr>
          <w:lang w:eastAsia="ko-KR"/>
        </w:rPr>
        <w:t xml:space="preserve"> in section 4.2.2.7 in [1] </w:t>
      </w:r>
      <w:r w:rsidRPr="006436AF">
        <w:rPr>
          <w:lang w:eastAsia="ko-KR"/>
        </w:rPr>
        <w:t>is that for intra-frequency and inter-frequency cell re-selection, the UE shall monitor the downlink of serving cell for paging reception until the UE is capable to start monitoring downlink channels of the target intra-frequency and inter-frequency cell for paging reception</w:t>
      </w:r>
      <w:r w:rsidR="006436AF">
        <w:rPr>
          <w:lang w:eastAsia="ko-KR"/>
        </w:rPr>
        <w:t xml:space="preserve">. </w:t>
      </w:r>
      <w:r w:rsidRPr="006436AF">
        <w:rPr>
          <w:lang w:eastAsia="ko-KR"/>
        </w:rPr>
        <w:t>The interruption time shall not exceed T</w:t>
      </w:r>
      <w:r w:rsidRPr="006436AF">
        <w:rPr>
          <w:vertAlign w:val="subscript"/>
          <w:lang w:eastAsia="ko-KR"/>
        </w:rPr>
        <w:t xml:space="preserve">SI-EUTRA </w:t>
      </w:r>
      <w:r w:rsidRPr="006436AF">
        <w:rPr>
          <w:lang w:eastAsia="ko-KR"/>
        </w:rPr>
        <w:t>+ 50 ms</w:t>
      </w:r>
      <w:r w:rsidR="006436AF">
        <w:rPr>
          <w:lang w:eastAsia="ko-KR"/>
        </w:rPr>
        <w:t xml:space="preserve">. But </w:t>
      </w:r>
      <w:r w:rsidRPr="006436AF">
        <w:rPr>
          <w:lang w:eastAsia="ko-KR"/>
        </w:rPr>
        <w:t>T</w:t>
      </w:r>
      <w:r w:rsidRPr="006436AF">
        <w:rPr>
          <w:vertAlign w:val="subscript"/>
          <w:lang w:eastAsia="ko-KR"/>
        </w:rPr>
        <w:t>SI-EUTRA</w:t>
      </w:r>
      <w:r w:rsidRPr="006436AF">
        <w:rPr>
          <w:lang w:val="en-US" w:eastAsia="ko-KR"/>
        </w:rPr>
        <w:t xml:space="preserve"> could depend on DL channel quality at UE and SI transmission schedule by network</w:t>
      </w:r>
      <w:r w:rsidR="00A16D75">
        <w:rPr>
          <w:lang w:val="en-US" w:eastAsia="ko-KR"/>
        </w:rPr>
        <w:t xml:space="preserve">. </w:t>
      </w:r>
      <w:r w:rsidR="000A572C">
        <w:rPr>
          <w:lang w:val="en-US" w:eastAsia="ko-KR"/>
        </w:rPr>
        <w:t>Since</w:t>
      </w:r>
      <w:r w:rsidR="00A16D75">
        <w:rPr>
          <w:lang w:val="en-US" w:eastAsia="ko-KR"/>
        </w:rPr>
        <w:t xml:space="preserve"> the </w:t>
      </w:r>
      <w:r w:rsidR="00A970F7">
        <w:rPr>
          <w:lang w:val="en-US" w:eastAsia="ko-KR"/>
        </w:rPr>
        <w:t xml:space="preserve">NB-IOT </w:t>
      </w:r>
      <w:r w:rsidR="00A16D75">
        <w:rPr>
          <w:lang w:val="en-US" w:eastAsia="ko-KR"/>
        </w:rPr>
        <w:t xml:space="preserve">UE could fall in any of the different coverage levels on the potentials cells that it can reselect to, </w:t>
      </w:r>
      <w:r w:rsidR="00A16D75" w:rsidRPr="006436AF">
        <w:rPr>
          <w:lang w:eastAsia="ko-KR"/>
        </w:rPr>
        <w:t>T</w:t>
      </w:r>
      <w:r w:rsidR="00A16D75" w:rsidRPr="006436AF">
        <w:rPr>
          <w:vertAlign w:val="subscript"/>
          <w:lang w:eastAsia="ko-KR"/>
        </w:rPr>
        <w:t>SI-EUTRA</w:t>
      </w:r>
      <w:r w:rsidR="00A16D75">
        <w:rPr>
          <w:vertAlign w:val="subscript"/>
          <w:lang w:eastAsia="ko-KR"/>
        </w:rPr>
        <w:t xml:space="preserve"> </w:t>
      </w:r>
      <w:r w:rsidR="00A16D75" w:rsidRPr="00A16D75">
        <w:rPr>
          <w:lang w:val="en-US" w:eastAsia="ko-KR"/>
        </w:rPr>
        <w:t xml:space="preserve">could be different as well. </w:t>
      </w:r>
      <w:r w:rsidR="00212AD2">
        <w:rPr>
          <w:lang w:val="en-US" w:eastAsia="ko-KR"/>
        </w:rPr>
        <w:t>In l</w:t>
      </w:r>
      <w:r w:rsidR="00A16D75">
        <w:rPr>
          <w:lang w:val="en-US" w:eastAsia="ko-KR"/>
        </w:rPr>
        <w:t xml:space="preserve">egacy LTE, </w:t>
      </w:r>
      <w:r w:rsidR="00A16D75" w:rsidRPr="006436AF">
        <w:rPr>
          <w:lang w:eastAsia="ko-KR"/>
        </w:rPr>
        <w:t>T</w:t>
      </w:r>
      <w:r w:rsidR="00A16D75" w:rsidRPr="006436AF">
        <w:rPr>
          <w:vertAlign w:val="subscript"/>
          <w:lang w:eastAsia="ko-KR"/>
        </w:rPr>
        <w:t>SI-EUTRA</w:t>
      </w:r>
      <w:r w:rsidR="00A16D75">
        <w:rPr>
          <w:vertAlign w:val="subscript"/>
          <w:lang w:eastAsia="ko-KR"/>
        </w:rPr>
        <w:t xml:space="preserve"> </w:t>
      </w:r>
      <w:r w:rsidR="00A16D75" w:rsidRPr="00A16D75">
        <w:rPr>
          <w:lang w:val="en-US" w:eastAsia="ko-KR"/>
        </w:rPr>
        <w:t xml:space="preserve">value </w:t>
      </w:r>
      <w:r w:rsidR="00A16D75">
        <w:rPr>
          <w:lang w:val="en-US" w:eastAsia="ko-KR"/>
        </w:rPr>
        <w:t>was defined in the RAN2 specification. In the context of NB-IOT,</w:t>
      </w:r>
      <w:r w:rsidR="00A16D75" w:rsidRPr="00A16D75">
        <w:rPr>
          <w:lang w:val="en-US" w:eastAsia="ko-KR"/>
        </w:rPr>
        <w:t xml:space="preserve"> RAN4</w:t>
      </w:r>
      <w:r w:rsidR="00A16D75">
        <w:rPr>
          <w:vertAlign w:val="subscript"/>
          <w:lang w:eastAsia="ko-KR"/>
        </w:rPr>
        <w:t xml:space="preserve"> </w:t>
      </w:r>
      <w:r w:rsidR="00A16D75">
        <w:rPr>
          <w:lang w:val="en-US" w:eastAsia="ko-KR"/>
        </w:rPr>
        <w:t xml:space="preserve">needs to discuss whether it is better for RAN2 to define the value for each coverage level or if RAN4 should add a correction value to </w:t>
      </w:r>
      <w:r w:rsidR="00A16D75" w:rsidRPr="006436AF">
        <w:rPr>
          <w:lang w:eastAsia="ko-KR"/>
        </w:rPr>
        <w:t>T</w:t>
      </w:r>
      <w:r w:rsidR="00A16D75" w:rsidRPr="006436AF">
        <w:rPr>
          <w:vertAlign w:val="subscript"/>
          <w:lang w:eastAsia="ko-KR"/>
        </w:rPr>
        <w:t>SI-EUTRA</w:t>
      </w:r>
      <w:r w:rsidR="00A16D75">
        <w:rPr>
          <w:vertAlign w:val="subscript"/>
          <w:lang w:eastAsia="ko-KR"/>
        </w:rPr>
        <w:t xml:space="preserve"> </w:t>
      </w:r>
      <w:r w:rsidR="00A16D75" w:rsidRPr="00A16D75">
        <w:rPr>
          <w:lang w:val="en-US" w:eastAsia="ko-KR"/>
        </w:rPr>
        <w:t>based on the coverage level.</w:t>
      </w:r>
      <w:r w:rsidR="00294F0B">
        <w:rPr>
          <w:lang w:val="en-US" w:eastAsia="ko-KR"/>
        </w:rPr>
        <w:t xml:space="preserve"> </w:t>
      </w:r>
      <w:r w:rsidRPr="006436AF">
        <w:rPr>
          <w:lang w:val="en-US" w:eastAsia="ko-KR"/>
        </w:rPr>
        <w:t xml:space="preserve">Also, the timing/schedule of </w:t>
      </w:r>
      <w:r w:rsidR="009C0501">
        <w:rPr>
          <w:lang w:val="en-US" w:eastAsia="ko-KR"/>
        </w:rPr>
        <w:t>paging hyperframe (</w:t>
      </w:r>
      <w:r w:rsidRPr="006436AF">
        <w:rPr>
          <w:lang w:val="en-US" w:eastAsia="ko-KR"/>
        </w:rPr>
        <w:t>PH</w:t>
      </w:r>
      <w:r w:rsidR="009C0501">
        <w:rPr>
          <w:lang w:val="en-US" w:eastAsia="ko-KR"/>
        </w:rPr>
        <w:t>)</w:t>
      </w:r>
      <w:r w:rsidRPr="006436AF">
        <w:rPr>
          <w:lang w:val="en-US" w:eastAsia="ko-KR"/>
        </w:rPr>
        <w:t>/</w:t>
      </w:r>
      <w:r w:rsidR="009C0501">
        <w:rPr>
          <w:lang w:val="en-US" w:eastAsia="ko-KR"/>
        </w:rPr>
        <w:t>Paging Occasions (</w:t>
      </w:r>
      <w:r w:rsidRPr="006436AF">
        <w:rPr>
          <w:lang w:val="en-US" w:eastAsia="ko-KR"/>
        </w:rPr>
        <w:t>PO</w:t>
      </w:r>
      <w:r w:rsidR="00BF5DD8">
        <w:rPr>
          <w:lang w:val="en-US" w:eastAsia="ko-KR"/>
        </w:rPr>
        <w:t>)</w:t>
      </w:r>
      <w:r w:rsidRPr="006436AF">
        <w:rPr>
          <w:lang w:val="en-US" w:eastAsia="ko-KR"/>
        </w:rPr>
        <w:t>/</w:t>
      </w:r>
      <w:r w:rsidR="009C0501">
        <w:rPr>
          <w:lang w:val="en-US" w:eastAsia="ko-KR"/>
        </w:rPr>
        <w:t>Paging Window</w:t>
      </w:r>
      <w:r w:rsidR="003A54DE">
        <w:rPr>
          <w:lang w:val="en-US" w:eastAsia="ko-KR"/>
        </w:rPr>
        <w:t>(PW)</w:t>
      </w:r>
      <w:r w:rsidRPr="006436AF">
        <w:rPr>
          <w:lang w:val="en-US" w:eastAsia="ko-KR"/>
        </w:rPr>
        <w:t xml:space="preserve"> across neighbor cells </w:t>
      </w:r>
      <w:r w:rsidR="00294F0B">
        <w:rPr>
          <w:lang w:val="en-US" w:eastAsia="ko-KR"/>
        </w:rPr>
        <w:t>may</w:t>
      </w:r>
      <w:r w:rsidR="008667BD">
        <w:rPr>
          <w:lang w:val="en-US" w:eastAsia="ko-KR"/>
        </w:rPr>
        <w:t xml:space="preserve"> or may</w:t>
      </w:r>
      <w:r w:rsidRPr="006436AF">
        <w:rPr>
          <w:lang w:val="en-US" w:eastAsia="ko-KR"/>
        </w:rPr>
        <w:t xml:space="preserve"> no</w:t>
      </w:r>
      <w:r w:rsidR="008667BD">
        <w:rPr>
          <w:lang w:val="en-US" w:eastAsia="ko-KR"/>
        </w:rPr>
        <w:t>t be synchronized.</w:t>
      </w:r>
      <w:r w:rsidRPr="006436AF">
        <w:rPr>
          <w:lang w:val="en-US" w:eastAsia="ko-KR"/>
        </w:rPr>
        <w:t xml:space="preserve"> </w:t>
      </w:r>
      <w:r w:rsidR="008667BD">
        <w:rPr>
          <w:lang w:val="en-US" w:eastAsia="ko-KR"/>
        </w:rPr>
        <w:t>T</w:t>
      </w:r>
      <w:r w:rsidRPr="006436AF">
        <w:rPr>
          <w:lang w:val="en-US" w:eastAsia="ko-KR"/>
        </w:rPr>
        <w:t>hus there could be additional latency due to the wai</w:t>
      </w:r>
      <w:r w:rsidR="00294F0B">
        <w:rPr>
          <w:lang w:val="en-US" w:eastAsia="ko-KR"/>
        </w:rPr>
        <w:t>t for PO after cell-reselection</w:t>
      </w:r>
      <w:r w:rsidR="006E6B7E">
        <w:rPr>
          <w:lang w:val="en-US" w:eastAsia="ko-KR"/>
        </w:rPr>
        <w:t xml:space="preserve"> if they are not synchronized</w:t>
      </w:r>
      <w:r w:rsidR="00294F0B">
        <w:rPr>
          <w:lang w:val="en-US" w:eastAsia="ko-KR"/>
        </w:rPr>
        <w:t xml:space="preserve">. </w:t>
      </w:r>
      <w:r w:rsidR="00237D0B">
        <w:rPr>
          <w:lang w:val="en-US" w:eastAsia="ko-KR"/>
        </w:rPr>
        <w:t>Infra vend</w:t>
      </w:r>
      <w:r w:rsidR="008667BD">
        <w:rPr>
          <w:lang w:val="en-US" w:eastAsia="ko-KR"/>
        </w:rPr>
        <w:t>or</w:t>
      </w:r>
      <w:r w:rsidR="00237D0B">
        <w:rPr>
          <w:lang w:val="en-US" w:eastAsia="ko-KR"/>
        </w:rPr>
        <w:t>s</w:t>
      </w:r>
      <w:r w:rsidR="008667BD">
        <w:rPr>
          <w:lang w:val="en-US" w:eastAsia="ko-KR"/>
        </w:rPr>
        <w:t xml:space="preserve"> views on whether they are synchronized or not would be useful.</w:t>
      </w:r>
      <w:r w:rsidR="00237D0B">
        <w:rPr>
          <w:lang w:val="en-US" w:eastAsia="ko-KR"/>
        </w:rPr>
        <w:t xml:space="preserve"> Based on that, RAN4 should discuss if such synchronization or lack of it should be considered when defining requirements.</w:t>
      </w:r>
    </w:p>
    <w:p w14:paraId="6C5A7102" w14:textId="08D6C3F0" w:rsidR="00DF6AFD" w:rsidRPr="00DF6AFD" w:rsidRDefault="008507C5" w:rsidP="00DF6AFD">
      <w:pPr>
        <w:pStyle w:val="Heading1"/>
        <w:rPr>
          <w:lang w:val="en-US" w:eastAsia="ko-KR"/>
        </w:rPr>
      </w:pPr>
      <w:r>
        <w:rPr>
          <w:lang w:val="en-US" w:eastAsia="ko-KR"/>
        </w:rPr>
        <w:lastRenderedPageBreak/>
        <w:t>3</w:t>
      </w:r>
      <w:r w:rsidR="00DF6AFD">
        <w:rPr>
          <w:lang w:val="en-US" w:eastAsia="ko-KR"/>
        </w:rPr>
        <w:tab/>
      </w:r>
      <w:r w:rsidR="000955FD">
        <w:rPr>
          <w:lang w:val="en-US" w:eastAsia="ko-KR"/>
        </w:rPr>
        <w:t>Radio Link Monitoring</w:t>
      </w:r>
    </w:p>
    <w:p w14:paraId="55D2030E" w14:textId="3FBCD5A0" w:rsidR="00820CD6" w:rsidRDefault="00ED333D" w:rsidP="00ED333D">
      <w:pPr>
        <w:rPr>
          <w:color w:val="000000"/>
        </w:rPr>
      </w:pPr>
      <w:r>
        <w:rPr>
          <w:color w:val="000000"/>
        </w:rPr>
        <w:t xml:space="preserve">The legacy requirement for RLM </w:t>
      </w:r>
      <w:r w:rsidR="00282429">
        <w:rPr>
          <w:color w:val="000000"/>
        </w:rPr>
        <w:t xml:space="preserve">in section 7.6 </w:t>
      </w:r>
      <w:r w:rsidR="007A7D84">
        <w:rPr>
          <w:color w:val="000000"/>
        </w:rPr>
        <w:t>in</w:t>
      </w:r>
      <w:r w:rsidR="00282429">
        <w:rPr>
          <w:color w:val="000000"/>
        </w:rPr>
        <w:t xml:space="preserve"> [1] </w:t>
      </w:r>
      <w:r>
        <w:rPr>
          <w:color w:val="000000"/>
        </w:rPr>
        <w:t xml:space="preserve">is that </w:t>
      </w:r>
      <w:r w:rsidR="00B96E2D" w:rsidRPr="00ED333D">
        <w:rPr>
          <w:color w:val="000000"/>
        </w:rPr>
        <w:t xml:space="preserve">UE </w:t>
      </w:r>
      <w:r>
        <w:rPr>
          <w:color w:val="000000"/>
        </w:rPr>
        <w:t>is expected to monitor</w:t>
      </w:r>
      <w:r w:rsidR="00B96E2D" w:rsidRPr="00ED333D">
        <w:rPr>
          <w:color w:val="000000"/>
        </w:rPr>
        <w:t xml:space="preserve"> the downlink link quality based on the</w:t>
      </w:r>
      <w:r>
        <w:rPr>
          <w:color w:val="000000"/>
        </w:rPr>
        <w:t xml:space="preserve"> cell-specific reference signal and compare</w:t>
      </w:r>
      <w:r w:rsidR="00B96E2D" w:rsidRPr="00ED333D">
        <w:rPr>
          <w:color w:val="000000"/>
        </w:rPr>
        <w:t xml:space="preserve"> it to the thresholds Qout and Qin</w:t>
      </w:r>
      <w:r>
        <w:rPr>
          <w:color w:val="000000"/>
        </w:rPr>
        <w:t xml:space="preserve">. </w:t>
      </w:r>
      <w:r w:rsidR="00B96E2D" w:rsidRPr="00ED333D">
        <w:rPr>
          <w:color w:val="000000"/>
        </w:rPr>
        <w:t>Qout</w:t>
      </w:r>
      <w:r>
        <w:rPr>
          <w:color w:val="000000"/>
        </w:rPr>
        <w:t xml:space="preserve"> is the</w:t>
      </w:r>
      <w:r w:rsidR="00B96E2D" w:rsidRPr="00ED333D">
        <w:rPr>
          <w:color w:val="000000"/>
        </w:rPr>
        <w:t xml:space="preserve"> level at which the downlink radio li</w:t>
      </w:r>
      <w:r>
        <w:rPr>
          <w:color w:val="000000"/>
        </w:rPr>
        <w:t xml:space="preserve">nk cannot be reliably received and corresponds to 10% PDCCH BLER. </w:t>
      </w:r>
      <w:r w:rsidR="00B96E2D" w:rsidRPr="00ED333D">
        <w:rPr>
          <w:color w:val="000000"/>
        </w:rPr>
        <w:t>Qin</w:t>
      </w:r>
      <w:r>
        <w:rPr>
          <w:color w:val="000000"/>
        </w:rPr>
        <w:t xml:space="preserve"> is the </w:t>
      </w:r>
      <w:r w:rsidR="00B96E2D" w:rsidRPr="00ED333D">
        <w:rPr>
          <w:color w:val="000000"/>
        </w:rPr>
        <w:t>level at which the downlink radio link quality can be significantly more reliably received than at Qout</w:t>
      </w:r>
      <w:r w:rsidR="006E1702">
        <w:rPr>
          <w:color w:val="000000"/>
        </w:rPr>
        <w:t xml:space="preserve"> and</w:t>
      </w:r>
      <w:r w:rsidR="00B96E2D" w:rsidRPr="00ED333D">
        <w:rPr>
          <w:color w:val="000000"/>
        </w:rPr>
        <w:t xml:space="preserve"> corresponds to 2% PDCCH BLER</w:t>
      </w:r>
      <w:r w:rsidR="006E1702">
        <w:rPr>
          <w:color w:val="000000"/>
        </w:rPr>
        <w:t xml:space="preserve">. </w:t>
      </w:r>
      <w:r w:rsidR="00B96E2D" w:rsidRPr="00ED333D">
        <w:rPr>
          <w:color w:val="000000"/>
        </w:rPr>
        <w:t xml:space="preserve">If signal level falls below Qout, UE starts timer T310 </w:t>
      </w:r>
      <w:r w:rsidR="004F2C14">
        <w:rPr>
          <w:color w:val="000000"/>
        </w:rPr>
        <w:t xml:space="preserve">and </w:t>
      </w:r>
      <w:r w:rsidR="00B96E2D" w:rsidRPr="00ED333D">
        <w:rPr>
          <w:color w:val="000000"/>
        </w:rPr>
        <w:t>upon receiving N310 consecutive "out-of-sync" indications for the PCell</w:t>
      </w:r>
      <w:r w:rsidR="00980B7B">
        <w:rPr>
          <w:color w:val="000000"/>
        </w:rPr>
        <w:t xml:space="preserve">, </w:t>
      </w:r>
      <w:r w:rsidR="00980B7B" w:rsidRPr="00ED333D">
        <w:rPr>
          <w:color w:val="000000"/>
        </w:rPr>
        <w:t xml:space="preserve">UE </w:t>
      </w:r>
      <w:r w:rsidR="0059168F">
        <w:rPr>
          <w:color w:val="000000"/>
        </w:rPr>
        <w:t>goes</w:t>
      </w:r>
      <w:r w:rsidR="00980B7B" w:rsidRPr="00ED333D">
        <w:rPr>
          <w:color w:val="000000"/>
        </w:rPr>
        <w:t xml:space="preserve"> </w:t>
      </w:r>
      <w:r w:rsidR="00C026D7">
        <w:rPr>
          <w:color w:val="000000"/>
        </w:rPr>
        <w:t>out-of-sync (</w:t>
      </w:r>
      <w:r w:rsidR="00980B7B" w:rsidRPr="00ED333D">
        <w:rPr>
          <w:color w:val="000000"/>
        </w:rPr>
        <w:t>OOS</w:t>
      </w:r>
      <w:r w:rsidR="00FE532A">
        <w:rPr>
          <w:color w:val="000000"/>
        </w:rPr>
        <w:t>)</w:t>
      </w:r>
      <w:r w:rsidR="00980B7B">
        <w:rPr>
          <w:color w:val="000000"/>
        </w:rPr>
        <w:t xml:space="preserve">. </w:t>
      </w:r>
      <w:r w:rsidR="00B96E2D" w:rsidRPr="00ED333D">
        <w:rPr>
          <w:color w:val="000000"/>
        </w:rPr>
        <w:t>If signal level rises above Qin, UE stops timer T310 upon receiving N311 consecutive "in-sync" indications for the PCell</w:t>
      </w:r>
      <w:r w:rsidR="00980B7B">
        <w:rPr>
          <w:color w:val="000000"/>
        </w:rPr>
        <w:t xml:space="preserve"> </w:t>
      </w:r>
      <w:r w:rsidR="00B83A7F">
        <w:rPr>
          <w:color w:val="000000"/>
        </w:rPr>
        <w:t xml:space="preserve">and </w:t>
      </w:r>
      <w:r w:rsidR="00980B7B" w:rsidRPr="00ED333D">
        <w:rPr>
          <w:color w:val="000000"/>
        </w:rPr>
        <w:t>UE is</w:t>
      </w:r>
      <w:r w:rsidR="00B83A7F">
        <w:rPr>
          <w:color w:val="000000"/>
        </w:rPr>
        <w:t xml:space="preserve"> back </w:t>
      </w:r>
      <w:r w:rsidR="00980B7B" w:rsidRPr="00ED333D">
        <w:rPr>
          <w:color w:val="000000"/>
        </w:rPr>
        <w:t>in-sync</w:t>
      </w:r>
      <w:r w:rsidR="0024287C">
        <w:rPr>
          <w:color w:val="000000"/>
        </w:rPr>
        <w:t>.</w:t>
      </w:r>
    </w:p>
    <w:p w14:paraId="5FC904F6" w14:textId="1B64A0E4" w:rsidR="00ED333D" w:rsidRDefault="00BE4B2E" w:rsidP="00193A71">
      <w:pPr>
        <w:tabs>
          <w:tab w:val="num" w:pos="720"/>
        </w:tabs>
        <w:rPr>
          <w:color w:val="000000"/>
          <w:lang w:val="en-US"/>
        </w:rPr>
      </w:pPr>
      <w:r>
        <w:rPr>
          <w:color w:val="000000"/>
        </w:rPr>
        <w:t xml:space="preserve">NB-IOT </w:t>
      </w:r>
      <w:r w:rsidR="003623CC">
        <w:rPr>
          <w:color w:val="000000"/>
        </w:rPr>
        <w:t xml:space="preserve">may support different coverage </w:t>
      </w:r>
      <w:r w:rsidR="00E17378">
        <w:rPr>
          <w:color w:val="000000"/>
        </w:rPr>
        <w:t>levels</w:t>
      </w:r>
      <w:r w:rsidR="003623CC">
        <w:rPr>
          <w:color w:val="000000"/>
        </w:rPr>
        <w:t xml:space="preserve"> like in eMTC. </w:t>
      </w:r>
      <w:r w:rsidR="00193A71">
        <w:rPr>
          <w:color w:val="000000"/>
        </w:rPr>
        <w:t xml:space="preserve">In Idle mode, NB-IOT UE is expected to support mobility. So </w:t>
      </w:r>
      <w:r w:rsidR="00B96E2D" w:rsidRPr="00193A71">
        <w:rPr>
          <w:color w:val="000000"/>
          <w:lang w:val="en-US"/>
        </w:rPr>
        <w:t xml:space="preserve">eNB may configure different </w:t>
      </w:r>
      <w:r w:rsidR="00193A71">
        <w:rPr>
          <w:color w:val="000000"/>
          <w:lang w:val="en-US"/>
        </w:rPr>
        <w:t>redundancy(aggregation/repetition) levels for N-</w:t>
      </w:r>
      <w:r w:rsidR="00B96E2D" w:rsidRPr="00193A71">
        <w:rPr>
          <w:color w:val="000000"/>
          <w:lang w:val="en-US"/>
        </w:rPr>
        <w:t>PDC</w:t>
      </w:r>
      <w:r w:rsidR="00193A71">
        <w:rPr>
          <w:color w:val="000000"/>
          <w:lang w:val="en-US"/>
        </w:rPr>
        <w:t xml:space="preserve">CH. </w:t>
      </w:r>
      <w:r w:rsidR="00B96E2D" w:rsidRPr="00193A71">
        <w:rPr>
          <w:color w:val="000000"/>
          <w:lang w:val="en-US"/>
        </w:rPr>
        <w:t>If Qin and Qout levels are kept fixed as in legacy UE, downlink signal quality at UE moving towards lower coverage regions could easily drop below Qout</w:t>
      </w:r>
      <w:r w:rsidR="00193A71">
        <w:rPr>
          <w:color w:val="000000"/>
          <w:lang w:val="en-US"/>
        </w:rPr>
        <w:t xml:space="preserve"> and UE goes OOS. </w:t>
      </w:r>
      <w:r w:rsidR="00B96E2D" w:rsidRPr="00193A71">
        <w:rPr>
          <w:color w:val="000000"/>
          <w:lang w:val="en-US"/>
        </w:rPr>
        <w:t>This can cause radio link fa</w:t>
      </w:r>
      <w:r w:rsidR="005C23E6">
        <w:rPr>
          <w:color w:val="000000"/>
          <w:lang w:val="en-US"/>
        </w:rPr>
        <w:t xml:space="preserve">ilure and UE has to RACH again. This </w:t>
      </w:r>
      <w:r w:rsidR="00B96E2D" w:rsidRPr="00193A71">
        <w:rPr>
          <w:color w:val="000000"/>
          <w:lang w:val="en-US"/>
        </w:rPr>
        <w:t>leads to unnecessary latency and power consumption</w:t>
      </w:r>
      <w:r w:rsidR="00193A71">
        <w:rPr>
          <w:color w:val="000000"/>
          <w:lang w:val="en-US"/>
        </w:rPr>
        <w:t xml:space="preserve">. </w:t>
      </w:r>
      <w:r w:rsidR="00B96E2D" w:rsidRPr="00193A71">
        <w:rPr>
          <w:color w:val="000000"/>
          <w:lang w:val="en-US"/>
        </w:rPr>
        <w:t>Similarly, UE coming back in-sync could be delayed until it comes back to the legacy coverage region</w:t>
      </w:r>
      <w:r w:rsidR="00193A71">
        <w:rPr>
          <w:color w:val="000000"/>
          <w:lang w:val="en-US"/>
        </w:rPr>
        <w:t>. Thus</w:t>
      </w:r>
      <w:r w:rsidR="00B96E2D" w:rsidRPr="00193A71">
        <w:rPr>
          <w:color w:val="000000"/>
          <w:lang w:val="en-US"/>
        </w:rPr>
        <w:t xml:space="preserve"> UE </w:t>
      </w:r>
      <w:r w:rsidR="006C2C46">
        <w:rPr>
          <w:color w:val="000000"/>
          <w:lang w:val="en-US"/>
        </w:rPr>
        <w:t>may need</w:t>
      </w:r>
      <w:r w:rsidR="00193A71">
        <w:rPr>
          <w:color w:val="000000"/>
          <w:lang w:val="en-US"/>
        </w:rPr>
        <w:t xml:space="preserve"> to maintain</w:t>
      </w:r>
      <w:r w:rsidR="00B96E2D" w:rsidRPr="00193A71">
        <w:rPr>
          <w:color w:val="000000"/>
          <w:lang w:val="en-US"/>
        </w:rPr>
        <w:t xml:space="preserve"> different </w:t>
      </w:r>
      <w:r w:rsidR="00B96E2D" w:rsidRPr="00193A71">
        <w:rPr>
          <w:color w:val="000000"/>
        </w:rPr>
        <w:t>Q</w:t>
      </w:r>
      <w:r w:rsidR="00B96E2D" w:rsidRPr="00193A71">
        <w:rPr>
          <w:color w:val="000000"/>
          <w:vertAlign w:val="subscript"/>
        </w:rPr>
        <w:t>out</w:t>
      </w:r>
      <w:r w:rsidR="00B96E2D" w:rsidRPr="00193A71">
        <w:rPr>
          <w:color w:val="000000"/>
        </w:rPr>
        <w:t xml:space="preserve"> and Q</w:t>
      </w:r>
      <w:r w:rsidR="00B96E2D" w:rsidRPr="00193A71">
        <w:rPr>
          <w:color w:val="000000"/>
          <w:vertAlign w:val="subscript"/>
        </w:rPr>
        <w:t>in</w:t>
      </w:r>
      <w:r w:rsidR="00B96E2D" w:rsidRPr="00193A71">
        <w:rPr>
          <w:color w:val="000000"/>
        </w:rPr>
        <w:t xml:space="preserve"> </w:t>
      </w:r>
      <w:r w:rsidR="00193A71">
        <w:rPr>
          <w:color w:val="000000"/>
          <w:lang w:val="en-US"/>
        </w:rPr>
        <w:t xml:space="preserve">for each N-PDCCH configuration and </w:t>
      </w:r>
      <w:r w:rsidR="00B96E2D" w:rsidRPr="00193A71">
        <w:rPr>
          <w:color w:val="000000"/>
          <w:lang w:val="en-US"/>
        </w:rPr>
        <w:t>pre-empt</w:t>
      </w:r>
      <w:r w:rsidR="00193A71">
        <w:rPr>
          <w:color w:val="000000"/>
          <w:lang w:val="en-US"/>
        </w:rPr>
        <w:t xml:space="preserve">ively switch threshold settings. </w:t>
      </w:r>
      <w:r w:rsidR="00B96E2D" w:rsidRPr="00193A71">
        <w:rPr>
          <w:color w:val="000000"/>
          <w:lang w:val="en-US"/>
        </w:rPr>
        <w:t>For e.g., if UE measures DL signal level which corresponds to, say, 9% MPDCCH BLER, DL signal level at UE could soon drop below Qout as UE moves without any</w:t>
      </w:r>
      <w:r w:rsidR="00193A71">
        <w:rPr>
          <w:color w:val="000000"/>
          <w:lang w:val="en-US"/>
        </w:rPr>
        <w:t xml:space="preserve"> change in MPDCCH configuration.</w:t>
      </w:r>
      <w:r w:rsidR="00B96E2D" w:rsidRPr="00193A71">
        <w:rPr>
          <w:color w:val="000000"/>
          <w:lang w:val="en-US"/>
        </w:rPr>
        <w:t xml:space="preserve"> </w:t>
      </w:r>
      <w:r w:rsidR="00193A71">
        <w:rPr>
          <w:color w:val="000000"/>
          <w:lang w:val="en-US"/>
        </w:rPr>
        <w:t>T</w:t>
      </w:r>
      <w:r w:rsidR="00B96E2D" w:rsidRPr="00193A71">
        <w:rPr>
          <w:color w:val="000000"/>
          <w:lang w:val="en-US"/>
        </w:rPr>
        <w:t>hi</w:t>
      </w:r>
      <w:r w:rsidR="00193A71">
        <w:rPr>
          <w:color w:val="000000"/>
          <w:lang w:val="en-US"/>
        </w:rPr>
        <w:t xml:space="preserve">s causes OOS and UE Tx </w:t>
      </w:r>
      <w:r w:rsidR="00F419B3">
        <w:rPr>
          <w:color w:val="000000"/>
          <w:lang w:val="en-US"/>
        </w:rPr>
        <w:t>is tu</w:t>
      </w:r>
      <w:r w:rsidR="0006268A">
        <w:rPr>
          <w:color w:val="000000"/>
          <w:lang w:val="en-US"/>
        </w:rPr>
        <w:t>r</w:t>
      </w:r>
      <w:r w:rsidR="00F419B3">
        <w:rPr>
          <w:color w:val="000000"/>
          <w:lang w:val="en-US"/>
        </w:rPr>
        <w:t>n</w:t>
      </w:r>
      <w:r w:rsidR="0006268A">
        <w:rPr>
          <w:color w:val="000000"/>
          <w:lang w:val="en-US"/>
        </w:rPr>
        <w:t xml:space="preserve">ed </w:t>
      </w:r>
      <w:r w:rsidR="00193A71">
        <w:rPr>
          <w:color w:val="000000"/>
          <w:lang w:val="en-US"/>
        </w:rPr>
        <w:t>off. More importantly</w:t>
      </w:r>
      <w:r w:rsidR="00B96E2D" w:rsidRPr="00193A71">
        <w:rPr>
          <w:color w:val="000000"/>
          <w:lang w:val="en-US"/>
        </w:rPr>
        <w:t xml:space="preserve">, eNB may not be aware of </w:t>
      </w:r>
      <w:r w:rsidR="00193A71">
        <w:rPr>
          <w:color w:val="000000"/>
          <w:lang w:val="en-US"/>
        </w:rPr>
        <w:t>the</w:t>
      </w:r>
      <w:r w:rsidR="00B96E2D" w:rsidRPr="00193A71">
        <w:rPr>
          <w:color w:val="000000"/>
          <w:lang w:val="en-US"/>
        </w:rPr>
        <w:t xml:space="preserve"> UE’s speed/direction of travel/positioning and thus may not b</w:t>
      </w:r>
      <w:r w:rsidR="00193A71">
        <w:rPr>
          <w:color w:val="000000"/>
          <w:lang w:val="en-US"/>
        </w:rPr>
        <w:t>e able to pre-emptively change N-</w:t>
      </w:r>
      <w:r w:rsidR="00B96E2D" w:rsidRPr="00193A71">
        <w:rPr>
          <w:color w:val="000000"/>
          <w:lang w:val="en-US"/>
        </w:rPr>
        <w:t>PDCCH aggregation/repetition levels to provide UE with a reliable link quality during coverage level transitions</w:t>
      </w:r>
      <w:r w:rsidR="00E9332C">
        <w:rPr>
          <w:color w:val="000000"/>
          <w:lang w:val="en-US"/>
        </w:rPr>
        <w:t>.</w:t>
      </w:r>
      <w:r w:rsidR="005E16D6">
        <w:rPr>
          <w:color w:val="000000"/>
          <w:lang w:val="en-US"/>
        </w:rPr>
        <w:t xml:space="preserve"> Thus </w:t>
      </w:r>
      <w:r w:rsidR="006C2C46">
        <w:rPr>
          <w:color w:val="000000"/>
          <w:lang w:val="en-US"/>
        </w:rPr>
        <w:t>UE could potentially</w:t>
      </w:r>
      <w:r w:rsidR="005E16D6">
        <w:rPr>
          <w:color w:val="000000"/>
          <w:lang w:val="en-US"/>
        </w:rPr>
        <w:t xml:space="preserve"> report coverage level change to the network either as a measurement report or a predefined measurement event so that the network can use the appropriate N-PDCCH config and ensure reliable radio link quality. </w:t>
      </w:r>
      <w:r w:rsidR="006C2C46">
        <w:rPr>
          <w:color w:val="000000"/>
          <w:lang w:val="en-US"/>
        </w:rPr>
        <w:t xml:space="preserve">But RAN2 may decide not to support measurement reporting at least in Rel-13. </w:t>
      </w:r>
      <w:r w:rsidR="0098581F">
        <w:rPr>
          <w:color w:val="000000"/>
          <w:lang w:val="en-US"/>
        </w:rPr>
        <w:t>RAN4 c</w:t>
      </w:r>
      <w:r w:rsidR="005E16D6">
        <w:rPr>
          <w:color w:val="000000"/>
          <w:lang w:val="en-US"/>
        </w:rPr>
        <w:t>ould discuss this aspect further and not only agree on the best way to capture requirements per coverage level but also take Idle mode mobility aspects into account and implications on system performance.</w:t>
      </w:r>
    </w:p>
    <w:p w14:paraId="3FFF24FD" w14:textId="4A33B814" w:rsidR="00B22752" w:rsidRPr="00B22752" w:rsidRDefault="00B22752" w:rsidP="00B22752">
      <w:pPr>
        <w:pStyle w:val="Heading1"/>
        <w:rPr>
          <w:lang w:val="en-US" w:eastAsia="ko-KR"/>
        </w:rPr>
      </w:pPr>
      <w:r>
        <w:rPr>
          <w:lang w:val="en-US" w:eastAsia="ko-KR"/>
        </w:rPr>
        <w:t>4</w:t>
      </w:r>
      <w:r>
        <w:rPr>
          <w:lang w:val="en-US" w:eastAsia="ko-KR"/>
        </w:rPr>
        <w:tab/>
      </w:r>
      <w:r w:rsidR="0097040B">
        <w:rPr>
          <w:lang w:val="en-US" w:eastAsia="ko-KR"/>
        </w:rPr>
        <w:t xml:space="preserve">UE </w:t>
      </w:r>
      <w:r w:rsidR="006950B2">
        <w:rPr>
          <w:lang w:val="en-US" w:eastAsia="ko-KR"/>
        </w:rPr>
        <w:t>Tx</w:t>
      </w:r>
      <w:r w:rsidR="0097040B">
        <w:rPr>
          <w:lang w:val="en-US" w:eastAsia="ko-KR"/>
        </w:rPr>
        <w:t xml:space="preserve"> </w:t>
      </w:r>
      <w:r w:rsidR="006033C1">
        <w:rPr>
          <w:lang w:val="en-US" w:eastAsia="ko-KR"/>
        </w:rPr>
        <w:t>Requirements</w:t>
      </w:r>
      <w:r w:rsidRPr="00B22752">
        <w:rPr>
          <w:lang w:val="en-US" w:eastAsia="ko-KR"/>
        </w:rPr>
        <w:t xml:space="preserve"> </w:t>
      </w:r>
    </w:p>
    <w:p w14:paraId="17C08016" w14:textId="0BBA1D5D" w:rsidR="00B22752" w:rsidRPr="00193A71" w:rsidRDefault="004F0EA8" w:rsidP="00193A71">
      <w:pPr>
        <w:tabs>
          <w:tab w:val="num" w:pos="720"/>
        </w:tabs>
        <w:rPr>
          <w:color w:val="000000"/>
          <w:lang w:val="en-US"/>
        </w:rPr>
      </w:pPr>
      <w:r>
        <w:rPr>
          <w:color w:val="000000"/>
          <w:lang w:val="en-US"/>
        </w:rPr>
        <w:t>For random</w:t>
      </w:r>
      <w:r w:rsidR="00C86CFD">
        <w:rPr>
          <w:color w:val="000000"/>
          <w:lang w:val="en-US"/>
        </w:rPr>
        <w:t xml:space="preserve"> access, one of the significant features being introduced in NB-IOT is the 3.75KHz</w:t>
      </w:r>
      <w:r w:rsidR="00CF6290">
        <w:rPr>
          <w:color w:val="000000"/>
          <w:lang w:val="en-US"/>
        </w:rPr>
        <w:t xml:space="preserve"> </w:t>
      </w:r>
      <w:r w:rsidR="00AF0F5A">
        <w:rPr>
          <w:color w:val="000000"/>
          <w:lang w:val="en-US"/>
        </w:rPr>
        <w:t>sub-</w:t>
      </w:r>
      <w:r w:rsidR="00CF6290">
        <w:rPr>
          <w:color w:val="000000"/>
          <w:lang w:val="en-US"/>
        </w:rPr>
        <w:t>carrier</w:t>
      </w:r>
      <w:r w:rsidR="00C86CFD">
        <w:rPr>
          <w:color w:val="000000"/>
          <w:lang w:val="en-US"/>
        </w:rPr>
        <w:t xml:space="preserve"> </w:t>
      </w:r>
      <w:r w:rsidR="00CF6290">
        <w:rPr>
          <w:color w:val="000000"/>
          <w:lang w:val="en-US"/>
        </w:rPr>
        <w:t xml:space="preserve">spacing and </w:t>
      </w:r>
      <w:r w:rsidR="00C86CFD">
        <w:rPr>
          <w:color w:val="000000"/>
          <w:lang w:val="en-US"/>
        </w:rPr>
        <w:t xml:space="preserve">single tone </w:t>
      </w:r>
      <w:r w:rsidR="00CF6290">
        <w:rPr>
          <w:color w:val="000000"/>
          <w:lang w:val="en-US"/>
        </w:rPr>
        <w:t xml:space="preserve">RACH </w:t>
      </w:r>
      <w:r w:rsidR="00C86CFD">
        <w:rPr>
          <w:color w:val="000000"/>
          <w:lang w:val="en-US"/>
        </w:rPr>
        <w:t>transmission in addition to 15 KHz</w:t>
      </w:r>
      <w:r w:rsidR="00AF0F5A">
        <w:rPr>
          <w:color w:val="000000"/>
          <w:lang w:val="en-US"/>
        </w:rPr>
        <w:t xml:space="preserve"> sub-carrier spacing</w:t>
      </w:r>
      <w:r w:rsidR="00C86CFD">
        <w:rPr>
          <w:color w:val="000000"/>
          <w:lang w:val="en-US"/>
        </w:rPr>
        <w:t>.</w:t>
      </w:r>
      <w:r>
        <w:rPr>
          <w:color w:val="000000"/>
          <w:lang w:val="en-US"/>
        </w:rPr>
        <w:t xml:space="preserve"> RAN4 should </w:t>
      </w:r>
      <w:r w:rsidR="000A5EAC">
        <w:rPr>
          <w:color w:val="000000"/>
          <w:lang w:val="en-US"/>
        </w:rPr>
        <w:t>consider</w:t>
      </w:r>
      <w:r>
        <w:rPr>
          <w:color w:val="000000"/>
          <w:lang w:val="en-US"/>
        </w:rPr>
        <w:t xml:space="preserve"> requirements impact due to the timeline change for 3.75KHz spacing and the total latency in completing the RACH procedure which impacts RRC connection re-establishment delay requirement as well.</w:t>
      </w:r>
      <w:r w:rsidR="00C35D5E">
        <w:rPr>
          <w:color w:val="000000"/>
          <w:lang w:val="en-US"/>
        </w:rPr>
        <w:t xml:space="preserve"> Similarly the UE transmit timing requirements </w:t>
      </w:r>
      <w:r w:rsidR="000A5EAC">
        <w:rPr>
          <w:color w:val="000000"/>
          <w:lang w:val="en-US"/>
        </w:rPr>
        <w:t xml:space="preserve">in section 7.1 </w:t>
      </w:r>
      <w:r w:rsidR="00AD1526">
        <w:rPr>
          <w:color w:val="000000"/>
          <w:lang w:val="en-US"/>
        </w:rPr>
        <w:t xml:space="preserve">in [1] </w:t>
      </w:r>
      <w:r w:rsidR="00C35D5E">
        <w:rPr>
          <w:color w:val="000000"/>
          <w:lang w:val="en-US"/>
        </w:rPr>
        <w:t>related to timing error and time adjustment step need to be discussed since the DL bandwidth for NB-IOT is 180KHz which is significantly smaller than the lowest DL bandwidth considered in legacy LTE.</w:t>
      </w:r>
    </w:p>
    <w:p w14:paraId="5CD40D43" w14:textId="662397B5" w:rsidR="003E5671" w:rsidRPr="003E5671" w:rsidRDefault="00B22752" w:rsidP="003E5671">
      <w:pPr>
        <w:pStyle w:val="Heading1"/>
        <w:rPr>
          <w:lang w:val="en-US" w:eastAsia="ko-KR"/>
        </w:rPr>
      </w:pPr>
      <w:r>
        <w:rPr>
          <w:lang w:val="en-US" w:eastAsia="ko-KR"/>
        </w:rPr>
        <w:t>5</w:t>
      </w:r>
      <w:r w:rsidR="00DF7315">
        <w:rPr>
          <w:rFonts w:hint="eastAsia"/>
          <w:lang w:val="en-US" w:eastAsia="ko-KR"/>
        </w:rPr>
        <w:tab/>
      </w:r>
      <w:r w:rsidR="00DF7315" w:rsidRPr="00A2002B">
        <w:rPr>
          <w:rFonts w:hint="eastAsia"/>
          <w:lang w:val="en-US" w:eastAsia="ko-KR"/>
        </w:rPr>
        <w:t>Reference</w:t>
      </w:r>
      <w:r w:rsidR="00BF5187">
        <w:rPr>
          <w:lang w:val="en-US" w:eastAsia="ko-KR"/>
        </w:rPr>
        <w:t>s</w:t>
      </w:r>
    </w:p>
    <w:p w14:paraId="1F1496E7" w14:textId="159DC907" w:rsidR="00E16C01" w:rsidRDefault="00736866" w:rsidP="004E47E2">
      <w:pPr>
        <w:numPr>
          <w:ilvl w:val="0"/>
          <w:numId w:val="3"/>
        </w:numPr>
        <w:tabs>
          <w:tab w:val="left" w:pos="1080"/>
        </w:tabs>
        <w:overflowPunct/>
        <w:autoSpaceDE/>
        <w:autoSpaceDN/>
        <w:adjustRightInd/>
        <w:textAlignment w:val="auto"/>
      </w:pPr>
      <w:bookmarkStart w:id="4" w:name="_Ref393898989"/>
      <w:bookmarkStart w:id="5" w:name="_Ref382568932"/>
      <w:bookmarkStart w:id="6" w:name="_Ref382497349"/>
      <w:r>
        <w:t>TS36.133</w:t>
      </w:r>
      <w:r w:rsidR="009B6738">
        <w:t xml:space="preserve"> v13.2.0</w:t>
      </w:r>
      <w:r w:rsidR="00E16C01">
        <w:t>, “</w:t>
      </w:r>
      <w:r w:rsidR="009B6738">
        <w:t>Requirements for support of radio resource management”</w:t>
      </w:r>
      <w:r w:rsidR="00E16C01">
        <w:t xml:space="preserve"> </w:t>
      </w:r>
    </w:p>
    <w:bookmarkEnd w:id="4"/>
    <w:bookmarkEnd w:id="5"/>
    <w:bookmarkEnd w:id="6"/>
    <w:p w14:paraId="38483809" w14:textId="77777777" w:rsidR="00DC6C8B" w:rsidRDefault="00DC6C8B" w:rsidP="00B9779B">
      <w:pPr>
        <w:tabs>
          <w:tab w:val="left" w:pos="1080"/>
        </w:tabs>
        <w:overflowPunct/>
        <w:autoSpaceDE/>
        <w:autoSpaceDN/>
        <w:adjustRightInd/>
        <w:ind w:left="360"/>
        <w:textAlignment w:val="auto"/>
        <w:rPr>
          <w:rFonts w:cs="v4.2.0"/>
        </w:rPr>
      </w:pPr>
    </w:p>
    <w:sectPr w:rsidR="00DC6C8B" w:rsidSect="002020E7">
      <w:footerReference w:type="even" r:id="rId11"/>
      <w:footerReference w:type="default" r:id="rId12"/>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485C3" w14:textId="77777777" w:rsidR="00C169E2" w:rsidRDefault="00C169E2">
      <w:r>
        <w:separator/>
      </w:r>
    </w:p>
    <w:p w14:paraId="286C5A04" w14:textId="77777777" w:rsidR="00C169E2" w:rsidRDefault="00C169E2"/>
  </w:endnote>
  <w:endnote w:type="continuationSeparator" w:id="0">
    <w:p w14:paraId="4BDCEA98" w14:textId="77777777" w:rsidR="00C169E2" w:rsidRDefault="00C169E2">
      <w:r>
        <w:continuationSeparator/>
      </w:r>
    </w:p>
    <w:p w14:paraId="7520B3D7" w14:textId="77777777" w:rsidR="00C169E2" w:rsidRDefault="00C169E2"/>
  </w:endnote>
  <w:endnote w:type="continuationNotice" w:id="1">
    <w:p w14:paraId="55A44E4F" w14:textId="77777777" w:rsidR="00C169E2" w:rsidRDefault="00C16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665E66" w:rsidRDefault="00665E66">
    <w:pPr>
      <w:pStyle w:val="Footer"/>
    </w:pPr>
  </w:p>
  <w:p w14:paraId="5A698E88" w14:textId="77777777" w:rsidR="00665E66" w:rsidRDefault="00665E6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665E66" w:rsidRDefault="00665E66"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26FA2">
      <w:rPr>
        <w:rStyle w:val="PageNumber"/>
      </w:rPr>
      <w:t>1</w:t>
    </w:r>
    <w:r>
      <w:rPr>
        <w:rStyle w:val="PageNumber"/>
      </w:rPr>
      <w:fldChar w:fldCharType="end"/>
    </w:r>
  </w:p>
  <w:p w14:paraId="6CDB79AD" w14:textId="77777777" w:rsidR="00665E66" w:rsidRDefault="00665E66">
    <w:pPr>
      <w:pStyle w:val="Footer"/>
    </w:pPr>
  </w:p>
  <w:p w14:paraId="3AD7DA1C" w14:textId="77777777" w:rsidR="00665E66" w:rsidRDefault="00665E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78118" w14:textId="77777777" w:rsidR="00C169E2" w:rsidRDefault="00C169E2">
      <w:r>
        <w:separator/>
      </w:r>
    </w:p>
    <w:p w14:paraId="4CE06942" w14:textId="77777777" w:rsidR="00C169E2" w:rsidRDefault="00C169E2"/>
  </w:footnote>
  <w:footnote w:type="continuationSeparator" w:id="0">
    <w:p w14:paraId="33B877A6" w14:textId="77777777" w:rsidR="00C169E2" w:rsidRDefault="00C169E2">
      <w:r>
        <w:continuationSeparator/>
      </w:r>
    </w:p>
    <w:p w14:paraId="46D2F6F1" w14:textId="77777777" w:rsidR="00C169E2" w:rsidRDefault="00C169E2"/>
  </w:footnote>
  <w:footnote w:type="continuationNotice" w:id="1">
    <w:p w14:paraId="26A8454D" w14:textId="77777777" w:rsidR="00C169E2" w:rsidRDefault="00C169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0"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29"/>
  </w:num>
  <w:num w:numId="3">
    <w:abstractNumId w:val="19"/>
  </w:num>
  <w:num w:numId="4">
    <w:abstractNumId w:val="16"/>
  </w:num>
  <w:num w:numId="5">
    <w:abstractNumId w:val="24"/>
  </w:num>
  <w:num w:numId="6">
    <w:abstractNumId w:val="22"/>
  </w:num>
  <w:num w:numId="7">
    <w:abstractNumId w:val="2"/>
  </w:num>
  <w:num w:numId="8">
    <w:abstractNumId w:val="5"/>
  </w:num>
  <w:num w:numId="9">
    <w:abstractNumId w:val="21"/>
  </w:num>
  <w:num w:numId="10">
    <w:abstractNumId w:val="2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6"/>
  </w:num>
  <w:num w:numId="14">
    <w:abstractNumId w:val="4"/>
  </w:num>
  <w:num w:numId="15">
    <w:abstractNumId w:val="15"/>
  </w:num>
  <w:num w:numId="16">
    <w:abstractNumId w:val="13"/>
  </w:num>
  <w:num w:numId="17">
    <w:abstractNumId w:val="1"/>
  </w:num>
  <w:num w:numId="18">
    <w:abstractNumId w:val="11"/>
  </w:num>
  <w:num w:numId="19">
    <w:abstractNumId w:val="7"/>
  </w:num>
  <w:num w:numId="20">
    <w:abstractNumId w:val="14"/>
  </w:num>
  <w:num w:numId="21">
    <w:abstractNumId w:val="25"/>
  </w:num>
  <w:num w:numId="22">
    <w:abstractNumId w:val="8"/>
  </w:num>
  <w:num w:numId="23">
    <w:abstractNumId w:val="23"/>
  </w:num>
  <w:num w:numId="24">
    <w:abstractNumId w:val="0"/>
  </w:num>
  <w:num w:numId="25">
    <w:abstractNumId w:val="17"/>
  </w:num>
  <w:num w:numId="26">
    <w:abstractNumId w:val="12"/>
  </w:num>
  <w:num w:numId="27">
    <w:abstractNumId w:val="3"/>
  </w:num>
  <w:num w:numId="28">
    <w:abstractNumId w:val="18"/>
  </w:num>
  <w:num w:numId="29">
    <w:abstractNumId w:val="20"/>
  </w:num>
  <w:num w:numId="30">
    <w:abstractNumId w:val="30"/>
  </w:num>
  <w:num w:numId="31">
    <w:abstractNumId w:val="10"/>
  </w:num>
  <w:num w:numId="32">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04A"/>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5EA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0E71"/>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392"/>
    <w:rsid w:val="0017656A"/>
    <w:rsid w:val="001767E4"/>
    <w:rsid w:val="001769EA"/>
    <w:rsid w:val="00176CD0"/>
    <w:rsid w:val="00176FAC"/>
    <w:rsid w:val="00180AC4"/>
    <w:rsid w:val="00180DAB"/>
    <w:rsid w:val="0018100A"/>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B83"/>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327"/>
    <w:rsid w:val="00226E4F"/>
    <w:rsid w:val="00227888"/>
    <w:rsid w:val="0023089A"/>
    <w:rsid w:val="00230DFE"/>
    <w:rsid w:val="00230F16"/>
    <w:rsid w:val="002314E7"/>
    <w:rsid w:val="00231DC7"/>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0F5"/>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429"/>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05B"/>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86"/>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0DE"/>
    <w:rsid w:val="00451A5F"/>
    <w:rsid w:val="00451D71"/>
    <w:rsid w:val="00451F18"/>
    <w:rsid w:val="00451F61"/>
    <w:rsid w:val="00451FE4"/>
    <w:rsid w:val="00452215"/>
    <w:rsid w:val="00452247"/>
    <w:rsid w:val="00452E82"/>
    <w:rsid w:val="00453868"/>
    <w:rsid w:val="00453BCA"/>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6FA2"/>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95"/>
    <w:rsid w:val="005409ED"/>
    <w:rsid w:val="00540AAE"/>
    <w:rsid w:val="00540D0F"/>
    <w:rsid w:val="00541290"/>
    <w:rsid w:val="005414BE"/>
    <w:rsid w:val="00541C88"/>
    <w:rsid w:val="00541CF6"/>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961"/>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1D67"/>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14C3"/>
    <w:rsid w:val="00611E2D"/>
    <w:rsid w:val="0061222B"/>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21"/>
    <w:rsid w:val="00647F17"/>
    <w:rsid w:val="0065096D"/>
    <w:rsid w:val="00651C2E"/>
    <w:rsid w:val="00651D5B"/>
    <w:rsid w:val="00651DB5"/>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5A87"/>
    <w:rsid w:val="006A5AB9"/>
    <w:rsid w:val="006A6887"/>
    <w:rsid w:val="006A6EFA"/>
    <w:rsid w:val="006A6FC3"/>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2C46"/>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644"/>
    <w:rsid w:val="007A5C58"/>
    <w:rsid w:val="007A63EF"/>
    <w:rsid w:val="007A69AA"/>
    <w:rsid w:val="007A6F4F"/>
    <w:rsid w:val="007A757F"/>
    <w:rsid w:val="007A75E3"/>
    <w:rsid w:val="007A7D84"/>
    <w:rsid w:val="007A7F56"/>
    <w:rsid w:val="007B040E"/>
    <w:rsid w:val="007B0540"/>
    <w:rsid w:val="007B0F81"/>
    <w:rsid w:val="007B1D1E"/>
    <w:rsid w:val="007B260D"/>
    <w:rsid w:val="007B2A1C"/>
    <w:rsid w:val="007B2EE3"/>
    <w:rsid w:val="007B368D"/>
    <w:rsid w:val="007B3CB4"/>
    <w:rsid w:val="007B3DA7"/>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9EE"/>
    <w:rsid w:val="00832AB5"/>
    <w:rsid w:val="00832E35"/>
    <w:rsid w:val="008337AF"/>
    <w:rsid w:val="008337BE"/>
    <w:rsid w:val="00833B7E"/>
    <w:rsid w:val="008340CD"/>
    <w:rsid w:val="00834191"/>
    <w:rsid w:val="008342A7"/>
    <w:rsid w:val="00834ABB"/>
    <w:rsid w:val="00834AD5"/>
    <w:rsid w:val="00834C85"/>
    <w:rsid w:val="008350BC"/>
    <w:rsid w:val="008350D1"/>
    <w:rsid w:val="008350DA"/>
    <w:rsid w:val="008350FE"/>
    <w:rsid w:val="008355BC"/>
    <w:rsid w:val="008359CE"/>
    <w:rsid w:val="00835D21"/>
    <w:rsid w:val="008361F6"/>
    <w:rsid w:val="008366AB"/>
    <w:rsid w:val="00836781"/>
    <w:rsid w:val="00836853"/>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4B26"/>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15EB"/>
    <w:rsid w:val="00871779"/>
    <w:rsid w:val="008719D7"/>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166"/>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4CF"/>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2ED7"/>
    <w:rsid w:val="008F30C8"/>
    <w:rsid w:val="008F3248"/>
    <w:rsid w:val="008F393F"/>
    <w:rsid w:val="008F3DF3"/>
    <w:rsid w:val="008F42DA"/>
    <w:rsid w:val="008F46F4"/>
    <w:rsid w:val="008F4A0B"/>
    <w:rsid w:val="008F5AE8"/>
    <w:rsid w:val="008F5C6C"/>
    <w:rsid w:val="008F5D31"/>
    <w:rsid w:val="008F5EC9"/>
    <w:rsid w:val="008F663A"/>
    <w:rsid w:val="008F6AEE"/>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81F"/>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0E2F"/>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84"/>
    <w:rsid w:val="009D23BF"/>
    <w:rsid w:val="009D25E2"/>
    <w:rsid w:val="009D26FF"/>
    <w:rsid w:val="009D33F1"/>
    <w:rsid w:val="009D36FB"/>
    <w:rsid w:val="009D3871"/>
    <w:rsid w:val="009D3CA8"/>
    <w:rsid w:val="009D3FC3"/>
    <w:rsid w:val="009D4081"/>
    <w:rsid w:val="009D47C4"/>
    <w:rsid w:val="009D5187"/>
    <w:rsid w:val="009D5629"/>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526"/>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A06"/>
    <w:rsid w:val="00B23DFF"/>
    <w:rsid w:val="00B23E7D"/>
    <w:rsid w:val="00B24033"/>
    <w:rsid w:val="00B24702"/>
    <w:rsid w:val="00B24978"/>
    <w:rsid w:val="00B24D37"/>
    <w:rsid w:val="00B24D78"/>
    <w:rsid w:val="00B2587E"/>
    <w:rsid w:val="00B25F9B"/>
    <w:rsid w:val="00B2654E"/>
    <w:rsid w:val="00B26D7B"/>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430"/>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8031A"/>
    <w:rsid w:val="00B80320"/>
    <w:rsid w:val="00B816D4"/>
    <w:rsid w:val="00B823A9"/>
    <w:rsid w:val="00B82AF8"/>
    <w:rsid w:val="00B8339F"/>
    <w:rsid w:val="00B83A57"/>
    <w:rsid w:val="00B83A7F"/>
    <w:rsid w:val="00B83E18"/>
    <w:rsid w:val="00B8415F"/>
    <w:rsid w:val="00B841D4"/>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43C5"/>
    <w:rsid w:val="00BA4513"/>
    <w:rsid w:val="00BA4A8A"/>
    <w:rsid w:val="00BA511B"/>
    <w:rsid w:val="00BA5235"/>
    <w:rsid w:val="00BA5A07"/>
    <w:rsid w:val="00BA68AC"/>
    <w:rsid w:val="00BA6D5D"/>
    <w:rsid w:val="00BA6FCF"/>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048"/>
    <w:rsid w:val="00BD5204"/>
    <w:rsid w:val="00BD5575"/>
    <w:rsid w:val="00BD5C8C"/>
    <w:rsid w:val="00BD5DF2"/>
    <w:rsid w:val="00BD5F99"/>
    <w:rsid w:val="00BD62EC"/>
    <w:rsid w:val="00BD686A"/>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3F76"/>
    <w:rsid w:val="00BE4013"/>
    <w:rsid w:val="00BE48EA"/>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69E2"/>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40D"/>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96B"/>
    <w:rsid w:val="00DE1D92"/>
    <w:rsid w:val="00DE22DD"/>
    <w:rsid w:val="00DE3003"/>
    <w:rsid w:val="00DE3131"/>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1D"/>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1013"/>
    <w:rsid w:val="00EB13CA"/>
    <w:rsid w:val="00EB1D1D"/>
    <w:rsid w:val="00EB1E3F"/>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86"/>
    <w:rsid w:val="00ED72D4"/>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64C"/>
    <w:rsid w:val="00F026BA"/>
    <w:rsid w:val="00F027E0"/>
    <w:rsid w:val="00F02931"/>
    <w:rsid w:val="00F02A44"/>
    <w:rsid w:val="00F02A85"/>
    <w:rsid w:val="00F0327F"/>
    <w:rsid w:val="00F034F0"/>
    <w:rsid w:val="00F03BD1"/>
    <w:rsid w:val="00F03D1D"/>
    <w:rsid w:val="00F03ECD"/>
    <w:rsid w:val="00F0453D"/>
    <w:rsid w:val="00F05055"/>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1F22"/>
    <w:rsid w:val="00F421A1"/>
    <w:rsid w:val="00F42217"/>
    <w:rsid w:val="00F426DE"/>
    <w:rsid w:val="00F4289D"/>
    <w:rsid w:val="00F42BD0"/>
    <w:rsid w:val="00F42C5E"/>
    <w:rsid w:val="00F43629"/>
    <w:rsid w:val="00F44135"/>
    <w:rsid w:val="00F441AB"/>
    <w:rsid w:val="00F4430B"/>
    <w:rsid w:val="00F45EAC"/>
    <w:rsid w:val="00F45F3D"/>
    <w:rsid w:val="00F464F6"/>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134600D-AB13-4539-BC94-16B50BC4B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2674</TotalTime>
  <Pages>2</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7139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171</cp:revision>
  <dcterms:created xsi:type="dcterms:W3CDTF">2016-02-03T21:36:00Z</dcterms:created>
  <dcterms:modified xsi:type="dcterms:W3CDTF">2016-02-08T19:49:00Z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