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6252B6" w:rsidRDefault="00A65F7E" w:rsidP="004D1E8C">
      <w:pPr>
        <w:pStyle w:val="Header"/>
        <w:rPr>
          <w:noProof w:val="0"/>
          <w:color w:val="000000"/>
          <w:sz w:val="28"/>
          <w:szCs w:val="28"/>
          <w:lang w:val="en-US"/>
        </w:rPr>
      </w:pPr>
      <w:bookmarkStart w:id="0" w:name="OLE_LINK3"/>
      <w:r>
        <w:rPr>
          <w:bCs/>
          <w:color w:val="000000"/>
          <w:sz w:val="28"/>
          <w:szCs w:val="28"/>
        </w:rPr>
        <w:t>3GPP TSG RAN WG4 Meeting #</w:t>
      </w:r>
      <w:r w:rsidR="00071314">
        <w:rPr>
          <w:bCs/>
          <w:color w:val="000000"/>
          <w:sz w:val="28"/>
          <w:szCs w:val="28"/>
        </w:rPr>
        <w:t>7</w:t>
      </w:r>
      <w:r w:rsidR="00151F6D">
        <w:rPr>
          <w:bCs/>
          <w:color w:val="000000"/>
          <w:sz w:val="28"/>
          <w:szCs w:val="28"/>
        </w:rPr>
        <w:t>8</w:t>
      </w:r>
      <w:r w:rsidR="00D73EA6"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w:t>
      </w:r>
      <w:r w:rsidR="00151F6D" w:rsidRPr="00151F6D">
        <w:rPr>
          <w:bCs/>
          <w:color w:val="000000"/>
          <w:sz w:val="28"/>
          <w:szCs w:val="28"/>
        </w:rPr>
        <w:t>R4-161018</w:t>
      </w:r>
    </w:p>
    <w:p w:rsidR="009E154B" w:rsidRDefault="00151F6D" w:rsidP="009E154B">
      <w:pPr>
        <w:pStyle w:val="Header"/>
        <w:rPr>
          <w:bCs/>
          <w:color w:val="000000"/>
          <w:sz w:val="28"/>
          <w:szCs w:val="28"/>
          <w:lang w:val="en-US"/>
        </w:rPr>
      </w:pPr>
      <w:r>
        <w:rPr>
          <w:bCs/>
          <w:color w:val="000000"/>
          <w:sz w:val="28"/>
          <w:szCs w:val="28"/>
          <w:lang w:val="en-US"/>
        </w:rPr>
        <w:t>Malta</w:t>
      </w:r>
    </w:p>
    <w:p w:rsidR="009E154B" w:rsidRPr="00101904" w:rsidRDefault="00151F6D" w:rsidP="009E154B">
      <w:pPr>
        <w:pStyle w:val="Header"/>
        <w:rPr>
          <w:bCs/>
          <w:color w:val="FF0000"/>
          <w:sz w:val="28"/>
          <w:szCs w:val="28"/>
        </w:rPr>
      </w:pPr>
      <w:r>
        <w:rPr>
          <w:bCs/>
          <w:color w:val="000000"/>
          <w:sz w:val="28"/>
          <w:szCs w:val="28"/>
        </w:rPr>
        <w:t>February</w:t>
      </w:r>
      <w:r w:rsidR="003D5CD7">
        <w:rPr>
          <w:bCs/>
          <w:color w:val="000000"/>
          <w:sz w:val="28"/>
          <w:szCs w:val="28"/>
        </w:rPr>
        <w:t xml:space="preserve"> </w:t>
      </w:r>
      <w:r>
        <w:rPr>
          <w:bCs/>
          <w:color w:val="000000"/>
          <w:sz w:val="28"/>
          <w:szCs w:val="28"/>
        </w:rPr>
        <w:t>15-19</w:t>
      </w:r>
      <w:r w:rsidR="00071314">
        <w:rPr>
          <w:bCs/>
          <w:color w:val="000000"/>
          <w:sz w:val="28"/>
          <w:szCs w:val="28"/>
        </w:rPr>
        <w:t>, 201</w:t>
      </w:r>
      <w:r>
        <w:rPr>
          <w:bCs/>
          <w:color w:val="000000"/>
          <w:sz w:val="28"/>
          <w:szCs w:val="28"/>
        </w:rPr>
        <w:t>6</w:t>
      </w:r>
    </w:p>
    <w:p w:rsidR="006252B6" w:rsidRDefault="006252B6" w:rsidP="004D1E8C">
      <w:pPr>
        <w:pBdr>
          <w:top w:val="single" w:sz="4" w:space="1" w:color="auto"/>
        </w:pBdr>
        <w:spacing w:before="120"/>
        <w:ind w:left="1800" w:hanging="1800"/>
        <w:rPr>
          <w:rFonts w:ascii="Arial" w:hAnsi="Arial" w:cs="Arial"/>
          <w:b/>
          <w:szCs w:val="24"/>
        </w:rPr>
      </w:pPr>
    </w:p>
    <w:p w:rsidR="004D1E8C" w:rsidRPr="00F7130D" w:rsidRDefault="004D1E8C" w:rsidP="004D1E8C">
      <w:pPr>
        <w:pBdr>
          <w:top w:val="single" w:sz="4" w:space="1" w:color="auto"/>
        </w:pBdr>
        <w:spacing w:before="120"/>
        <w:ind w:left="1800" w:hanging="1800"/>
        <w:rPr>
          <w:rFonts w:ascii="Arial" w:hAnsi="Arial" w:cs="Arial"/>
          <w:b/>
          <w:szCs w:val="24"/>
        </w:rPr>
      </w:pPr>
      <w:r w:rsidRPr="00F7130D">
        <w:rPr>
          <w:rFonts w:ascii="Arial" w:hAnsi="Arial" w:cs="Arial"/>
          <w:b/>
          <w:szCs w:val="24"/>
        </w:rPr>
        <w:t>Agenda Item:</w:t>
      </w:r>
      <w:r w:rsidRPr="00F7130D">
        <w:rPr>
          <w:rFonts w:ascii="Arial" w:hAnsi="Arial" w:cs="Arial"/>
          <w:b/>
          <w:szCs w:val="24"/>
        </w:rPr>
        <w:tab/>
      </w:r>
      <w:r w:rsidR="001C211D">
        <w:rPr>
          <w:rFonts w:ascii="Arial" w:hAnsi="Arial" w:cs="Arial"/>
          <w:b/>
          <w:szCs w:val="24"/>
        </w:rPr>
        <w:t>5.</w:t>
      </w:r>
      <w:r w:rsidR="00151F6D">
        <w:rPr>
          <w:rFonts w:ascii="Arial" w:hAnsi="Arial" w:cs="Arial"/>
          <w:b/>
          <w:szCs w:val="24"/>
        </w:rPr>
        <w:t>9</w:t>
      </w:r>
      <w:r w:rsidR="001C211D">
        <w:rPr>
          <w:rFonts w:ascii="Arial" w:hAnsi="Arial" w:cs="Arial"/>
          <w:b/>
          <w:szCs w:val="24"/>
        </w:rPr>
        <w:t>.1</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151F6D" w:rsidRPr="00151F6D">
        <w:rPr>
          <w:bCs/>
          <w:sz w:val="24"/>
          <w:szCs w:val="24"/>
        </w:rPr>
        <w:t>PUCCH Considerations for Intra-Band Carrier Aggregation</w:t>
      </w:r>
    </w:p>
    <w:p w:rsidR="004D1E8C" w:rsidRPr="003D1980" w:rsidRDefault="004D1E8C" w:rsidP="004D1E8C">
      <w:pPr>
        <w:pBdr>
          <w:bottom w:val="single" w:sz="6" w:space="1" w:color="auto"/>
        </w:pBdr>
        <w:rPr>
          <w:rFonts w:ascii="Arial" w:hAnsi="Arial"/>
          <w:b/>
          <w:color w:val="000000"/>
        </w:rPr>
      </w:pPr>
      <w:r w:rsidRPr="003D1980">
        <w:rPr>
          <w:rFonts w:ascii="Arial" w:hAnsi="Arial"/>
          <w:b/>
          <w:color w:val="000000"/>
        </w:rPr>
        <w:t>Doc</w:t>
      </w:r>
      <w:r w:rsidR="005E0F70">
        <w:rPr>
          <w:rFonts w:ascii="Arial" w:hAnsi="Arial"/>
          <w:b/>
          <w:color w:val="000000"/>
        </w:rPr>
        <w:t xml:space="preserve">ument for:   </w:t>
      </w:r>
      <w:r w:rsidR="00151F6D">
        <w:rPr>
          <w:rFonts w:ascii="Arial" w:hAnsi="Arial"/>
          <w:b/>
          <w:color w:val="000000"/>
        </w:rPr>
        <w:t>Discussion</w:t>
      </w:r>
    </w:p>
    <w:bookmarkEnd w:id="0"/>
    <w:p w:rsidR="00900DAE" w:rsidRPr="008F18C6" w:rsidRDefault="00900DAE" w:rsidP="008F18C6">
      <w:pPr>
        <w:pStyle w:val="Heading1"/>
        <w:spacing w:after="120"/>
        <w:jc w:val="both"/>
        <w:rPr>
          <w:b/>
          <w:color w:val="000000"/>
        </w:rPr>
      </w:pPr>
      <w:r w:rsidRPr="008F18C6">
        <w:rPr>
          <w:b/>
          <w:color w:val="000000"/>
        </w:rPr>
        <w:t>Introduction</w:t>
      </w:r>
    </w:p>
    <w:p w:rsidR="00173903" w:rsidRPr="00AC49C4" w:rsidRDefault="00C81BD4" w:rsidP="00C81BD4">
      <w:pPr>
        <w:shd w:val="clear" w:color="auto" w:fill="FFFFFF"/>
        <w:rPr>
          <w:rFonts w:eastAsia="Times New Roman"/>
          <w:color w:val="222222"/>
        </w:rPr>
      </w:pPr>
      <w:r w:rsidRPr="00AC49C4">
        <w:rPr>
          <w:rFonts w:eastAsia="Times New Roman"/>
          <w:color w:val="222222"/>
        </w:rPr>
        <w:t>This contribution considers the impact of</w:t>
      </w:r>
      <w:r w:rsidR="00BB418E">
        <w:rPr>
          <w:rFonts w:eastAsia="Times New Roman"/>
          <w:color w:val="222222"/>
        </w:rPr>
        <w:t xml:space="preserve"> contiguous</w:t>
      </w:r>
      <w:r w:rsidRPr="00AC49C4">
        <w:rPr>
          <w:rFonts w:eastAsia="Times New Roman"/>
          <w:color w:val="222222"/>
        </w:rPr>
        <w:t xml:space="preserve"> intra-band carrier aggregation on the </w:t>
      </w:r>
      <w:r w:rsidR="004E6159" w:rsidRPr="00AC49C4">
        <w:rPr>
          <w:rFonts w:eastAsia="Times New Roman"/>
          <w:color w:val="222222"/>
        </w:rPr>
        <w:t xml:space="preserve">location of the </w:t>
      </w:r>
      <w:r w:rsidRPr="00AC49C4">
        <w:rPr>
          <w:rFonts w:eastAsia="Times New Roman"/>
          <w:color w:val="222222"/>
        </w:rPr>
        <w:t>PUCCH region for the UE configured for carrier aggregation</w:t>
      </w:r>
      <w:r w:rsidR="004E6159" w:rsidRPr="00AC49C4">
        <w:rPr>
          <w:rFonts w:eastAsia="Times New Roman"/>
          <w:color w:val="222222"/>
        </w:rPr>
        <w:t xml:space="preserve"> (CA)</w:t>
      </w:r>
      <w:r w:rsidR="0006390B" w:rsidRPr="00AC49C4">
        <w:rPr>
          <w:rFonts w:eastAsia="Times New Roman"/>
          <w:color w:val="222222"/>
        </w:rPr>
        <w:t xml:space="preserve">. </w:t>
      </w:r>
      <w:r w:rsidR="004E6159" w:rsidRPr="00AC49C4">
        <w:rPr>
          <w:rFonts w:eastAsia="Times New Roman"/>
          <w:color w:val="222222"/>
        </w:rPr>
        <w:t xml:space="preserve"> </w:t>
      </w:r>
      <w:r w:rsidR="00F11033">
        <w:rPr>
          <w:rFonts w:eastAsia="Times New Roman"/>
          <w:color w:val="222222"/>
        </w:rPr>
        <w:t>Specifically</w:t>
      </w:r>
      <w:r w:rsidR="004E6159" w:rsidRPr="00AC49C4">
        <w:rPr>
          <w:rFonts w:eastAsia="Times New Roman"/>
          <w:color w:val="222222"/>
        </w:rPr>
        <w:t xml:space="preserve">, the A-MPR for a single RB transmission for a UE configured for CA with CA_NS signalling is compared with the A-MPR for a single RB transmission </w:t>
      </w:r>
      <w:r w:rsidR="00A53481">
        <w:rPr>
          <w:rFonts w:eastAsia="Times New Roman"/>
          <w:color w:val="222222"/>
        </w:rPr>
        <w:t xml:space="preserve">for </w:t>
      </w:r>
      <w:r w:rsidR="004E6159" w:rsidRPr="00AC49C4">
        <w:rPr>
          <w:rFonts w:eastAsia="Times New Roman"/>
          <w:color w:val="222222"/>
        </w:rPr>
        <w:t xml:space="preserve">a UE configured for single CC transmission with the corresponding NS signalling.  </w:t>
      </w:r>
      <w:r w:rsidR="0006390B" w:rsidRPr="00AC49C4">
        <w:rPr>
          <w:rFonts w:eastAsia="Times New Roman"/>
          <w:color w:val="222222"/>
        </w:rPr>
        <w:t xml:space="preserve">Given that some </w:t>
      </w:r>
      <w:proofErr w:type="spellStart"/>
      <w:r w:rsidR="0006390B" w:rsidRPr="00AC49C4">
        <w:rPr>
          <w:rFonts w:eastAsia="Times New Roman"/>
          <w:color w:val="222222"/>
        </w:rPr>
        <w:t>UE’s</w:t>
      </w:r>
      <w:proofErr w:type="spellEnd"/>
      <w:r w:rsidR="0006390B" w:rsidRPr="00AC49C4">
        <w:rPr>
          <w:rFonts w:eastAsia="Times New Roman"/>
          <w:color w:val="222222"/>
        </w:rPr>
        <w:t xml:space="preserve"> may be configured for carrier aggregation, while other </w:t>
      </w:r>
      <w:proofErr w:type="spellStart"/>
      <w:r w:rsidR="0006390B" w:rsidRPr="00AC49C4">
        <w:rPr>
          <w:rFonts w:eastAsia="Times New Roman"/>
          <w:color w:val="222222"/>
        </w:rPr>
        <w:t>UE’s</w:t>
      </w:r>
      <w:proofErr w:type="spellEnd"/>
      <w:r w:rsidR="0006390B" w:rsidRPr="00AC49C4">
        <w:rPr>
          <w:rFonts w:eastAsia="Times New Roman"/>
          <w:color w:val="222222"/>
        </w:rPr>
        <w:t xml:space="preserve"> on the same carrier are configured for single CC operation</w:t>
      </w:r>
      <w:r w:rsidR="00A434AE">
        <w:rPr>
          <w:rFonts w:eastAsia="Times New Roman"/>
          <w:color w:val="222222"/>
        </w:rPr>
        <w:t xml:space="preserve"> (or do not support CA)</w:t>
      </w:r>
      <w:r w:rsidR="0006390B" w:rsidRPr="00AC49C4">
        <w:rPr>
          <w:rFonts w:eastAsia="Times New Roman"/>
          <w:color w:val="222222"/>
        </w:rPr>
        <w:t xml:space="preserve">, there is a question as to how the PUCCH region would be </w:t>
      </w:r>
      <w:r w:rsidR="004E6159" w:rsidRPr="00AC49C4">
        <w:rPr>
          <w:rFonts w:eastAsia="Times New Roman"/>
          <w:color w:val="222222"/>
        </w:rPr>
        <w:t xml:space="preserve">located </w:t>
      </w:r>
      <w:r w:rsidR="0006390B" w:rsidRPr="00AC49C4">
        <w:rPr>
          <w:rFonts w:eastAsia="Times New Roman"/>
          <w:color w:val="222222"/>
        </w:rPr>
        <w:t xml:space="preserve">in a cell with both types of </w:t>
      </w:r>
      <w:proofErr w:type="spellStart"/>
      <w:r w:rsidR="0006390B" w:rsidRPr="00AC49C4">
        <w:rPr>
          <w:rFonts w:eastAsia="Times New Roman"/>
          <w:color w:val="222222"/>
        </w:rPr>
        <w:t>UE’s</w:t>
      </w:r>
      <w:proofErr w:type="spellEnd"/>
      <w:r w:rsidR="00173903" w:rsidRPr="00AC49C4">
        <w:rPr>
          <w:rFonts w:eastAsia="Times New Roman"/>
          <w:color w:val="222222"/>
        </w:rPr>
        <w:t>.</w:t>
      </w:r>
      <w:r w:rsidR="00AC49C4" w:rsidRPr="00AC49C4">
        <w:rPr>
          <w:rFonts w:eastAsia="Times New Roman"/>
          <w:color w:val="222222"/>
        </w:rPr>
        <w:t xml:space="preserve">  </w:t>
      </w:r>
      <w:r w:rsidR="00173903" w:rsidRPr="00AC49C4">
        <w:rPr>
          <w:rFonts w:eastAsia="Times New Roman"/>
          <w:color w:val="222222"/>
        </w:rPr>
        <w:t>A few examples are considered comparing the single RB A-MPR for the UE configured for carrier aggregation with the single RB A-MPR for the UE configured for sin</w:t>
      </w:r>
      <w:r w:rsidR="00BE4AA8" w:rsidRPr="00AC49C4">
        <w:rPr>
          <w:rFonts w:eastAsia="Times New Roman"/>
          <w:color w:val="222222"/>
        </w:rPr>
        <w:t>gle CC operation.</w:t>
      </w:r>
    </w:p>
    <w:p w:rsidR="00435198" w:rsidRDefault="00AC49C4" w:rsidP="00435198">
      <w:pPr>
        <w:pStyle w:val="Heading1"/>
        <w:spacing w:after="120"/>
        <w:rPr>
          <w:b/>
          <w:color w:val="000000"/>
        </w:rPr>
      </w:pPr>
      <w:r>
        <w:rPr>
          <w:b/>
          <w:color w:val="000000"/>
        </w:rPr>
        <w:t xml:space="preserve">PUCCH </w:t>
      </w:r>
      <w:r w:rsidR="009371AE">
        <w:rPr>
          <w:b/>
          <w:color w:val="000000"/>
        </w:rPr>
        <w:t xml:space="preserve">Resource Blocks </w:t>
      </w:r>
    </w:p>
    <w:p w:rsidR="00F950EE" w:rsidRDefault="00B64FBD" w:rsidP="00F950EE">
      <w:r>
        <w:t xml:space="preserve">The PUCCH </w:t>
      </w:r>
      <w:proofErr w:type="spellStart"/>
      <w:r>
        <w:t>RB’s</w:t>
      </w:r>
      <w:proofErr w:type="spellEnd"/>
      <w:r>
        <w:t xml:space="preserve"> are semi-statically allocated</w:t>
      </w:r>
      <w:r w:rsidR="000B5591">
        <w:t xml:space="preserve"> in pairs that are equidistant from the </w:t>
      </w:r>
      <w:proofErr w:type="spellStart"/>
      <w:r w:rsidR="000B5591">
        <w:t>center</w:t>
      </w:r>
      <w:proofErr w:type="spellEnd"/>
      <w:r w:rsidR="000B5591">
        <w:t xml:space="preserve"> of the </w:t>
      </w:r>
      <w:r w:rsidR="009371AE">
        <w:t xml:space="preserve">component </w:t>
      </w:r>
      <w:r w:rsidR="000B5591">
        <w:t xml:space="preserve">carrier.  </w:t>
      </w:r>
      <w:r w:rsidR="00435198">
        <w:t xml:space="preserve">When transmitting </w:t>
      </w:r>
      <w:r w:rsidR="000B5591">
        <w:t xml:space="preserve">on </w:t>
      </w:r>
      <w:r w:rsidR="00435198">
        <w:t xml:space="preserve">the PUCCH, the UE transmits on one of the PUCCH </w:t>
      </w:r>
      <w:proofErr w:type="spellStart"/>
      <w:r w:rsidR="00435198">
        <w:t>RB’s</w:t>
      </w:r>
      <w:proofErr w:type="spellEnd"/>
      <w:r w:rsidR="00435198">
        <w:t xml:space="preserve"> in the first slot, and on the other PUCCH RB in the second slot.</w:t>
      </w:r>
      <w:r w:rsidR="000B5591">
        <w:t xml:space="preserve">  Because the PUCCH carries control information, it is important that this channel be re</w:t>
      </w:r>
      <w:r w:rsidR="009371AE">
        <w:t xml:space="preserve">liable. </w:t>
      </w:r>
      <w:r w:rsidR="000B5591">
        <w:t xml:space="preserve">For this reason, it is desirable that the PUCCH region be selected so </w:t>
      </w:r>
      <w:r w:rsidR="00A434AE">
        <w:t xml:space="preserve">that </w:t>
      </w:r>
      <w:r w:rsidR="000B5591">
        <w:t xml:space="preserve">the allowed A-MPR is </w:t>
      </w:r>
      <w:r w:rsidR="00BB418E">
        <w:t xml:space="preserve">reasonably </w:t>
      </w:r>
      <w:r w:rsidR="000B5591">
        <w:t>small.</w:t>
      </w:r>
      <w:r w:rsidR="009371AE">
        <w:t xml:space="preserve">  From </w:t>
      </w:r>
      <w:r w:rsidR="00A434AE">
        <w:t xml:space="preserve">Sections 6.2.5 and 6.2.5A of </w:t>
      </w:r>
      <w:r w:rsidR="009371AE">
        <w:t>36.101</w:t>
      </w:r>
      <w:r w:rsidR="000042A5">
        <w:t xml:space="preserve"> [1]</w:t>
      </w:r>
      <w:r w:rsidR="009371AE">
        <w:t xml:space="preserve">, </w:t>
      </w:r>
      <w:r w:rsidR="00F950EE">
        <w:t>we have</w:t>
      </w:r>
    </w:p>
    <w:p w:rsidR="00BB418E" w:rsidRPr="00F950EE" w:rsidRDefault="00BB418E" w:rsidP="00F950EE"/>
    <w:p w:rsidR="00F950EE" w:rsidRPr="00251FBA" w:rsidRDefault="00F950EE" w:rsidP="00F950EE">
      <w:pPr>
        <w:ind w:left="720"/>
        <w:rPr>
          <w:lang w:bidi="bn-IN"/>
        </w:rPr>
      </w:pPr>
      <w:r>
        <w:rPr>
          <w:lang w:val="en-US"/>
        </w:rPr>
        <w:t xml:space="preserve">(6.2.5) </w:t>
      </w:r>
      <w:r w:rsidRPr="00251FBA">
        <w:rPr>
          <w:lang w:val="en-US"/>
        </w:rPr>
        <w:t xml:space="preserve">For each </w:t>
      </w:r>
      <w:proofErr w:type="spellStart"/>
      <w:r w:rsidRPr="00251FBA">
        <w:rPr>
          <w:lang w:val="en-US"/>
        </w:rPr>
        <w:t>subframe</w:t>
      </w:r>
      <w:proofErr w:type="spellEnd"/>
      <w:r w:rsidRPr="00251FBA">
        <w:rPr>
          <w:lang w:val="en-US"/>
        </w:rPr>
        <w:t>, the</w:t>
      </w:r>
      <w:r w:rsidRPr="00251FBA">
        <w:t xml:space="preserve"> </w:t>
      </w:r>
      <w:proofErr w:type="spellStart"/>
      <w:r w:rsidRPr="00251FBA">
        <w:t>P</w:t>
      </w:r>
      <w:r w:rsidRPr="00251FBA">
        <w:rPr>
          <w:vertAlign w:val="subscript"/>
        </w:rPr>
        <w:t>CMAX_L</w:t>
      </w:r>
      <w:proofErr w:type="gramStart"/>
      <w:r w:rsidRPr="00251FBA">
        <w:rPr>
          <w:vertAlign w:val="subscript"/>
        </w:rPr>
        <w:t>,</w:t>
      </w:r>
      <w:r w:rsidRPr="00251FBA">
        <w:rPr>
          <w:i/>
          <w:vertAlign w:val="subscript"/>
        </w:rPr>
        <w:t>c</w:t>
      </w:r>
      <w:proofErr w:type="spellEnd"/>
      <w:proofErr w:type="gramEnd"/>
      <w:r w:rsidRPr="00251FBA">
        <w:t xml:space="preserve"> for serving cell </w:t>
      </w:r>
      <w:r w:rsidRPr="00251FBA">
        <w:rPr>
          <w:i/>
        </w:rPr>
        <w:t>c</w:t>
      </w:r>
      <w:r w:rsidRPr="00251FBA">
        <w:t xml:space="preserve"> is</w:t>
      </w:r>
      <w:r w:rsidRPr="00251FBA">
        <w:rPr>
          <w:lang w:val="en-US"/>
        </w:rPr>
        <w:t xml:space="preserve"> evaluated per slot </w:t>
      </w:r>
      <w:r w:rsidRPr="00251FBA">
        <w:t>and given by the minimum value taken over the transmission(s) within the slot</w:t>
      </w:r>
      <w:r w:rsidRPr="00251FBA">
        <w:rPr>
          <w:lang w:val="en-US"/>
        </w:rPr>
        <w:t xml:space="preserve">; the minimum </w:t>
      </w:r>
      <w:r w:rsidRPr="00251FBA">
        <w:t>P</w:t>
      </w:r>
      <w:r w:rsidRPr="00251FBA">
        <w:rPr>
          <w:vertAlign w:val="subscript"/>
        </w:rPr>
        <w:t xml:space="preserve">CMAX_ </w:t>
      </w:r>
      <w:proofErr w:type="spellStart"/>
      <w:r w:rsidRPr="00251FBA">
        <w:rPr>
          <w:vertAlign w:val="subscript"/>
        </w:rPr>
        <w:t>L,</w:t>
      </w:r>
      <w:r w:rsidRPr="00251FBA">
        <w:rPr>
          <w:i/>
          <w:vertAlign w:val="subscript"/>
        </w:rPr>
        <w:t>c</w:t>
      </w:r>
      <w:proofErr w:type="spellEnd"/>
      <w:r w:rsidRPr="00251FBA">
        <w:t xml:space="preserve"> over the two slots is then </w:t>
      </w:r>
      <w:r w:rsidRPr="00251FBA">
        <w:rPr>
          <w:lang w:val="en-US"/>
        </w:rPr>
        <w:t xml:space="preserve">applied for the entire </w:t>
      </w:r>
      <w:proofErr w:type="spellStart"/>
      <w:r w:rsidRPr="00251FBA">
        <w:rPr>
          <w:lang w:val="en-US"/>
        </w:rPr>
        <w:t>subframe</w:t>
      </w:r>
      <w:proofErr w:type="spellEnd"/>
      <w:r w:rsidRPr="00251FBA">
        <w:rPr>
          <w:lang w:val="en-US"/>
        </w:rPr>
        <w:t xml:space="preserve">. </w:t>
      </w:r>
      <w:proofErr w:type="spellStart"/>
      <w:r w:rsidRPr="00251FBA">
        <w:rPr>
          <w:lang w:bidi="bn-IN"/>
        </w:rPr>
        <w:t>P</w:t>
      </w:r>
      <w:r w:rsidRPr="00251FBA">
        <w:rPr>
          <w:vertAlign w:val="subscript"/>
          <w:lang w:bidi="bn-IN"/>
        </w:rPr>
        <w:t>PowerClass</w:t>
      </w:r>
      <w:proofErr w:type="spellEnd"/>
      <w:r w:rsidRPr="00251FBA">
        <w:rPr>
          <w:lang w:bidi="bn-IN"/>
        </w:rPr>
        <w:t xml:space="preserve"> shall not be exceeded by the UE during any period of time.</w:t>
      </w:r>
    </w:p>
    <w:p w:rsidR="00F950EE" w:rsidRDefault="00F950EE" w:rsidP="00FD5EB8"/>
    <w:p w:rsidR="00A434AE" w:rsidRPr="00251FBA" w:rsidRDefault="00F950EE" w:rsidP="00F950EE">
      <w:pPr>
        <w:ind w:left="720"/>
        <w:rPr>
          <w:lang w:bidi="bn-IN"/>
        </w:rPr>
      </w:pPr>
      <w:r>
        <w:rPr>
          <w:lang w:val="en-US"/>
        </w:rPr>
        <w:t xml:space="preserve">(6.2.5A) </w:t>
      </w:r>
      <w:proofErr w:type="gramStart"/>
      <w:r w:rsidR="00A434AE" w:rsidRPr="00251FBA">
        <w:rPr>
          <w:lang w:val="en-US"/>
        </w:rPr>
        <w:t>For</w:t>
      </w:r>
      <w:proofErr w:type="gramEnd"/>
      <w:r w:rsidR="00A434AE" w:rsidRPr="00251FBA">
        <w:rPr>
          <w:lang w:val="en-US"/>
        </w:rPr>
        <w:t xml:space="preserve"> each </w:t>
      </w:r>
      <w:proofErr w:type="spellStart"/>
      <w:r w:rsidR="00A434AE" w:rsidRPr="00251FBA">
        <w:rPr>
          <w:lang w:val="en-US"/>
        </w:rPr>
        <w:t>subframe</w:t>
      </w:r>
      <w:proofErr w:type="spellEnd"/>
      <w:r w:rsidR="00A434AE" w:rsidRPr="00251FBA">
        <w:rPr>
          <w:lang w:val="en-US"/>
        </w:rPr>
        <w:t>, the</w:t>
      </w:r>
      <w:r w:rsidR="00A434AE" w:rsidRPr="00251FBA">
        <w:t xml:space="preserve"> P</w:t>
      </w:r>
      <w:r w:rsidR="00A434AE" w:rsidRPr="00251FBA">
        <w:rPr>
          <w:vertAlign w:val="subscript"/>
        </w:rPr>
        <w:t>CMAX_L</w:t>
      </w:r>
      <w:r w:rsidR="00A434AE" w:rsidRPr="00251FBA">
        <w:t xml:space="preserve"> is</w:t>
      </w:r>
      <w:r w:rsidR="00A434AE" w:rsidRPr="00251FBA">
        <w:rPr>
          <w:lang w:val="en-US"/>
        </w:rPr>
        <w:t xml:space="preserve"> evaluated per slot </w:t>
      </w:r>
      <w:r w:rsidR="00A434AE" w:rsidRPr="00251FBA">
        <w:t>and given by the minimum value taken over the transmission(s) within the slot</w:t>
      </w:r>
      <w:r w:rsidR="00A434AE" w:rsidRPr="00251FBA">
        <w:rPr>
          <w:lang w:val="en-US"/>
        </w:rPr>
        <w:t xml:space="preserve">; the minimum </w:t>
      </w:r>
      <w:r w:rsidR="00A434AE" w:rsidRPr="00251FBA">
        <w:t>P</w:t>
      </w:r>
      <w:r w:rsidR="00A434AE" w:rsidRPr="00251FBA">
        <w:rPr>
          <w:vertAlign w:val="subscript"/>
        </w:rPr>
        <w:t>CMAX_L</w:t>
      </w:r>
      <w:r w:rsidR="00A434AE" w:rsidRPr="00251FBA">
        <w:t xml:space="preserve"> over the two slots is then </w:t>
      </w:r>
      <w:r w:rsidR="00A434AE" w:rsidRPr="00251FBA">
        <w:rPr>
          <w:lang w:val="en-US"/>
        </w:rPr>
        <w:t xml:space="preserve">applied for the entire </w:t>
      </w:r>
      <w:proofErr w:type="spellStart"/>
      <w:r w:rsidR="00A434AE" w:rsidRPr="00251FBA">
        <w:rPr>
          <w:lang w:val="en-US"/>
        </w:rPr>
        <w:t>subframe</w:t>
      </w:r>
      <w:proofErr w:type="spellEnd"/>
      <w:r w:rsidR="00A434AE" w:rsidRPr="00251FBA">
        <w:rPr>
          <w:lang w:val="en-US"/>
        </w:rPr>
        <w:t xml:space="preserve">. </w:t>
      </w:r>
      <w:proofErr w:type="spellStart"/>
      <w:r w:rsidR="00A434AE" w:rsidRPr="00251FBA">
        <w:rPr>
          <w:lang w:bidi="bn-IN"/>
        </w:rPr>
        <w:t>P</w:t>
      </w:r>
      <w:r w:rsidR="00A434AE" w:rsidRPr="00251FBA">
        <w:rPr>
          <w:vertAlign w:val="subscript"/>
          <w:lang w:bidi="bn-IN"/>
        </w:rPr>
        <w:t>PowerClass</w:t>
      </w:r>
      <w:proofErr w:type="spellEnd"/>
      <w:r w:rsidR="00A434AE" w:rsidRPr="00251FBA">
        <w:rPr>
          <w:lang w:bidi="bn-IN"/>
        </w:rPr>
        <w:t xml:space="preserve"> shall not be exceeded by the UE during any period of time.</w:t>
      </w:r>
    </w:p>
    <w:p w:rsidR="00A434AE" w:rsidRDefault="00A434AE" w:rsidP="00FD5EB8"/>
    <w:p w:rsidR="00A434AE" w:rsidRDefault="00A434AE" w:rsidP="00FD5EB8">
      <w:r>
        <w:t xml:space="preserve">Thus, if the A-MPR allowed for the first and second </w:t>
      </w:r>
      <w:proofErr w:type="spellStart"/>
      <w:r>
        <w:t>RB’s</w:t>
      </w:r>
      <w:proofErr w:type="spellEnd"/>
      <w:r>
        <w:t xml:space="preserve"> of the PUCCH pair is</w:t>
      </w:r>
      <w:r w:rsidR="00214BFA">
        <w:t xml:space="preserve"> 12 dB and 0 dB, respectively, the A-MPR allowed for </w:t>
      </w:r>
      <w:r w:rsidR="00214BFA" w:rsidRPr="00F950EE">
        <w:rPr>
          <w:i/>
        </w:rPr>
        <w:t>both</w:t>
      </w:r>
      <w:r w:rsidR="00214BFA">
        <w:t xml:space="preserve"> </w:t>
      </w:r>
      <w:proofErr w:type="spellStart"/>
      <w:r w:rsidR="00214BFA">
        <w:t>RB’s</w:t>
      </w:r>
      <w:proofErr w:type="spellEnd"/>
      <w:r w:rsidR="00214BFA">
        <w:t xml:space="preserve"> when transmitting PUCCH on the RB pair is 12 dB.</w:t>
      </w:r>
    </w:p>
    <w:p w:rsidR="00A434AE" w:rsidRDefault="00A434AE" w:rsidP="00FD5EB8"/>
    <w:p w:rsidR="00F950EE" w:rsidRDefault="000B5591" w:rsidP="00FD5EB8">
      <w:r>
        <w:t xml:space="preserve">For a UE configured for CA, the PUCCH is transmitted on the </w:t>
      </w:r>
      <w:proofErr w:type="spellStart"/>
      <w:r>
        <w:t>UE’s</w:t>
      </w:r>
      <w:proofErr w:type="spellEnd"/>
      <w:r>
        <w:t xml:space="preserve"> </w:t>
      </w:r>
      <w:proofErr w:type="spellStart"/>
      <w:r>
        <w:t>PCell</w:t>
      </w:r>
      <w:proofErr w:type="spellEnd"/>
      <w:r>
        <w:t xml:space="preserve">.  </w:t>
      </w:r>
      <w:r w:rsidR="0062305E">
        <w:t xml:space="preserve">However, because the LO of the UE configured for CA is located at the </w:t>
      </w:r>
      <w:proofErr w:type="spellStart"/>
      <w:r w:rsidR="0062305E">
        <w:t>center</w:t>
      </w:r>
      <w:proofErr w:type="spellEnd"/>
      <w:r w:rsidR="0062305E">
        <w:t xml:space="preserve"> of the aggregated bandwidth, the required A-MPR can be much different than that for the UE configured for single CC operation, and this is especially true in the case that additional emissions requirements are signalled to the UE.  As a result, when choosing the PUCCH region for the </w:t>
      </w:r>
      <w:r w:rsidR="009A4DD8">
        <w:t>component carriers</w:t>
      </w:r>
      <w:r w:rsidR="0062305E">
        <w:t>, the A-MPR requirements for both the single CC UE and the CA UE must be taken into account.</w:t>
      </w:r>
    </w:p>
    <w:p w:rsidR="00F950EE" w:rsidRDefault="00F950EE" w:rsidP="00FD5EB8"/>
    <w:p w:rsidR="00F950EE" w:rsidRDefault="00F950EE" w:rsidP="00FD5EB8"/>
    <w:p w:rsidR="00FD5EB8" w:rsidRPr="00FD5EB8" w:rsidRDefault="00FD5EB8" w:rsidP="00FD5EB8">
      <w:pPr>
        <w:rPr>
          <w:b/>
        </w:rPr>
      </w:pPr>
    </w:p>
    <w:p w:rsidR="00FD5EB8" w:rsidRDefault="00BE4AA8" w:rsidP="00FD5EB8">
      <w:pPr>
        <w:pStyle w:val="Heading2"/>
        <w:rPr>
          <w:b/>
        </w:rPr>
      </w:pPr>
      <w:r>
        <w:rPr>
          <w:b/>
        </w:rPr>
        <w:t xml:space="preserve">Single RB </w:t>
      </w:r>
      <w:r w:rsidR="00FD5EB8">
        <w:rPr>
          <w:b/>
        </w:rPr>
        <w:t>MPR</w:t>
      </w:r>
      <w:r w:rsidR="000B5591">
        <w:rPr>
          <w:b/>
        </w:rPr>
        <w:t>/A-MPR with NS-01 and CA_NS_31</w:t>
      </w:r>
    </w:p>
    <w:p w:rsidR="00CB5234" w:rsidRDefault="0030300F" w:rsidP="00FD5EB8">
      <w:r>
        <w:t>For a UE configured for single CC transmission</w:t>
      </w:r>
      <w:r w:rsidR="00CB5234">
        <w:t xml:space="preserve"> and with NS_01 signalled by the network, the allowed MPR for single RB transmission is 0 dB for QPSK, regardless of the location of the RB.  </w:t>
      </w:r>
      <w:r w:rsidR="00847A6F">
        <w:t>Similarly, f</w:t>
      </w:r>
      <w:r w:rsidR="00CB5234">
        <w:t>or a UE configured fo</w:t>
      </w:r>
      <w:r w:rsidR="00300A4D">
        <w:t xml:space="preserve">r intra-band contiguous CA and with CA_NS_31 signalled by the network, the </w:t>
      </w:r>
      <w:r w:rsidR="00BB418E">
        <w:t xml:space="preserve">allowed A-MPR for single RB transmission </w:t>
      </w:r>
      <w:r w:rsidR="00300A4D">
        <w:t>is</w:t>
      </w:r>
      <w:r w:rsidR="00913C85">
        <w:t xml:space="preserve"> also</w:t>
      </w:r>
      <w:r w:rsidR="00300A4D">
        <w:t xml:space="preserve"> 0 dB </w:t>
      </w:r>
      <w:r w:rsidR="00BB418E">
        <w:t xml:space="preserve">for QPSK </w:t>
      </w:r>
      <w:r w:rsidR="00300A4D">
        <w:t>regardless of the RB location.  Thus, in the case of only general requirements, the MPR allowed for PUCCH transmission is wel</w:t>
      </w:r>
      <w:r w:rsidR="00847A6F">
        <w:t xml:space="preserve">l aligned between a UE configured for single CC operation and UE configured for intra-band contiguous CA operation.   As a result, the network can allocate the outermost </w:t>
      </w:r>
      <w:proofErr w:type="spellStart"/>
      <w:r w:rsidR="00847A6F">
        <w:t>RB’s</w:t>
      </w:r>
      <w:proofErr w:type="spellEnd"/>
      <w:r w:rsidR="00847A6F">
        <w:t xml:space="preserve"> of the CC for PUCCH operation even when </w:t>
      </w:r>
      <w:proofErr w:type="spellStart"/>
      <w:r w:rsidR="00847A6F">
        <w:t>UE’s</w:t>
      </w:r>
      <w:proofErr w:type="spellEnd"/>
      <w:r w:rsidR="00847A6F">
        <w:t xml:space="preserve"> configured for CA operate on the </w:t>
      </w:r>
      <w:r w:rsidR="00BB418E">
        <w:t>component carrier</w:t>
      </w:r>
      <w:r w:rsidR="00847A6F">
        <w:t>.</w:t>
      </w:r>
    </w:p>
    <w:p w:rsidR="00BE4AA8" w:rsidRDefault="00BE4AA8" w:rsidP="00FD5EB8"/>
    <w:p w:rsidR="00BE4AA8" w:rsidRDefault="00BE4AA8" w:rsidP="00BE4AA8">
      <w:pPr>
        <w:pStyle w:val="Heading2"/>
        <w:rPr>
          <w:b/>
        </w:rPr>
      </w:pPr>
      <w:r>
        <w:rPr>
          <w:b/>
        </w:rPr>
        <w:t>Single RB A-MPR for Band 42 with NS_22 and CA_NS_08</w:t>
      </w:r>
    </w:p>
    <w:p w:rsidR="00B16FB1" w:rsidRDefault="009F4071" w:rsidP="00BE4AA8">
      <w:r>
        <w:t xml:space="preserve">The NS_22 requirement for a UE configured for single CC operation in Band 42 is given in Table 1.  The CA_NS_08 requirement for a UE configured for CA in Band 42 is given in Table 2. We consider the possibility that the two </w:t>
      </w:r>
      <w:proofErr w:type="spellStart"/>
      <w:r>
        <w:t>UE’s</w:t>
      </w:r>
      <w:proofErr w:type="spellEnd"/>
      <w:r>
        <w:t xml:space="preserve">, one configured for single CC operation and the other configured for CA, operate on the same carrier.  The </w:t>
      </w:r>
      <w:r w:rsidR="00B16FB1">
        <w:t>single RB A-MPR allowed for NS_22 an</w:t>
      </w:r>
      <w:r w:rsidR="00913C85">
        <w:t>d CA_NS_08 is shown in Figure 1 below</w:t>
      </w:r>
      <w:r w:rsidR="00F74E57">
        <w:t xml:space="preserve"> for 20 MHz component carriers.  The A-MPR allowed for CA_NS_08 is not yet agreed, but is taken from [</w:t>
      </w:r>
      <w:r w:rsidR="000042A5">
        <w:t>2</w:t>
      </w:r>
      <w:r w:rsidR="00C37350">
        <w:t>]</w:t>
      </w:r>
      <w:r w:rsidR="000042A5">
        <w:t>.</w:t>
      </w:r>
    </w:p>
    <w:p w:rsidR="00F74E57" w:rsidRDefault="00F74E57" w:rsidP="00BE4AA8"/>
    <w:p w:rsidR="009F4071" w:rsidRDefault="00A27612" w:rsidP="00B16FB1">
      <w:pPr>
        <w:jc w:val="center"/>
        <w:rPr>
          <w:noProof/>
          <w:lang w:val="en-US" w:eastAsia="en-US"/>
        </w:rPr>
      </w:pPr>
      <w:r w:rsidRPr="00FC4990">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style="width:419.25pt;height:167.25pt;visibility:visible">
            <v:imagedata r:id="rId7" o:title=""/>
          </v:shape>
        </w:pict>
      </w:r>
    </w:p>
    <w:p w:rsidR="00B16FB1" w:rsidRDefault="00B16FB1" w:rsidP="00B16FB1">
      <w:pPr>
        <w:ind w:left="1440" w:firstLine="720"/>
        <w:rPr>
          <w:b/>
        </w:rPr>
      </w:pPr>
      <w:r w:rsidRPr="00B16FB1">
        <w:rPr>
          <w:b/>
        </w:rPr>
        <w:t xml:space="preserve">Table </w:t>
      </w:r>
      <w:r>
        <w:rPr>
          <w:b/>
        </w:rPr>
        <w:t>1</w:t>
      </w:r>
      <w:r w:rsidRPr="00B16FB1">
        <w:rPr>
          <w:b/>
        </w:rPr>
        <w:t xml:space="preserve">:  </w:t>
      </w:r>
      <w:r>
        <w:rPr>
          <w:b/>
        </w:rPr>
        <w:t>NS_22</w:t>
      </w:r>
      <w:r w:rsidRPr="00B16FB1">
        <w:rPr>
          <w:b/>
        </w:rPr>
        <w:t xml:space="preserve"> Additional Requirements</w:t>
      </w:r>
      <w:r>
        <w:rPr>
          <w:b/>
        </w:rPr>
        <w:t xml:space="preserve"> (from TS 36.101)</w:t>
      </w:r>
    </w:p>
    <w:p w:rsidR="00913C85" w:rsidRDefault="00913C85" w:rsidP="00B16FB1">
      <w:pPr>
        <w:ind w:left="1440" w:firstLine="720"/>
        <w:rPr>
          <w:noProof/>
          <w:lang w:val="en-US" w:eastAsia="en-US"/>
        </w:rPr>
      </w:pPr>
    </w:p>
    <w:p w:rsidR="00B16FB1" w:rsidRDefault="00A27612" w:rsidP="00B16FB1">
      <w:pPr>
        <w:jc w:val="center"/>
      </w:pPr>
      <w:r>
        <w:pict>
          <v:shape id="_x0000_i1026" type="#_x0000_t75" style="width:498pt;height:168pt">
            <v:imagedata r:id="rId8" o:title=""/>
          </v:shape>
        </w:pict>
      </w:r>
    </w:p>
    <w:p w:rsidR="009F4071" w:rsidRDefault="00B16FB1" w:rsidP="00B16FB1">
      <w:pPr>
        <w:jc w:val="center"/>
        <w:rPr>
          <w:b/>
        </w:rPr>
      </w:pPr>
      <w:r w:rsidRPr="00B16FB1">
        <w:rPr>
          <w:b/>
        </w:rPr>
        <w:t>Table 2:  CA_NS_08 Additional Requirements</w:t>
      </w:r>
    </w:p>
    <w:p w:rsidR="00B16FB1" w:rsidRDefault="00B16FB1" w:rsidP="00B16FB1">
      <w:pPr>
        <w:jc w:val="center"/>
        <w:rPr>
          <w:b/>
        </w:rPr>
      </w:pPr>
    </w:p>
    <w:p w:rsidR="00B16FB1" w:rsidRPr="00B16FB1" w:rsidRDefault="00B16FB1" w:rsidP="00B16FB1">
      <w:pPr>
        <w:jc w:val="center"/>
        <w:rPr>
          <w:b/>
        </w:rPr>
      </w:pPr>
    </w:p>
    <w:p w:rsidR="002860D1" w:rsidRDefault="002860D1" w:rsidP="00BE4AA8"/>
    <w:p w:rsidR="00913C85" w:rsidRDefault="00A27612" w:rsidP="00BE4AA8">
      <w:r>
        <w:pict>
          <v:shape id="_x0000_i1027" type="#_x0000_t75" style="width:498pt;height:87pt">
            <v:imagedata r:id="rId9" o:title=""/>
          </v:shape>
        </w:pict>
      </w:r>
    </w:p>
    <w:p w:rsidR="00913C85" w:rsidRDefault="00913C85" w:rsidP="00BE4AA8"/>
    <w:p w:rsidR="00913C85" w:rsidRPr="00F74E57" w:rsidRDefault="00F74E57" w:rsidP="00F74E57">
      <w:pPr>
        <w:ind w:left="720"/>
        <w:rPr>
          <w:b/>
        </w:rPr>
      </w:pPr>
      <w:r>
        <w:rPr>
          <w:b/>
        </w:rPr>
        <w:t xml:space="preserve">Figure 1: </w:t>
      </w:r>
      <w:r w:rsidR="00913C85" w:rsidRPr="00F74E57">
        <w:rPr>
          <w:b/>
        </w:rPr>
        <w:t xml:space="preserve">A-MPR allowed for single RB transmission for Band 42 with </w:t>
      </w:r>
      <w:r>
        <w:rPr>
          <w:b/>
        </w:rPr>
        <w:t xml:space="preserve">NS_22 signalled for </w:t>
      </w:r>
      <w:r w:rsidR="00913C85" w:rsidRPr="00F74E57">
        <w:rPr>
          <w:b/>
        </w:rPr>
        <w:t xml:space="preserve">single CC </w:t>
      </w:r>
      <w:proofErr w:type="spellStart"/>
      <w:r w:rsidR="00913C85" w:rsidRPr="00F74E57">
        <w:rPr>
          <w:b/>
        </w:rPr>
        <w:t>UE’s</w:t>
      </w:r>
      <w:proofErr w:type="spellEnd"/>
      <w:r w:rsidR="00913C85" w:rsidRPr="00F74E57">
        <w:rPr>
          <w:b/>
        </w:rPr>
        <w:t xml:space="preserve">, and CA_NS_08 signalled for CA </w:t>
      </w:r>
      <w:proofErr w:type="spellStart"/>
      <w:r w:rsidR="00913C85" w:rsidRPr="00F74E57">
        <w:rPr>
          <w:b/>
        </w:rPr>
        <w:t>UE’s</w:t>
      </w:r>
      <w:proofErr w:type="spellEnd"/>
      <w:r w:rsidR="00913C85" w:rsidRPr="00F74E57">
        <w:rPr>
          <w:b/>
        </w:rPr>
        <w:t>.   The A-MP</w:t>
      </w:r>
      <w:r w:rsidRPr="00F74E57">
        <w:rPr>
          <w:b/>
        </w:rPr>
        <w:t xml:space="preserve">R allowed for </w:t>
      </w:r>
      <w:r w:rsidR="00C37350">
        <w:rPr>
          <w:b/>
        </w:rPr>
        <w:t xml:space="preserve">the </w:t>
      </w:r>
      <w:r w:rsidRPr="00F74E57">
        <w:rPr>
          <w:b/>
        </w:rPr>
        <w:t xml:space="preserve">single CC UE is shown at top, and the A-MPR allowed for </w:t>
      </w:r>
      <w:r w:rsidR="00C37350">
        <w:rPr>
          <w:b/>
        </w:rPr>
        <w:t xml:space="preserve">the </w:t>
      </w:r>
      <w:r w:rsidRPr="00F74E57">
        <w:rPr>
          <w:b/>
        </w:rPr>
        <w:t>CA UE is shown at the bottom.</w:t>
      </w:r>
    </w:p>
    <w:p w:rsidR="00BE4AA8" w:rsidRDefault="00BE4AA8" w:rsidP="00BE4AA8">
      <w:r>
        <w:t xml:space="preserve"> </w:t>
      </w:r>
    </w:p>
    <w:p w:rsidR="00F74E57" w:rsidRDefault="00F74E57" w:rsidP="00F74E57">
      <w:r>
        <w:t xml:space="preserve">In the absence of CA </w:t>
      </w:r>
      <w:proofErr w:type="spellStart"/>
      <w:r>
        <w:t>UE’s</w:t>
      </w:r>
      <w:proofErr w:type="spellEnd"/>
      <w:r>
        <w:t xml:space="preserve"> on </w:t>
      </w:r>
      <w:r w:rsidR="002F6927">
        <w:t xml:space="preserve">either of </w:t>
      </w:r>
      <w:r>
        <w:t xml:space="preserve">the component carriers, the A-MPR allowed for the edge </w:t>
      </w:r>
      <w:proofErr w:type="spellStart"/>
      <w:r>
        <w:t>RB’s</w:t>
      </w:r>
      <w:proofErr w:type="spellEnd"/>
      <w:r>
        <w:t xml:space="preserve"> with NS_22 signalled is only 3 dB.  If the network coverage requirements can be met with 3 dB of A-MPR</w:t>
      </w:r>
      <w:r w:rsidR="002F6927">
        <w:t xml:space="preserve"> for the PUCCH</w:t>
      </w:r>
      <w:r>
        <w:t>, then no PUCCH over</w:t>
      </w:r>
      <w:r w:rsidR="002F6927">
        <w:t>-</w:t>
      </w:r>
      <w:r>
        <w:t>provisioning is required (</w:t>
      </w:r>
      <w:r w:rsidR="002F6927">
        <w:t xml:space="preserve">with over-provisioning, the PUCCH </w:t>
      </w:r>
      <w:proofErr w:type="spellStart"/>
      <w:r w:rsidR="002F6927">
        <w:t>RB’s</w:t>
      </w:r>
      <w:proofErr w:type="spellEnd"/>
      <w:r w:rsidR="002F6927">
        <w:t xml:space="preserve"> are moved inwards toward the </w:t>
      </w:r>
      <w:proofErr w:type="spellStart"/>
      <w:r w:rsidR="002F6927">
        <w:t>center</w:t>
      </w:r>
      <w:proofErr w:type="spellEnd"/>
      <w:r w:rsidR="002F6927">
        <w:t xml:space="preserve"> of the CC).  Alternatively, if no A-MPR can be </w:t>
      </w:r>
      <w:r w:rsidR="00C17522">
        <w:t>tolerated</w:t>
      </w:r>
      <w:r w:rsidR="002F6927">
        <w:t xml:space="preserve"> for the PUCCH, then the PUCCH region must be moved inwards by 22 </w:t>
      </w:r>
      <w:proofErr w:type="spellStart"/>
      <w:r w:rsidR="002F6927">
        <w:t>RB’s</w:t>
      </w:r>
      <w:proofErr w:type="spellEnd"/>
      <w:r w:rsidR="002F6927">
        <w:t xml:space="preserve"> before no A-MPR is allowed</w:t>
      </w:r>
      <w:r w:rsidR="00E33795">
        <w:t xml:space="preserve"> for single RB transmission</w:t>
      </w:r>
      <w:r w:rsidR="00315008">
        <w:t>s</w:t>
      </w:r>
      <w:r w:rsidR="002F6927">
        <w:t>.</w:t>
      </w:r>
    </w:p>
    <w:p w:rsidR="002F6927" w:rsidRDefault="002F6927" w:rsidP="00F74E57"/>
    <w:p w:rsidR="00C17522" w:rsidRDefault="002F6927" w:rsidP="00BE4AA8">
      <w:r>
        <w:t xml:space="preserve">For a CA UE, the A-MPR allowed for the </w:t>
      </w:r>
      <w:proofErr w:type="spellStart"/>
      <w:r>
        <w:t>RB’s</w:t>
      </w:r>
      <w:proofErr w:type="spellEnd"/>
      <w:r>
        <w:t xml:space="preserve"> at the outer edges</w:t>
      </w:r>
      <w:r w:rsidR="00C17522">
        <w:t xml:space="preserve"> of the aggregated carrier</w:t>
      </w:r>
      <w:r>
        <w:t xml:space="preserve"> is 12 dB</w:t>
      </w:r>
      <w:r w:rsidR="00E33795">
        <w:t xml:space="preserve"> (though no A-MPR is needed for the </w:t>
      </w:r>
      <w:proofErr w:type="spellStart"/>
      <w:r w:rsidR="00E33795">
        <w:t>RB’s</w:t>
      </w:r>
      <w:proofErr w:type="spellEnd"/>
      <w:r w:rsidR="00E33795">
        <w:t xml:space="preserve"> at the </w:t>
      </w:r>
      <w:r w:rsidR="00C17522">
        <w:t>inner edges of the CC’s</w:t>
      </w:r>
      <w:r w:rsidR="00E33795">
        <w:t>)</w:t>
      </w:r>
      <w:r>
        <w:t xml:space="preserve">.  Thus, </w:t>
      </w:r>
      <w:r w:rsidR="00E33795">
        <w:t xml:space="preserve">if CA </w:t>
      </w:r>
      <w:proofErr w:type="spellStart"/>
      <w:r w:rsidR="00E33795">
        <w:t>UE’s</w:t>
      </w:r>
      <w:proofErr w:type="spellEnd"/>
      <w:r w:rsidR="00E33795">
        <w:t xml:space="preserve"> are present on the component carriers, it will be necessary to move the PUCCH region inwards by 22 </w:t>
      </w:r>
      <w:proofErr w:type="spellStart"/>
      <w:r w:rsidR="00E33795">
        <w:t>RB’s</w:t>
      </w:r>
      <w:proofErr w:type="spellEnd"/>
      <w:r w:rsidR="00E33795">
        <w:t xml:space="preserve"> so that the </w:t>
      </w:r>
      <w:r w:rsidR="00B32F88">
        <w:t xml:space="preserve">PUCCH </w:t>
      </w:r>
      <w:r w:rsidR="00E33795">
        <w:t xml:space="preserve">A-MPR allowed for </w:t>
      </w:r>
      <w:r w:rsidR="00C17522">
        <w:t>the CA UE</w:t>
      </w:r>
      <w:r w:rsidR="00E33795">
        <w:t xml:space="preserve"> is reduced from 12 dB to 3 dB.  Furthermore, it can be noted that it is not possible to move the PUCCH region so that the </w:t>
      </w:r>
      <w:r w:rsidR="00AE07E9">
        <w:t>PUCCH</w:t>
      </w:r>
      <w:r w:rsidR="00B32F88">
        <w:t xml:space="preserve"> A-MPR allowed </w:t>
      </w:r>
      <w:r w:rsidR="00E33795">
        <w:t xml:space="preserve">for </w:t>
      </w:r>
      <w:r w:rsidR="00B32F88">
        <w:t xml:space="preserve">the </w:t>
      </w:r>
      <w:r w:rsidR="00E33795">
        <w:t xml:space="preserve">CA </w:t>
      </w:r>
      <w:proofErr w:type="spellStart"/>
      <w:r w:rsidR="00E33795">
        <w:t>UE’s</w:t>
      </w:r>
      <w:proofErr w:type="spellEnd"/>
      <w:r w:rsidR="00E33795">
        <w:t xml:space="preserve"> is less than 3 dB.</w:t>
      </w:r>
    </w:p>
    <w:p w:rsidR="00B32F88" w:rsidRDefault="00B32F88" w:rsidP="00BE4AA8"/>
    <w:p w:rsidR="00B32F88" w:rsidRDefault="00B32F88" w:rsidP="00BE4AA8">
      <w:r>
        <w:t xml:space="preserve">From the above, it is apparent that if the cell contains </w:t>
      </w:r>
      <w:proofErr w:type="spellStart"/>
      <w:r>
        <w:t>UE’s</w:t>
      </w:r>
      <w:proofErr w:type="spellEnd"/>
      <w:r>
        <w:t xml:space="preserve"> configured for CA, then the PUCCH region must be over-provisioned by 22 </w:t>
      </w:r>
      <w:proofErr w:type="spellStart"/>
      <w:r>
        <w:t>RB’s</w:t>
      </w:r>
      <w:proofErr w:type="spellEnd"/>
      <w:r>
        <w:t xml:space="preserve"> even though no over-provisioning is required for the </w:t>
      </w:r>
      <w:proofErr w:type="spellStart"/>
      <w:r>
        <w:t>UE’s</w:t>
      </w:r>
      <w:proofErr w:type="spellEnd"/>
      <w:r>
        <w:t xml:space="preserve"> configured for single CC operation.  </w:t>
      </w:r>
    </w:p>
    <w:p w:rsidR="00B32F88" w:rsidRDefault="00B32F88" w:rsidP="00BE4AA8"/>
    <w:p w:rsidR="00C17522" w:rsidRDefault="00C17522" w:rsidP="00BE4AA8">
      <w:r>
        <w:t>As has been noted in several previous contributions</w:t>
      </w:r>
      <w:r w:rsidR="0075699F">
        <w:t xml:space="preserve"> [3-</w:t>
      </w:r>
      <w:r w:rsidR="00315008">
        <w:t>6</w:t>
      </w:r>
      <w:r w:rsidR="0075699F">
        <w:t>]</w:t>
      </w:r>
      <w:r>
        <w:t xml:space="preserve">, the difference in A-MPR allowed for contiguous and non-contiguous resource allocations for CA </w:t>
      </w:r>
      <w:proofErr w:type="spellStart"/>
      <w:r>
        <w:t>UE’s</w:t>
      </w:r>
      <w:proofErr w:type="spellEnd"/>
      <w:r>
        <w:t xml:space="preserve"> with CA_NS signalling is typically quite large.</w:t>
      </w:r>
      <w:r w:rsidR="00B32F88">
        <w:t xml:space="preserve"> If it is assumed that four </w:t>
      </w:r>
      <w:proofErr w:type="spellStart"/>
      <w:r w:rsidR="00B32F88">
        <w:t>RB’s</w:t>
      </w:r>
      <w:proofErr w:type="spellEnd"/>
      <w:r w:rsidR="00B32F88">
        <w:t xml:space="preserve"> are allocated for PUCCH on each side of the component carrier, and if the PUCCH region is over-provisioned by 22 </w:t>
      </w:r>
      <w:proofErr w:type="spellStart"/>
      <w:r w:rsidR="00B32F88">
        <w:t>RB</w:t>
      </w:r>
      <w:r w:rsidR="000042A5">
        <w:t>’s</w:t>
      </w:r>
      <w:proofErr w:type="spellEnd"/>
      <w:r w:rsidR="00B32F88">
        <w:t xml:space="preserve">, then the largest possible contiguous allocation is 48 </w:t>
      </w:r>
      <w:proofErr w:type="spellStart"/>
      <w:r w:rsidR="00B32F88">
        <w:t>RB’s</w:t>
      </w:r>
      <w:proofErr w:type="spellEnd"/>
      <w:r w:rsidR="00B32F88">
        <w:t>.  From [</w:t>
      </w:r>
      <w:r w:rsidR="000042A5">
        <w:t>2</w:t>
      </w:r>
      <w:r w:rsidR="00B32F88">
        <w:t xml:space="preserve">], it can be observed that the </w:t>
      </w:r>
      <w:r w:rsidR="00FC01DC">
        <w:t xml:space="preserve">A-MPR allowed for a non-contiguous allocation of 50 </w:t>
      </w:r>
      <w:proofErr w:type="spellStart"/>
      <w:r w:rsidR="00FC01DC">
        <w:t>RB’s</w:t>
      </w:r>
      <w:proofErr w:type="spellEnd"/>
      <w:r w:rsidR="00FC01DC">
        <w:t xml:space="preserve"> (allocation ratio equals 0.25</w:t>
      </w:r>
      <w:r w:rsidR="000042A5">
        <w:t>)</w:t>
      </w:r>
      <w:r w:rsidR="00FC01DC">
        <w:t xml:space="preserve"> </w:t>
      </w:r>
      <w:r w:rsidR="000042A5">
        <w:t xml:space="preserve">is </w:t>
      </w:r>
      <w:r w:rsidR="000042A5" w:rsidRPr="0075699F">
        <w:rPr>
          <w:b/>
        </w:rPr>
        <w:t>15 dB</w:t>
      </w:r>
      <w:r w:rsidR="0075699F">
        <w:t xml:space="preserve"> when CA_NS_08 is signalled</w:t>
      </w:r>
      <w:r w:rsidR="000042A5">
        <w:t>, regardless of the placement of the allocation</w:t>
      </w:r>
      <w:r w:rsidR="00FC01DC">
        <w:t>.  Conversely, the A-MPR allowed for a contiguous allocation</w:t>
      </w:r>
      <w:r w:rsidR="00AE07E9">
        <w:t xml:space="preserve"> of 50 </w:t>
      </w:r>
      <w:proofErr w:type="spellStart"/>
      <w:r w:rsidR="00AE07E9">
        <w:t>RB’s</w:t>
      </w:r>
      <w:proofErr w:type="spellEnd"/>
      <w:r w:rsidR="00FC01DC">
        <w:t xml:space="preserve"> can be as small as </w:t>
      </w:r>
      <w:r w:rsidR="000042A5" w:rsidRPr="0075699F">
        <w:rPr>
          <w:b/>
        </w:rPr>
        <w:t>4 dB</w:t>
      </w:r>
      <w:r w:rsidR="000042A5">
        <w:t xml:space="preserve">, so that the A-MPR difference between the contiguous and non-contiguous allocation can be as large as </w:t>
      </w:r>
      <w:r w:rsidR="000042A5" w:rsidRPr="0075699F">
        <w:rPr>
          <w:b/>
        </w:rPr>
        <w:t>11 dB</w:t>
      </w:r>
      <w:r w:rsidR="000042A5">
        <w:t xml:space="preserve">.  </w:t>
      </w:r>
      <w:r w:rsidR="00FC01DC">
        <w:t xml:space="preserve"> However, with PUCCH over-provisioning, a contiguous allocation of 50 </w:t>
      </w:r>
      <w:proofErr w:type="spellStart"/>
      <w:r w:rsidR="00FC01DC">
        <w:t>RB’s</w:t>
      </w:r>
      <w:proofErr w:type="spellEnd"/>
      <w:r w:rsidR="00FC01DC">
        <w:t xml:space="preserve"> will not be possible if any user in</w:t>
      </w:r>
      <w:r w:rsidR="000042A5">
        <w:t xml:space="preserve"> the cell is transmitting PUCCH, and thus the </w:t>
      </w:r>
      <w:r w:rsidR="0075699F">
        <w:t>allowed</w:t>
      </w:r>
      <w:r w:rsidR="000042A5">
        <w:t xml:space="preserve"> A-MPR is </w:t>
      </w:r>
      <w:r w:rsidR="000042A5" w:rsidRPr="0075699F">
        <w:rPr>
          <w:b/>
        </w:rPr>
        <w:t>15 dB</w:t>
      </w:r>
      <w:r w:rsidR="0075699F">
        <w:t xml:space="preserve"> for a 50 RB allocation</w:t>
      </w:r>
      <w:r w:rsidR="000042A5">
        <w:t>.</w:t>
      </w:r>
    </w:p>
    <w:p w:rsidR="00FC01DC" w:rsidRDefault="00FC01DC" w:rsidP="00BE4AA8"/>
    <w:p w:rsidR="00BE4AA8" w:rsidRDefault="00BE4AA8" w:rsidP="00BE4AA8">
      <w:pPr>
        <w:pStyle w:val="Heading2"/>
        <w:rPr>
          <w:b/>
        </w:rPr>
      </w:pPr>
      <w:r w:rsidRPr="00BE4AA8">
        <w:rPr>
          <w:b/>
        </w:rPr>
        <w:t xml:space="preserve">Single RB A-MPR for Band 1 with </w:t>
      </w:r>
      <w:r w:rsidR="00FC01DC">
        <w:rPr>
          <w:b/>
        </w:rPr>
        <w:t>NS_0</w:t>
      </w:r>
      <w:r w:rsidR="00F32265">
        <w:rPr>
          <w:b/>
        </w:rPr>
        <w:t>5</w:t>
      </w:r>
      <w:r w:rsidR="00FC01DC">
        <w:rPr>
          <w:b/>
        </w:rPr>
        <w:t xml:space="preserve"> </w:t>
      </w:r>
      <w:r w:rsidR="009A4DD8">
        <w:rPr>
          <w:b/>
        </w:rPr>
        <w:t>(</w:t>
      </w:r>
      <w:r w:rsidR="00FC01DC">
        <w:rPr>
          <w:b/>
        </w:rPr>
        <w:t xml:space="preserve">or </w:t>
      </w:r>
      <w:r w:rsidR="000042A5">
        <w:rPr>
          <w:b/>
        </w:rPr>
        <w:t>NS_0</w:t>
      </w:r>
      <w:r w:rsidR="00F32265">
        <w:rPr>
          <w:b/>
        </w:rPr>
        <w:t>1</w:t>
      </w:r>
      <w:r w:rsidR="009A4DD8">
        <w:rPr>
          <w:b/>
        </w:rPr>
        <w:t>)</w:t>
      </w:r>
      <w:r w:rsidR="000042A5">
        <w:rPr>
          <w:b/>
        </w:rPr>
        <w:t xml:space="preserve"> and CA_NS_01</w:t>
      </w:r>
    </w:p>
    <w:p w:rsidR="00BE4AA8" w:rsidRDefault="00FC01DC" w:rsidP="00BE4AA8">
      <w:r>
        <w:t>The NS_</w:t>
      </w:r>
      <w:r w:rsidR="00AE07E9">
        <w:t>05</w:t>
      </w:r>
      <w:r>
        <w:t xml:space="preserve"> requirement for a UE configured for single CC operation in Band </w:t>
      </w:r>
      <w:r w:rsidR="00AE07E9">
        <w:t>1</w:t>
      </w:r>
      <w:r>
        <w:t xml:space="preserve"> is given in Table </w:t>
      </w:r>
      <w:r w:rsidR="00AE07E9">
        <w:t>3</w:t>
      </w:r>
      <w:r>
        <w:t>.  The CA_NS_0</w:t>
      </w:r>
      <w:r w:rsidR="00AE07E9">
        <w:t>1</w:t>
      </w:r>
      <w:r>
        <w:t xml:space="preserve"> requirement for a UE configured for CA in Band </w:t>
      </w:r>
      <w:r w:rsidR="00AE07E9">
        <w:t>1</w:t>
      </w:r>
      <w:r>
        <w:t xml:space="preserve"> is given in Table </w:t>
      </w:r>
      <w:r w:rsidR="00AE07E9">
        <w:t>4</w:t>
      </w:r>
      <w:r>
        <w:t xml:space="preserve">. We </w:t>
      </w:r>
      <w:r w:rsidR="00AE07E9">
        <w:t xml:space="preserve">again </w:t>
      </w:r>
      <w:r>
        <w:t xml:space="preserve">consider the possibility that the two </w:t>
      </w:r>
      <w:proofErr w:type="spellStart"/>
      <w:r>
        <w:t>UE’s</w:t>
      </w:r>
      <w:proofErr w:type="spellEnd"/>
      <w:r>
        <w:t xml:space="preserve">, one configured for single CC operation and the other </w:t>
      </w:r>
      <w:r>
        <w:lastRenderedPageBreak/>
        <w:t xml:space="preserve">configured for CA, operate on the same carrier.  The single RB A-MPR allowed for </w:t>
      </w:r>
      <w:r w:rsidR="009A4DD8">
        <w:t xml:space="preserve">NS_05 </w:t>
      </w:r>
      <w:r>
        <w:t>and CA_NS_0</w:t>
      </w:r>
      <w:r w:rsidR="009A4DD8">
        <w:t>1</w:t>
      </w:r>
      <w:r>
        <w:t xml:space="preserve"> is shown in Figure </w:t>
      </w:r>
      <w:r w:rsidR="00AE07E9">
        <w:t>2</w:t>
      </w:r>
      <w:r>
        <w:t xml:space="preserve"> below for </w:t>
      </w:r>
      <w:r w:rsidR="00AE07E9">
        <w:t xml:space="preserve">two </w:t>
      </w:r>
      <w:r>
        <w:t>20 MHz component carriers</w:t>
      </w:r>
      <w:r w:rsidR="00AE07E9">
        <w:t xml:space="preserve">, the first </w:t>
      </w:r>
      <w:proofErr w:type="spellStart"/>
      <w:r w:rsidR="00AE07E9">
        <w:t>centered</w:t>
      </w:r>
      <w:proofErr w:type="spellEnd"/>
      <w:r w:rsidR="00AE07E9">
        <w:t xml:space="preserve"> at 1950 MHz, and the second </w:t>
      </w:r>
      <w:proofErr w:type="spellStart"/>
      <w:r w:rsidR="00AE07E9">
        <w:t>centered</w:t>
      </w:r>
      <w:proofErr w:type="spellEnd"/>
      <w:r w:rsidR="00AE07E9">
        <w:t xml:space="preserve"> at 1969.8 MHz (using</w:t>
      </w:r>
      <w:r w:rsidR="00BB418E">
        <w:t xml:space="preserve"> the</w:t>
      </w:r>
      <w:r w:rsidR="00AE07E9">
        <w:t xml:space="preserve"> nominal spacing of 19.8 MHz).  It can be noted that for these carriers, no A-MPR is allowed for </w:t>
      </w:r>
      <w:r w:rsidR="00315008">
        <w:t>NS_05</w:t>
      </w:r>
      <w:r w:rsidR="00AE07E9">
        <w:t xml:space="preserve"> for a single RB transmission, so the </w:t>
      </w:r>
      <w:r w:rsidR="009A4DD8">
        <w:t xml:space="preserve">A-MPR </w:t>
      </w:r>
      <w:r w:rsidR="00AE07E9">
        <w:t>situation is the same as if NS_01 is signalled to the UE.</w:t>
      </w:r>
    </w:p>
    <w:p w:rsidR="00AE07E9" w:rsidRDefault="00AE07E9" w:rsidP="00BE4AA8"/>
    <w:p w:rsidR="00AE07E9" w:rsidRDefault="00A27612" w:rsidP="00BE4AA8">
      <w:r>
        <w:pict>
          <v:shape id="_x0000_i1028" type="#_x0000_t75" style="width:493.5pt;height:156.75pt">
            <v:imagedata r:id="rId10" o:title=""/>
          </v:shape>
        </w:pict>
      </w:r>
    </w:p>
    <w:p w:rsidR="00F32265" w:rsidRDefault="00F32265" w:rsidP="00F32265">
      <w:pPr>
        <w:ind w:left="1440" w:firstLine="720"/>
        <w:rPr>
          <w:b/>
        </w:rPr>
      </w:pPr>
      <w:r w:rsidRPr="00B16FB1">
        <w:rPr>
          <w:b/>
        </w:rPr>
        <w:t xml:space="preserve">Table </w:t>
      </w:r>
      <w:r>
        <w:rPr>
          <w:b/>
        </w:rPr>
        <w:t>3</w:t>
      </w:r>
      <w:r w:rsidRPr="00B16FB1">
        <w:rPr>
          <w:b/>
        </w:rPr>
        <w:t xml:space="preserve">:  </w:t>
      </w:r>
      <w:r>
        <w:rPr>
          <w:b/>
        </w:rPr>
        <w:t>NS_0</w:t>
      </w:r>
      <w:r w:rsidR="00315008">
        <w:rPr>
          <w:b/>
        </w:rPr>
        <w:t>4</w:t>
      </w:r>
      <w:r w:rsidRPr="00B16FB1">
        <w:rPr>
          <w:b/>
        </w:rPr>
        <w:t xml:space="preserve"> Additional Requirements</w:t>
      </w:r>
      <w:r>
        <w:rPr>
          <w:b/>
        </w:rPr>
        <w:t xml:space="preserve"> (from TS 36.101)</w:t>
      </w:r>
    </w:p>
    <w:p w:rsidR="00AE07E9" w:rsidRDefault="00AE07E9" w:rsidP="00BE4AA8"/>
    <w:p w:rsidR="00AE07E9" w:rsidRDefault="00A27612" w:rsidP="00BE4AA8">
      <w:r>
        <w:pict>
          <v:shape id="_x0000_i1029" type="#_x0000_t75" style="width:493.5pt;height:102.75pt">
            <v:imagedata r:id="rId11" o:title=""/>
          </v:shape>
        </w:pict>
      </w:r>
    </w:p>
    <w:p w:rsidR="009A4DD8" w:rsidRDefault="009A4DD8" w:rsidP="009A4DD8">
      <w:pPr>
        <w:ind w:left="1440" w:firstLine="720"/>
        <w:rPr>
          <w:b/>
        </w:rPr>
      </w:pPr>
      <w:r w:rsidRPr="00B16FB1">
        <w:rPr>
          <w:b/>
        </w:rPr>
        <w:t xml:space="preserve">Table </w:t>
      </w:r>
      <w:r>
        <w:rPr>
          <w:b/>
        </w:rPr>
        <w:t>5</w:t>
      </w:r>
      <w:r w:rsidRPr="00B16FB1">
        <w:rPr>
          <w:b/>
        </w:rPr>
        <w:t xml:space="preserve">:  </w:t>
      </w:r>
      <w:r>
        <w:rPr>
          <w:b/>
        </w:rPr>
        <w:t>CA_NS_01</w:t>
      </w:r>
      <w:r w:rsidRPr="00B16FB1">
        <w:rPr>
          <w:b/>
        </w:rPr>
        <w:t xml:space="preserve"> Additional Requirements</w:t>
      </w:r>
      <w:r>
        <w:rPr>
          <w:b/>
        </w:rPr>
        <w:t xml:space="preserve"> (from TS 36.101)</w:t>
      </w:r>
    </w:p>
    <w:p w:rsidR="00AE07E9" w:rsidRDefault="00AE07E9" w:rsidP="00BE4AA8"/>
    <w:p w:rsidR="00AE07E9" w:rsidRDefault="009A4DD8" w:rsidP="00BE4AA8">
      <w:r>
        <w:t xml:space="preserve">In the absence of CA </w:t>
      </w:r>
      <w:proofErr w:type="spellStart"/>
      <w:r>
        <w:t>UE’s</w:t>
      </w:r>
      <w:proofErr w:type="spellEnd"/>
      <w:r>
        <w:t xml:space="preserve"> on either of the component carriers, no A-MPR is </w:t>
      </w:r>
      <w:r w:rsidR="0075699F">
        <w:t>allowed</w:t>
      </w:r>
      <w:r>
        <w:t xml:space="preserve"> and thus no PUCCH over-provisioning is required.  </w:t>
      </w:r>
      <w:r w:rsidR="0075699F">
        <w:t>Conversely, f</w:t>
      </w:r>
      <w:r>
        <w:t xml:space="preserve">or a CA UE, the A-MPR allowed for the </w:t>
      </w:r>
      <w:proofErr w:type="spellStart"/>
      <w:r>
        <w:t>RB’s</w:t>
      </w:r>
      <w:proofErr w:type="spellEnd"/>
      <w:r>
        <w:t xml:space="preserve"> at the outer edges of the aggregated carrier is 12 dB (though no A-MPR is needed for the </w:t>
      </w:r>
      <w:proofErr w:type="spellStart"/>
      <w:r>
        <w:t>RB’s</w:t>
      </w:r>
      <w:proofErr w:type="spellEnd"/>
      <w:r>
        <w:t xml:space="preserve"> at the inner edges of the CC’s).  Thus, if CA </w:t>
      </w:r>
      <w:proofErr w:type="spellStart"/>
      <w:r>
        <w:t>UE’s</w:t>
      </w:r>
      <w:proofErr w:type="spellEnd"/>
      <w:r>
        <w:t xml:space="preserve"> are present on the component carriers, it will be necessary to move the PUCCH region inwards by 24 </w:t>
      </w:r>
      <w:proofErr w:type="spellStart"/>
      <w:r>
        <w:t>RB’s</w:t>
      </w:r>
      <w:proofErr w:type="spellEnd"/>
      <w:r>
        <w:t xml:space="preserve"> so that the PUCCH A-MPR allowed for the CA UE is reduced from 12 dB to 0 dB.</w:t>
      </w:r>
    </w:p>
    <w:p w:rsidR="0075699F" w:rsidRDefault="0075699F" w:rsidP="00BE4AA8"/>
    <w:p w:rsidR="00AE07E9" w:rsidRPr="00BE4AA8" w:rsidRDefault="00AE07E9" w:rsidP="00BE4AA8"/>
    <w:p w:rsidR="00BE4AA8" w:rsidRPr="00BE4AA8" w:rsidRDefault="00A27612" w:rsidP="00BE4AA8">
      <w:r>
        <w:pict>
          <v:shape id="_x0000_i1030" type="#_x0000_t75" style="width:498pt;height:87pt">
            <v:imagedata r:id="rId12" o:title=""/>
          </v:shape>
        </w:pict>
      </w:r>
    </w:p>
    <w:p w:rsidR="00FD5EB8" w:rsidRDefault="00FD5EB8" w:rsidP="00C81BD4">
      <w:pPr>
        <w:shd w:val="clear" w:color="auto" w:fill="FFFFFF"/>
        <w:rPr>
          <w:rFonts w:ascii="Arial" w:eastAsia="Times New Roman" w:hAnsi="Arial" w:cs="Arial"/>
          <w:color w:val="222222"/>
          <w:sz w:val="20"/>
        </w:rPr>
      </w:pPr>
    </w:p>
    <w:p w:rsidR="00C81BD4" w:rsidRDefault="00C17522" w:rsidP="00C17522">
      <w:pPr>
        <w:shd w:val="clear" w:color="auto" w:fill="FFFFFF"/>
        <w:ind w:left="720"/>
        <w:rPr>
          <w:rFonts w:ascii="Arial" w:eastAsia="Times New Roman" w:hAnsi="Arial" w:cs="Arial"/>
          <w:color w:val="222222"/>
          <w:sz w:val="20"/>
        </w:rPr>
      </w:pPr>
      <w:r>
        <w:rPr>
          <w:b/>
        </w:rPr>
        <w:t xml:space="preserve">Figure </w:t>
      </w:r>
      <w:r w:rsidR="00DC093D">
        <w:rPr>
          <w:b/>
        </w:rPr>
        <w:t>2</w:t>
      </w:r>
      <w:r>
        <w:rPr>
          <w:b/>
        </w:rPr>
        <w:t xml:space="preserve">: </w:t>
      </w:r>
      <w:r w:rsidRPr="00F74E57">
        <w:rPr>
          <w:b/>
        </w:rPr>
        <w:t xml:space="preserve">A-MPR allowed for single RB transmission for Band </w:t>
      </w:r>
      <w:r w:rsidR="00DC093D">
        <w:rPr>
          <w:b/>
        </w:rPr>
        <w:t>1</w:t>
      </w:r>
      <w:r w:rsidRPr="00F74E57">
        <w:rPr>
          <w:b/>
        </w:rPr>
        <w:t xml:space="preserve"> with </w:t>
      </w:r>
      <w:r>
        <w:rPr>
          <w:b/>
        </w:rPr>
        <w:t>NS_</w:t>
      </w:r>
      <w:r w:rsidR="00FC01DC">
        <w:rPr>
          <w:b/>
        </w:rPr>
        <w:t>0</w:t>
      </w:r>
      <w:r w:rsidR="009A4DD8">
        <w:rPr>
          <w:b/>
        </w:rPr>
        <w:t>5</w:t>
      </w:r>
      <w:r w:rsidR="00FC01DC">
        <w:rPr>
          <w:b/>
        </w:rPr>
        <w:t xml:space="preserve"> </w:t>
      </w:r>
      <w:r w:rsidR="009A4DD8">
        <w:rPr>
          <w:b/>
        </w:rPr>
        <w:t>(or NS_01)</w:t>
      </w:r>
      <w:r>
        <w:rPr>
          <w:b/>
        </w:rPr>
        <w:t xml:space="preserve"> signalled for </w:t>
      </w:r>
      <w:r w:rsidRPr="00F74E57">
        <w:rPr>
          <w:b/>
        </w:rPr>
        <w:t xml:space="preserve">single CC </w:t>
      </w:r>
      <w:proofErr w:type="spellStart"/>
      <w:r w:rsidRPr="00F74E57">
        <w:rPr>
          <w:b/>
        </w:rPr>
        <w:t>UE’s</w:t>
      </w:r>
      <w:proofErr w:type="spellEnd"/>
      <w:r w:rsidRPr="00F74E57">
        <w:rPr>
          <w:b/>
        </w:rPr>
        <w:t>, and CA_NS_0</w:t>
      </w:r>
      <w:r w:rsidR="00FC01DC">
        <w:rPr>
          <w:b/>
        </w:rPr>
        <w:t>1</w:t>
      </w:r>
      <w:r w:rsidRPr="00F74E57">
        <w:rPr>
          <w:b/>
        </w:rPr>
        <w:t xml:space="preserve"> signalled for CA </w:t>
      </w:r>
      <w:proofErr w:type="spellStart"/>
      <w:r w:rsidRPr="00F74E57">
        <w:rPr>
          <w:b/>
        </w:rPr>
        <w:t>UE’s</w:t>
      </w:r>
      <w:proofErr w:type="spellEnd"/>
      <w:r w:rsidRPr="00F74E57">
        <w:rPr>
          <w:b/>
        </w:rPr>
        <w:t>.   The A-MPR allowed for</w:t>
      </w:r>
      <w:r w:rsidR="00315008">
        <w:rPr>
          <w:b/>
        </w:rPr>
        <w:t xml:space="preserve"> the</w:t>
      </w:r>
      <w:r w:rsidRPr="00F74E57">
        <w:rPr>
          <w:b/>
        </w:rPr>
        <w:t xml:space="preserve"> single CC UE is shown at top, and the A-MPR allowed for </w:t>
      </w:r>
      <w:r w:rsidR="00315008">
        <w:rPr>
          <w:b/>
        </w:rPr>
        <w:t xml:space="preserve">the </w:t>
      </w:r>
      <w:r w:rsidRPr="00F74E57">
        <w:rPr>
          <w:b/>
        </w:rPr>
        <w:t>CA UE is shown at the bottom.</w:t>
      </w:r>
    </w:p>
    <w:p w:rsidR="00FC01DC" w:rsidRDefault="00FC01DC" w:rsidP="00FC01DC"/>
    <w:p w:rsidR="00FC01DC" w:rsidRDefault="009A4DD8" w:rsidP="00FC01DC">
      <w:r>
        <w:lastRenderedPageBreak/>
        <w:t>As in the previous example</w:t>
      </w:r>
      <w:r w:rsidR="00FC01DC">
        <w:t xml:space="preserve">, it is apparent that if the cell contains </w:t>
      </w:r>
      <w:proofErr w:type="spellStart"/>
      <w:r w:rsidR="00FC01DC">
        <w:t>UE’s</w:t>
      </w:r>
      <w:proofErr w:type="spellEnd"/>
      <w:r w:rsidR="00FC01DC">
        <w:t xml:space="preserve"> configured for CA, then the PUCCH region must be over-provisioned </w:t>
      </w:r>
      <w:r>
        <w:t xml:space="preserve">– in this case by 24 </w:t>
      </w:r>
      <w:proofErr w:type="spellStart"/>
      <w:r>
        <w:t>RB’s</w:t>
      </w:r>
      <w:proofErr w:type="spellEnd"/>
      <w:r>
        <w:t xml:space="preserve"> – </w:t>
      </w:r>
      <w:r w:rsidR="00FC01DC">
        <w:t xml:space="preserve">even though no over-provisioning is required for the </w:t>
      </w:r>
      <w:proofErr w:type="spellStart"/>
      <w:r w:rsidR="00FC01DC">
        <w:t>UE’s</w:t>
      </w:r>
      <w:proofErr w:type="spellEnd"/>
      <w:r w:rsidR="00FC01DC">
        <w:t xml:space="preserve"> configured for single CC operation.  </w:t>
      </w:r>
    </w:p>
    <w:p w:rsidR="00FC01DC" w:rsidRDefault="00FC01DC" w:rsidP="00FC01DC"/>
    <w:p w:rsidR="00423892" w:rsidRPr="005062F8" w:rsidRDefault="0075699F" w:rsidP="00A3660C">
      <w:r>
        <w:t xml:space="preserve">If it is assumed that four </w:t>
      </w:r>
      <w:proofErr w:type="spellStart"/>
      <w:r>
        <w:t>RB’s</w:t>
      </w:r>
      <w:proofErr w:type="spellEnd"/>
      <w:r>
        <w:t xml:space="preserve"> are allocated for PUCCH on each side of the component carrier, and if the PUCCH region is over-provisioned by 24 </w:t>
      </w:r>
      <w:proofErr w:type="spellStart"/>
      <w:r>
        <w:t>RB’s</w:t>
      </w:r>
      <w:proofErr w:type="spellEnd"/>
      <w:r>
        <w:t xml:space="preserve">, then the largest possible contiguous allocation is 44 </w:t>
      </w:r>
      <w:proofErr w:type="spellStart"/>
      <w:r>
        <w:t>RB’s</w:t>
      </w:r>
      <w:proofErr w:type="spellEnd"/>
      <w:r>
        <w:t xml:space="preserve">.  From [1], it can be observed that the A-MPR allowed for a non-contiguous allocation of 50 </w:t>
      </w:r>
      <w:proofErr w:type="spellStart"/>
      <w:r>
        <w:t>RB’s</w:t>
      </w:r>
      <w:proofErr w:type="spellEnd"/>
      <w:r>
        <w:t xml:space="preserve"> (allocation ratio equals 0.25) is </w:t>
      </w:r>
      <w:r w:rsidR="005062F8">
        <w:rPr>
          <w:b/>
        </w:rPr>
        <w:t>12</w:t>
      </w:r>
      <w:r w:rsidRPr="0075699F">
        <w:rPr>
          <w:b/>
        </w:rPr>
        <w:t xml:space="preserve"> dB</w:t>
      </w:r>
      <w:r>
        <w:t xml:space="preserve"> when CA_NS_01 is signalled, regardless of the placement of the allocation.  Conversely, the A-MPR allowed for a contiguous allocation of 50 </w:t>
      </w:r>
      <w:proofErr w:type="spellStart"/>
      <w:r>
        <w:t>RB’s</w:t>
      </w:r>
      <w:proofErr w:type="spellEnd"/>
      <w:r>
        <w:t xml:space="preserve"> can be as small as </w:t>
      </w:r>
      <w:r w:rsidR="005062F8">
        <w:rPr>
          <w:b/>
        </w:rPr>
        <w:t>0</w:t>
      </w:r>
      <w:r w:rsidRPr="0075699F">
        <w:rPr>
          <w:b/>
        </w:rPr>
        <w:t xml:space="preserve"> dB</w:t>
      </w:r>
      <w:r>
        <w:t xml:space="preserve">, so that the A-MPR difference between the contiguous and non-contiguous allocation can be as large as </w:t>
      </w:r>
      <w:r w:rsidRPr="0075699F">
        <w:rPr>
          <w:b/>
        </w:rPr>
        <w:t>1</w:t>
      </w:r>
      <w:r w:rsidR="005062F8">
        <w:rPr>
          <w:b/>
        </w:rPr>
        <w:t>2</w:t>
      </w:r>
      <w:r w:rsidRPr="0075699F">
        <w:rPr>
          <w:b/>
        </w:rPr>
        <w:t xml:space="preserve"> dB</w:t>
      </w:r>
      <w:r>
        <w:t xml:space="preserve">.   However, with PUCCH over-provisioning, a contiguous allocation of 50 </w:t>
      </w:r>
      <w:proofErr w:type="spellStart"/>
      <w:r>
        <w:t>RB’s</w:t>
      </w:r>
      <w:proofErr w:type="spellEnd"/>
      <w:r>
        <w:t xml:space="preserve"> will not be possible if any user in the cell is transmitting PUCCH, </w:t>
      </w:r>
      <w:r w:rsidR="00A53481">
        <w:t>and in such situations the</w:t>
      </w:r>
      <w:r>
        <w:t xml:space="preserve"> allowed A-MPR is </w:t>
      </w:r>
      <w:r w:rsidRPr="0075699F">
        <w:rPr>
          <w:b/>
        </w:rPr>
        <w:t>1</w:t>
      </w:r>
      <w:r w:rsidR="005062F8">
        <w:rPr>
          <w:b/>
        </w:rPr>
        <w:t>2</w:t>
      </w:r>
      <w:r w:rsidRPr="0075699F">
        <w:rPr>
          <w:b/>
        </w:rPr>
        <w:t xml:space="preserve"> dB</w:t>
      </w:r>
      <w:r>
        <w:t xml:space="preserve"> for a 50 RB allocation.</w:t>
      </w:r>
    </w:p>
    <w:p w:rsidR="005062F8" w:rsidRPr="005062F8" w:rsidRDefault="0039228D" w:rsidP="005062F8">
      <w:pPr>
        <w:pStyle w:val="Heading1"/>
        <w:spacing w:after="120"/>
        <w:jc w:val="both"/>
        <w:rPr>
          <w:b/>
          <w:color w:val="000000"/>
        </w:rPr>
      </w:pPr>
      <w:r>
        <w:rPr>
          <w:b/>
          <w:color w:val="000000"/>
        </w:rPr>
        <w:t>Summary</w:t>
      </w:r>
    </w:p>
    <w:p w:rsidR="00A53481" w:rsidRDefault="005062F8" w:rsidP="005062F8">
      <w:pPr>
        <w:shd w:val="clear" w:color="auto" w:fill="FFFFFF"/>
      </w:pPr>
      <w:r w:rsidRPr="00AC49C4">
        <w:rPr>
          <w:rFonts w:eastAsia="Times New Roman"/>
          <w:color w:val="222222"/>
        </w:rPr>
        <w:t>This contribution considers the impact of intra-band carrier aggregation on the location of the PUCCH region for the UE configured for carrier aggregation</w:t>
      </w:r>
      <w:r w:rsidR="00A53481">
        <w:rPr>
          <w:rFonts w:eastAsia="Times New Roman"/>
          <w:color w:val="222222"/>
        </w:rPr>
        <w:t xml:space="preserve">.  </w:t>
      </w:r>
      <w:r w:rsidR="00A53481">
        <w:t xml:space="preserve">For a UE configured for CA, the PUCCH is transmitted on the </w:t>
      </w:r>
      <w:proofErr w:type="spellStart"/>
      <w:r w:rsidR="00A53481">
        <w:t>UE’s</w:t>
      </w:r>
      <w:proofErr w:type="spellEnd"/>
      <w:r w:rsidR="00A53481">
        <w:t xml:space="preserve"> </w:t>
      </w:r>
      <w:proofErr w:type="spellStart"/>
      <w:r w:rsidR="00A53481">
        <w:t>PCell</w:t>
      </w:r>
      <w:proofErr w:type="spellEnd"/>
      <w:r w:rsidR="00A53481">
        <w:t xml:space="preserve">.  However, because the LO of the UE configured for CA is located at the </w:t>
      </w:r>
      <w:proofErr w:type="spellStart"/>
      <w:r w:rsidR="00A53481">
        <w:t>center</w:t>
      </w:r>
      <w:proofErr w:type="spellEnd"/>
      <w:r w:rsidR="00A53481">
        <w:t xml:space="preserve"> of the aggregated bandwidth, the required A-MPR is often much different than that for the UE configured for single CC operation, and this is especially true in the case that additional emissions requirements are signalled to the UE.  As a result, when choosing the PUCCH region for the component carriers, the A-MPR requirements for both the single CC UE and the CA UE must be taken into account.</w:t>
      </w:r>
    </w:p>
    <w:p w:rsidR="00636588" w:rsidRDefault="00636588" w:rsidP="005062F8">
      <w:pPr>
        <w:shd w:val="clear" w:color="auto" w:fill="FFFFFF"/>
      </w:pPr>
    </w:p>
    <w:p w:rsidR="00A53481" w:rsidRDefault="00636588" w:rsidP="005062F8">
      <w:pPr>
        <w:shd w:val="clear" w:color="auto" w:fill="FFFFFF"/>
      </w:pPr>
      <w:r>
        <w:t xml:space="preserve">For the examples considered in this contribution, it is necessary to over-provision the PUCCH region in order to reduce the PUCCH A-MPR for </w:t>
      </w:r>
      <w:proofErr w:type="spellStart"/>
      <w:r>
        <w:t>UE’s</w:t>
      </w:r>
      <w:proofErr w:type="spellEnd"/>
      <w:r>
        <w:t xml:space="preserve"> configured for CA, even though over-provisioning </w:t>
      </w:r>
      <w:r w:rsidR="00E2260C">
        <w:t xml:space="preserve">is not necessary for the </w:t>
      </w:r>
      <w:proofErr w:type="spellStart"/>
      <w:r w:rsidR="00E2260C">
        <w:t>UE’s</w:t>
      </w:r>
      <w:proofErr w:type="spellEnd"/>
      <w:r w:rsidR="00E2260C">
        <w:t xml:space="preserve"> configured for single CC operation.  As a result, for the examples considered here, it is not possible to have contiguous resource allocations with allocation ratios greater than 0.25 when any UE in the cell is transmitting on the PUCCH.  It can be observed that for allocation ratios of 0.25, the difference between contiguous and non-contiguous A-MPR can be as large as 11 dB and 12 dB for CA_NS_08 and CA_NS_01, respectively.</w:t>
      </w:r>
    </w:p>
    <w:p w:rsidR="00937E25" w:rsidRDefault="00937E25" w:rsidP="00937E25">
      <w:pPr>
        <w:tabs>
          <w:tab w:val="left" w:pos="4470"/>
        </w:tabs>
      </w:pPr>
    </w:p>
    <w:p w:rsidR="00E2260C" w:rsidRDefault="00E2260C" w:rsidP="00937E25">
      <w:pPr>
        <w:tabs>
          <w:tab w:val="left" w:pos="4470"/>
        </w:tabs>
      </w:pPr>
    </w:p>
    <w:p w:rsidR="00E2260C" w:rsidRPr="00937E25" w:rsidRDefault="00E2260C" w:rsidP="00937E25">
      <w:pPr>
        <w:tabs>
          <w:tab w:val="left" w:pos="4470"/>
        </w:tabs>
        <w:rPr>
          <w:b/>
          <w:sz w:val="22"/>
          <w:szCs w:val="22"/>
        </w:rPr>
      </w:pPr>
    </w:p>
    <w:p w:rsidR="008C2811" w:rsidRDefault="00900DAE" w:rsidP="008C2811">
      <w:pPr>
        <w:pStyle w:val="Heading1"/>
        <w:numPr>
          <w:ilvl w:val="0"/>
          <w:numId w:val="0"/>
        </w:numPr>
        <w:spacing w:before="0" w:after="120"/>
        <w:jc w:val="both"/>
        <w:rPr>
          <w:b/>
          <w:color w:val="000000"/>
        </w:rPr>
      </w:pPr>
      <w:r w:rsidRPr="003D1980">
        <w:rPr>
          <w:b/>
          <w:color w:val="000000"/>
        </w:rPr>
        <w:t>References</w:t>
      </w:r>
    </w:p>
    <w:p w:rsidR="00A879A8" w:rsidRPr="00A879A8" w:rsidRDefault="00A879A8" w:rsidP="00A879A8"/>
    <w:p w:rsidR="000042A5" w:rsidRDefault="000042A5" w:rsidP="00E35CF2">
      <w:pPr>
        <w:pStyle w:val="11BodyText"/>
        <w:numPr>
          <w:ilvl w:val="0"/>
          <w:numId w:val="5"/>
        </w:numPr>
        <w:rPr>
          <w:rFonts w:ascii="Times New Roman" w:hAnsi="Times New Roman"/>
          <w:sz w:val="22"/>
          <w:lang w:val="en-US"/>
        </w:rPr>
      </w:pPr>
      <w:r>
        <w:rPr>
          <w:rFonts w:ascii="Times New Roman" w:hAnsi="Times New Roman"/>
          <w:sz w:val="22"/>
          <w:lang w:val="en-US"/>
        </w:rPr>
        <w:t>3GPP TS 36.101</w:t>
      </w:r>
    </w:p>
    <w:p w:rsidR="000042A5" w:rsidRDefault="000042A5" w:rsidP="00E35CF2">
      <w:pPr>
        <w:pStyle w:val="11BodyText"/>
        <w:numPr>
          <w:ilvl w:val="0"/>
          <w:numId w:val="5"/>
        </w:numPr>
        <w:rPr>
          <w:rFonts w:ascii="Times New Roman" w:hAnsi="Times New Roman"/>
          <w:sz w:val="22"/>
          <w:lang w:val="en-US"/>
        </w:rPr>
      </w:pPr>
      <w:r>
        <w:rPr>
          <w:rFonts w:ascii="Times New Roman" w:hAnsi="Times New Roman"/>
          <w:sz w:val="22"/>
          <w:lang w:val="en-US"/>
        </w:rPr>
        <w:t xml:space="preserve">R4-156318, </w:t>
      </w:r>
      <w:r w:rsidRPr="000042A5">
        <w:rPr>
          <w:rFonts w:ascii="Times New Roman" w:hAnsi="Times New Roman"/>
          <w:sz w:val="22"/>
          <w:lang w:val="en-US"/>
        </w:rPr>
        <w:t>B42C CA_NS_08 A-MPR</w:t>
      </w:r>
      <w:r>
        <w:rPr>
          <w:rFonts w:ascii="Times New Roman" w:hAnsi="Times New Roman"/>
          <w:sz w:val="22"/>
          <w:lang w:val="en-US"/>
        </w:rPr>
        <w:t xml:space="preserve">, Qualcomm Incorporated, RAN4 #76bis, </w:t>
      </w:r>
    </w:p>
    <w:p w:rsidR="00D3089C" w:rsidRDefault="00D3089C" w:rsidP="00C059CD">
      <w:pPr>
        <w:pStyle w:val="11BodyText"/>
        <w:numPr>
          <w:ilvl w:val="0"/>
          <w:numId w:val="5"/>
        </w:numPr>
        <w:rPr>
          <w:rFonts w:ascii="Times New Roman" w:hAnsi="Times New Roman"/>
          <w:sz w:val="22"/>
          <w:lang w:val="en-US"/>
        </w:rPr>
      </w:pPr>
      <w:r w:rsidRPr="00D3089C">
        <w:rPr>
          <w:rFonts w:ascii="Times New Roman" w:hAnsi="Times New Roman"/>
          <w:sz w:val="22"/>
          <w:lang w:val="en-US"/>
        </w:rPr>
        <w:t>R4-150925</w:t>
      </w:r>
      <w:r>
        <w:rPr>
          <w:rFonts w:ascii="Times New Roman" w:hAnsi="Times New Roman"/>
          <w:sz w:val="22"/>
          <w:lang w:val="en-US"/>
        </w:rPr>
        <w:t xml:space="preserve">, </w:t>
      </w:r>
      <w:r w:rsidRPr="00D3089C">
        <w:rPr>
          <w:rFonts w:ascii="Times New Roman" w:hAnsi="Times New Roman"/>
          <w:sz w:val="22"/>
          <w:lang w:val="en-US"/>
        </w:rPr>
        <w:t xml:space="preserve">A-MPR for CA with </w:t>
      </w:r>
      <w:r w:rsidR="004079D7">
        <w:rPr>
          <w:rFonts w:ascii="Times New Roman" w:hAnsi="Times New Roman"/>
          <w:sz w:val="22"/>
          <w:lang w:val="en-US"/>
        </w:rPr>
        <w:t>Almost-contiguous</w:t>
      </w:r>
      <w:r w:rsidRPr="00D3089C">
        <w:rPr>
          <w:rFonts w:ascii="Times New Roman" w:hAnsi="Times New Roman"/>
          <w:sz w:val="22"/>
          <w:lang w:val="en-US"/>
        </w:rPr>
        <w:t xml:space="preserve"> Resource Allocations and CA_NS </w:t>
      </w:r>
      <w:r>
        <w:rPr>
          <w:rFonts w:ascii="Times New Roman" w:hAnsi="Times New Roman"/>
          <w:sz w:val="22"/>
          <w:lang w:val="en-US"/>
        </w:rPr>
        <w:t>signaling, Motorola Mobility, RAN4 #74.</w:t>
      </w:r>
    </w:p>
    <w:p w:rsidR="0039228D" w:rsidRDefault="00370B7E" w:rsidP="00C059CD">
      <w:pPr>
        <w:pStyle w:val="11BodyText"/>
        <w:numPr>
          <w:ilvl w:val="0"/>
          <w:numId w:val="5"/>
        </w:numPr>
        <w:rPr>
          <w:rFonts w:ascii="Times New Roman" w:hAnsi="Times New Roman"/>
          <w:sz w:val="22"/>
          <w:lang w:val="en-US"/>
        </w:rPr>
      </w:pPr>
      <w:r>
        <w:rPr>
          <w:rFonts w:ascii="Times New Roman" w:hAnsi="Times New Roman"/>
          <w:sz w:val="22"/>
          <w:lang w:val="en-US"/>
        </w:rPr>
        <w:t xml:space="preserve">R4-152218, A-MPR Reduction for Contiguous CA with </w:t>
      </w:r>
      <w:r w:rsidR="004079D7">
        <w:rPr>
          <w:rFonts w:ascii="Times New Roman" w:hAnsi="Times New Roman"/>
          <w:sz w:val="22"/>
          <w:lang w:val="en-US"/>
        </w:rPr>
        <w:t>Almost-contiguous</w:t>
      </w:r>
      <w:r>
        <w:rPr>
          <w:rFonts w:ascii="Times New Roman" w:hAnsi="Times New Roman"/>
          <w:sz w:val="22"/>
          <w:lang w:val="en-US"/>
        </w:rPr>
        <w:t xml:space="preserve"> Resource Allocations, Motorola Mobility, RAN4 #74bis.</w:t>
      </w:r>
    </w:p>
    <w:p w:rsidR="00BF66E5" w:rsidRPr="000042A5" w:rsidRDefault="00DE618C" w:rsidP="000042A5">
      <w:pPr>
        <w:pStyle w:val="11BodyText"/>
        <w:numPr>
          <w:ilvl w:val="0"/>
          <w:numId w:val="5"/>
        </w:numPr>
        <w:rPr>
          <w:rFonts w:ascii="Times New Roman" w:hAnsi="Times New Roman"/>
          <w:sz w:val="22"/>
          <w:lang w:val="en-US"/>
        </w:rPr>
      </w:pPr>
      <w:r>
        <w:rPr>
          <w:rFonts w:ascii="Times New Roman" w:hAnsi="Times New Roman"/>
          <w:sz w:val="22"/>
          <w:lang w:val="en-US"/>
        </w:rPr>
        <w:t>R4-153393, A-MPR for Almost Contiguous Resource Allocations, Motorola Mobility, RAN4</w:t>
      </w:r>
      <w:r w:rsidR="005F4F3E">
        <w:rPr>
          <w:rFonts w:ascii="Times New Roman" w:hAnsi="Times New Roman"/>
          <w:sz w:val="22"/>
          <w:lang w:val="en-US"/>
        </w:rPr>
        <w:t xml:space="preserve"> </w:t>
      </w:r>
      <w:r>
        <w:rPr>
          <w:rFonts w:ascii="Times New Roman" w:hAnsi="Times New Roman"/>
          <w:sz w:val="22"/>
          <w:lang w:val="en-US"/>
        </w:rPr>
        <w:t>#75.</w:t>
      </w:r>
    </w:p>
    <w:p w:rsidR="007B28B3" w:rsidRPr="007B181D" w:rsidRDefault="00101904" w:rsidP="007B181D">
      <w:pPr>
        <w:pStyle w:val="11BodyText"/>
        <w:numPr>
          <w:ilvl w:val="0"/>
          <w:numId w:val="5"/>
        </w:numPr>
        <w:rPr>
          <w:rFonts w:ascii="Times New Roman" w:hAnsi="Times New Roman"/>
          <w:sz w:val="22"/>
          <w:lang w:val="en-US"/>
        </w:rPr>
      </w:pPr>
      <w:r w:rsidRPr="000042A5">
        <w:rPr>
          <w:rFonts w:ascii="Times New Roman" w:hAnsi="Times New Roman"/>
          <w:bCs/>
          <w:sz w:val="22"/>
        </w:rPr>
        <w:t>R4</w:t>
      </w:r>
      <w:r w:rsidRPr="000042A5">
        <w:rPr>
          <w:rFonts w:ascii="Times New Roman" w:hAnsi="Times New Roman"/>
          <w:bCs/>
          <w:sz w:val="22"/>
          <w:lang w:val="en-US"/>
        </w:rPr>
        <w:t>-</w:t>
      </w:r>
      <w:r w:rsidRPr="000042A5">
        <w:rPr>
          <w:rFonts w:ascii="Times New Roman" w:hAnsi="Times New Roman"/>
          <w:sz w:val="22"/>
          <w:lang w:val="en-US"/>
        </w:rPr>
        <w:t>155081,</w:t>
      </w:r>
      <w:r w:rsidRPr="000042A5">
        <w:rPr>
          <w:rFonts w:ascii="Times New Roman" w:hAnsi="Times New Roman"/>
          <w:bCs/>
          <w:sz w:val="22"/>
          <w:lang w:val="en-US"/>
        </w:rPr>
        <w:t xml:space="preserve"> Almost-Contiguous A-MPR for Band 42 with CA_NS_08, Motorola Mobility, RAN4 #76.</w:t>
      </w:r>
    </w:p>
    <w:sectPr w:rsidR="007B28B3" w:rsidRPr="007B181D" w:rsidSect="00CA686D">
      <w:footerReference w:type="default" r:id="rId13"/>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C86" w:rsidRDefault="003C1C86">
      <w:r>
        <w:separator/>
      </w:r>
    </w:p>
  </w:endnote>
  <w:endnote w:type="continuationSeparator" w:id="0">
    <w:p w:rsidR="003C1C86" w:rsidRDefault="003C1C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仿宋">
    <w:altName w:val="Arial Unicode MS"/>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4B0" w:rsidRDefault="007E24B0">
    <w:pPr>
      <w:pStyle w:val="Footer"/>
      <w:jc w:val="center"/>
    </w:pPr>
    <w:r>
      <w:rPr>
        <w:rStyle w:val="PageNumber"/>
        <w:rFonts w:eastAsia="MS Gothic"/>
      </w:rPr>
      <w:t xml:space="preserve">- </w:t>
    </w:r>
    <w:r w:rsidR="00FC4990">
      <w:rPr>
        <w:rStyle w:val="PageNumber"/>
        <w:rFonts w:eastAsia="MS Gothic"/>
      </w:rPr>
      <w:fldChar w:fldCharType="begin"/>
    </w:r>
    <w:r>
      <w:rPr>
        <w:rStyle w:val="PageNumber"/>
        <w:rFonts w:eastAsia="MS Gothic"/>
      </w:rPr>
      <w:instrText xml:space="preserve"> PAGE </w:instrText>
    </w:r>
    <w:r w:rsidR="00FC4990">
      <w:rPr>
        <w:rStyle w:val="PageNumber"/>
        <w:rFonts w:eastAsia="MS Gothic"/>
      </w:rPr>
      <w:fldChar w:fldCharType="separate"/>
    </w:r>
    <w:r w:rsidR="00315008">
      <w:rPr>
        <w:rStyle w:val="PageNumber"/>
        <w:rFonts w:eastAsia="MS Gothic"/>
        <w:noProof/>
      </w:rPr>
      <w:t>5</w:t>
    </w:r>
    <w:r w:rsidR="00FC4990">
      <w:rPr>
        <w:rStyle w:val="PageNumber"/>
        <w:rFonts w:eastAsia="MS Gothic"/>
      </w:rPr>
      <w:fldChar w:fldCharType="end"/>
    </w:r>
    <w:r>
      <w:rPr>
        <w:rStyle w:val="PageNumber"/>
        <w:rFonts w:eastAsia="MS Gothic"/>
      </w:rPr>
      <w:t>/</w:t>
    </w:r>
    <w:r w:rsidR="00FC4990">
      <w:rPr>
        <w:rStyle w:val="PageNumber"/>
        <w:rFonts w:eastAsia="MS Gothic"/>
      </w:rPr>
      <w:fldChar w:fldCharType="begin"/>
    </w:r>
    <w:r>
      <w:rPr>
        <w:rStyle w:val="PageNumber"/>
        <w:rFonts w:eastAsia="MS Gothic"/>
      </w:rPr>
      <w:instrText xml:space="preserve"> NUMPAGES </w:instrText>
    </w:r>
    <w:r w:rsidR="00FC4990">
      <w:rPr>
        <w:rStyle w:val="PageNumber"/>
        <w:rFonts w:eastAsia="MS Gothic"/>
      </w:rPr>
      <w:fldChar w:fldCharType="separate"/>
    </w:r>
    <w:r w:rsidR="00315008">
      <w:rPr>
        <w:rStyle w:val="PageNumber"/>
        <w:rFonts w:eastAsia="MS Gothic"/>
        <w:noProof/>
      </w:rPr>
      <w:t>5</w:t>
    </w:r>
    <w:r w:rsidR="00FC4990">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C86" w:rsidRDefault="003C1C86">
      <w:r>
        <w:separator/>
      </w:r>
    </w:p>
  </w:footnote>
  <w:footnote w:type="continuationSeparator" w:id="0">
    <w:p w:rsidR="003C1C86" w:rsidRDefault="003C1C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8B7BBD"/>
    <w:multiLevelType w:val="hybridMultilevel"/>
    <w:tmpl w:val="169234D8"/>
    <w:lvl w:ilvl="0" w:tplc="140EE3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F9E599F"/>
    <w:multiLevelType w:val="hybridMultilevel"/>
    <w:tmpl w:val="401AA0C0"/>
    <w:lvl w:ilvl="0" w:tplc="EF1EF8D2">
      <w:start w:val="1"/>
      <w:numFmt w:val="lowerRoman"/>
      <w:lvlText w:val="%1)"/>
      <w:lvlJc w:val="left"/>
      <w:pPr>
        <w:ind w:left="1800" w:hanging="720"/>
      </w:pPr>
      <w:rPr>
        <w:rFonts w:hint="default"/>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5">
    <w:nsid w:val="157D10A0"/>
    <w:multiLevelType w:val="hybridMultilevel"/>
    <w:tmpl w:val="F2A2D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1770697"/>
    <w:multiLevelType w:val="hybridMultilevel"/>
    <w:tmpl w:val="2040B25A"/>
    <w:lvl w:ilvl="0" w:tplc="E7E61B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BE2E0F"/>
    <w:multiLevelType w:val="hybridMultilevel"/>
    <w:tmpl w:val="442E0C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9067B07"/>
    <w:multiLevelType w:val="hybridMultilevel"/>
    <w:tmpl w:val="4058D344"/>
    <w:lvl w:ilvl="0" w:tplc="8DDEF0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322546"/>
    <w:multiLevelType w:val="hybridMultilevel"/>
    <w:tmpl w:val="427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71C6C83"/>
    <w:multiLevelType w:val="hybridMultilevel"/>
    <w:tmpl w:val="06C41094"/>
    <w:lvl w:ilvl="0" w:tplc="AC98DF74">
      <w:start w:val="1"/>
      <w:numFmt w:val="low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9">
    <w:nsid w:val="3D61001B"/>
    <w:multiLevelType w:val="multilevel"/>
    <w:tmpl w:val="BF0012A4"/>
    <w:lvl w:ilvl="0">
      <w:start w:val="1"/>
      <w:numFmt w:val="decimalZero"/>
      <w:pStyle w:val="Para0-99"/>
      <w:lvlText w:val="[00%1]"/>
      <w:lvlJc w:val="left"/>
      <w:pPr>
        <w:tabs>
          <w:tab w:val="num" w:pos="1080"/>
        </w:tabs>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0720686"/>
    <w:multiLevelType w:val="hybridMultilevel"/>
    <w:tmpl w:val="0FCA0FDE"/>
    <w:lvl w:ilvl="0" w:tplc="623AE7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1A0CDA"/>
    <w:multiLevelType w:val="hybridMultilevel"/>
    <w:tmpl w:val="AA7C0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DD25A1"/>
    <w:multiLevelType w:val="hybridMultilevel"/>
    <w:tmpl w:val="9626CF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C5F192E"/>
    <w:multiLevelType w:val="hybridMultilevel"/>
    <w:tmpl w:val="58760A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550C36"/>
    <w:multiLevelType w:val="hybridMultilevel"/>
    <w:tmpl w:val="F9C0F042"/>
    <w:lvl w:ilvl="0" w:tplc="F8FA3D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28A4D96"/>
    <w:multiLevelType w:val="hybridMultilevel"/>
    <w:tmpl w:val="4C42FE9E"/>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67AD2ABD"/>
    <w:multiLevelType w:val="hybridMultilevel"/>
    <w:tmpl w:val="993635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1E9513E"/>
    <w:multiLevelType w:val="hybridMultilevel"/>
    <w:tmpl w:val="57DCE896"/>
    <w:lvl w:ilvl="0" w:tplc="280A74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6D5562"/>
    <w:multiLevelType w:val="hybridMultilevel"/>
    <w:tmpl w:val="A9CC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F89775E"/>
    <w:multiLevelType w:val="hybridMultilevel"/>
    <w:tmpl w:val="55E6E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36"/>
  </w:num>
  <w:num w:numId="4">
    <w:abstractNumId w:val="16"/>
  </w:num>
  <w:num w:numId="5">
    <w:abstractNumId w:val="8"/>
  </w:num>
  <w:num w:numId="6">
    <w:abstractNumId w:val="41"/>
  </w:num>
  <w:num w:numId="7">
    <w:abstractNumId w:val="4"/>
  </w:num>
  <w:num w:numId="8">
    <w:abstractNumId w:val="35"/>
  </w:num>
  <w:num w:numId="9">
    <w:abstractNumId w:val="18"/>
  </w:num>
  <w:num w:numId="10">
    <w:abstractNumId w:val="29"/>
  </w:num>
  <w:num w:numId="11">
    <w:abstractNumId w:val="36"/>
  </w:num>
  <w:num w:numId="12">
    <w:abstractNumId w:val="20"/>
  </w:num>
  <w:num w:numId="13">
    <w:abstractNumId w:val="27"/>
  </w:num>
  <w:num w:numId="14">
    <w:abstractNumId w:val="7"/>
  </w:num>
  <w:num w:numId="15">
    <w:abstractNumId w:val="1"/>
  </w:num>
  <w:num w:numId="16">
    <w:abstractNumId w:val="31"/>
  </w:num>
  <w:num w:numId="17">
    <w:abstractNumId w:val="37"/>
  </w:num>
  <w:num w:numId="18">
    <w:abstractNumId w:val="40"/>
  </w:num>
  <w:num w:numId="19">
    <w:abstractNumId w:val="15"/>
  </w:num>
  <w:num w:numId="20">
    <w:abstractNumId w:val="11"/>
  </w:num>
  <w:num w:numId="21">
    <w:abstractNumId w:val="25"/>
  </w:num>
  <w:num w:numId="22">
    <w:abstractNumId w:val="6"/>
  </w:num>
  <w:num w:numId="23">
    <w:abstractNumId w:val="32"/>
  </w:num>
  <w:num w:numId="24">
    <w:abstractNumId w:val="24"/>
  </w:num>
  <w:num w:numId="25">
    <w:abstractNumId w:val="9"/>
  </w:num>
  <w:num w:numId="26">
    <w:abstractNumId w:val="39"/>
  </w:num>
  <w:num w:numId="27">
    <w:abstractNumId w:val="23"/>
  </w:num>
  <w:num w:numId="28">
    <w:abstractNumId w:val="2"/>
  </w:num>
  <w:num w:numId="29">
    <w:abstractNumId w:val="30"/>
  </w:num>
  <w:num w:numId="30">
    <w:abstractNumId w:val="28"/>
  </w:num>
  <w:num w:numId="31">
    <w:abstractNumId w:val="10"/>
  </w:num>
  <w:num w:numId="32">
    <w:abstractNumId w:val="13"/>
  </w:num>
  <w:num w:numId="33">
    <w:abstractNumId w:val="42"/>
  </w:num>
  <w:num w:numId="34">
    <w:abstractNumId w:val="34"/>
  </w:num>
  <w:num w:numId="35">
    <w:abstractNumId w:val="26"/>
  </w:num>
  <w:num w:numId="36">
    <w:abstractNumId w:val="19"/>
  </w:num>
  <w:num w:numId="37">
    <w:abstractNumId w:val="12"/>
  </w:num>
  <w:num w:numId="38">
    <w:abstractNumId w:val="22"/>
  </w:num>
  <w:num w:numId="39">
    <w:abstractNumId w:val="14"/>
  </w:num>
  <w:num w:numId="40">
    <w:abstractNumId w:val="38"/>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5"/>
  </w:num>
  <w:num w:numId="44">
    <w:abstractNumId w:val="3"/>
  </w:num>
  <w:num w:numId="45">
    <w:abstractNumId w:val="1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89090">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40E"/>
    <w:rsid w:val="0000255B"/>
    <w:rsid w:val="00003973"/>
    <w:rsid w:val="00003A56"/>
    <w:rsid w:val="000042A5"/>
    <w:rsid w:val="0000530F"/>
    <w:rsid w:val="00005C60"/>
    <w:rsid w:val="0000600D"/>
    <w:rsid w:val="000065F7"/>
    <w:rsid w:val="00010CB1"/>
    <w:rsid w:val="00011941"/>
    <w:rsid w:val="0001251B"/>
    <w:rsid w:val="0001297C"/>
    <w:rsid w:val="00012DFF"/>
    <w:rsid w:val="00012E98"/>
    <w:rsid w:val="000131E4"/>
    <w:rsid w:val="000139A9"/>
    <w:rsid w:val="000153FF"/>
    <w:rsid w:val="00015E0A"/>
    <w:rsid w:val="00016846"/>
    <w:rsid w:val="00016BE7"/>
    <w:rsid w:val="0001734F"/>
    <w:rsid w:val="000173ED"/>
    <w:rsid w:val="000208F2"/>
    <w:rsid w:val="00021545"/>
    <w:rsid w:val="000219CD"/>
    <w:rsid w:val="00022E12"/>
    <w:rsid w:val="000233B7"/>
    <w:rsid w:val="00024474"/>
    <w:rsid w:val="0002447B"/>
    <w:rsid w:val="00025D3B"/>
    <w:rsid w:val="0002724D"/>
    <w:rsid w:val="0003024D"/>
    <w:rsid w:val="000319C0"/>
    <w:rsid w:val="00031B8A"/>
    <w:rsid w:val="000339FC"/>
    <w:rsid w:val="00034A93"/>
    <w:rsid w:val="00034E72"/>
    <w:rsid w:val="00035038"/>
    <w:rsid w:val="00035722"/>
    <w:rsid w:val="00035CCE"/>
    <w:rsid w:val="00036917"/>
    <w:rsid w:val="000373FB"/>
    <w:rsid w:val="00037C0E"/>
    <w:rsid w:val="00037D20"/>
    <w:rsid w:val="000404A6"/>
    <w:rsid w:val="00040ACA"/>
    <w:rsid w:val="00041699"/>
    <w:rsid w:val="00041715"/>
    <w:rsid w:val="00043CE6"/>
    <w:rsid w:val="000445C0"/>
    <w:rsid w:val="00044B4D"/>
    <w:rsid w:val="0004558E"/>
    <w:rsid w:val="0004620F"/>
    <w:rsid w:val="00046C36"/>
    <w:rsid w:val="000473AF"/>
    <w:rsid w:val="000473C8"/>
    <w:rsid w:val="000474F1"/>
    <w:rsid w:val="000478E7"/>
    <w:rsid w:val="00047C54"/>
    <w:rsid w:val="00047E01"/>
    <w:rsid w:val="00047EB1"/>
    <w:rsid w:val="000501EB"/>
    <w:rsid w:val="00050401"/>
    <w:rsid w:val="00050BAA"/>
    <w:rsid w:val="000514EA"/>
    <w:rsid w:val="00051B43"/>
    <w:rsid w:val="00051BB4"/>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0B"/>
    <w:rsid w:val="00063997"/>
    <w:rsid w:val="0006633E"/>
    <w:rsid w:val="00066EA6"/>
    <w:rsid w:val="00066FAF"/>
    <w:rsid w:val="00067AD3"/>
    <w:rsid w:val="00070323"/>
    <w:rsid w:val="00070BD1"/>
    <w:rsid w:val="00071314"/>
    <w:rsid w:val="00071382"/>
    <w:rsid w:val="00071987"/>
    <w:rsid w:val="00072998"/>
    <w:rsid w:val="00073891"/>
    <w:rsid w:val="0007585B"/>
    <w:rsid w:val="000761E9"/>
    <w:rsid w:val="0007776E"/>
    <w:rsid w:val="00080907"/>
    <w:rsid w:val="00081697"/>
    <w:rsid w:val="00081C3F"/>
    <w:rsid w:val="0008201A"/>
    <w:rsid w:val="00082A22"/>
    <w:rsid w:val="0008390F"/>
    <w:rsid w:val="000840C3"/>
    <w:rsid w:val="000850E1"/>
    <w:rsid w:val="0008577F"/>
    <w:rsid w:val="00086246"/>
    <w:rsid w:val="00086611"/>
    <w:rsid w:val="00086C10"/>
    <w:rsid w:val="00086D89"/>
    <w:rsid w:val="0008771A"/>
    <w:rsid w:val="000900C9"/>
    <w:rsid w:val="00092BE4"/>
    <w:rsid w:val="00092D77"/>
    <w:rsid w:val="00093F84"/>
    <w:rsid w:val="00094631"/>
    <w:rsid w:val="0009490A"/>
    <w:rsid w:val="00095181"/>
    <w:rsid w:val="0009643A"/>
    <w:rsid w:val="000966A3"/>
    <w:rsid w:val="00096728"/>
    <w:rsid w:val="00096C08"/>
    <w:rsid w:val="00097021"/>
    <w:rsid w:val="00097E0F"/>
    <w:rsid w:val="000A0315"/>
    <w:rsid w:val="000A053B"/>
    <w:rsid w:val="000A0C59"/>
    <w:rsid w:val="000A0D64"/>
    <w:rsid w:val="000A0D90"/>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746"/>
    <w:rsid w:val="000B1BDB"/>
    <w:rsid w:val="000B244F"/>
    <w:rsid w:val="000B2B16"/>
    <w:rsid w:val="000B442C"/>
    <w:rsid w:val="000B46A2"/>
    <w:rsid w:val="000B4AA2"/>
    <w:rsid w:val="000B53EB"/>
    <w:rsid w:val="000B540E"/>
    <w:rsid w:val="000B5591"/>
    <w:rsid w:val="000B57BE"/>
    <w:rsid w:val="000B6715"/>
    <w:rsid w:val="000B6737"/>
    <w:rsid w:val="000B7BFE"/>
    <w:rsid w:val="000C0010"/>
    <w:rsid w:val="000C0B19"/>
    <w:rsid w:val="000C0F4D"/>
    <w:rsid w:val="000C1BDD"/>
    <w:rsid w:val="000C2058"/>
    <w:rsid w:val="000C21A2"/>
    <w:rsid w:val="000C259D"/>
    <w:rsid w:val="000C2B5C"/>
    <w:rsid w:val="000C2D27"/>
    <w:rsid w:val="000C2E07"/>
    <w:rsid w:val="000C3236"/>
    <w:rsid w:val="000C3DF3"/>
    <w:rsid w:val="000C49BD"/>
    <w:rsid w:val="000C54DC"/>
    <w:rsid w:val="000C58B9"/>
    <w:rsid w:val="000C664F"/>
    <w:rsid w:val="000C735F"/>
    <w:rsid w:val="000C73D8"/>
    <w:rsid w:val="000C76AD"/>
    <w:rsid w:val="000D0184"/>
    <w:rsid w:val="000D0461"/>
    <w:rsid w:val="000D0465"/>
    <w:rsid w:val="000D05C5"/>
    <w:rsid w:val="000D0F6A"/>
    <w:rsid w:val="000D26B1"/>
    <w:rsid w:val="000D2BBB"/>
    <w:rsid w:val="000D3567"/>
    <w:rsid w:val="000D41B8"/>
    <w:rsid w:val="000D4E5A"/>
    <w:rsid w:val="000D54AA"/>
    <w:rsid w:val="000D571C"/>
    <w:rsid w:val="000D5D1B"/>
    <w:rsid w:val="000D6509"/>
    <w:rsid w:val="000D6548"/>
    <w:rsid w:val="000D6B81"/>
    <w:rsid w:val="000D6FD8"/>
    <w:rsid w:val="000D7D6C"/>
    <w:rsid w:val="000D7E41"/>
    <w:rsid w:val="000E0145"/>
    <w:rsid w:val="000E0529"/>
    <w:rsid w:val="000E0606"/>
    <w:rsid w:val="000E070C"/>
    <w:rsid w:val="000E0829"/>
    <w:rsid w:val="000E1BAF"/>
    <w:rsid w:val="000E2243"/>
    <w:rsid w:val="000E31E6"/>
    <w:rsid w:val="000E44C6"/>
    <w:rsid w:val="000E4940"/>
    <w:rsid w:val="000E50BF"/>
    <w:rsid w:val="000E571C"/>
    <w:rsid w:val="000E58B4"/>
    <w:rsid w:val="000E598D"/>
    <w:rsid w:val="000E5AA1"/>
    <w:rsid w:val="000F0059"/>
    <w:rsid w:val="000F01EC"/>
    <w:rsid w:val="000F1F9D"/>
    <w:rsid w:val="000F257C"/>
    <w:rsid w:val="000F27F8"/>
    <w:rsid w:val="000F2C7F"/>
    <w:rsid w:val="000F2F8A"/>
    <w:rsid w:val="000F336B"/>
    <w:rsid w:val="000F3A57"/>
    <w:rsid w:val="000F45A0"/>
    <w:rsid w:val="000F45D7"/>
    <w:rsid w:val="000F470C"/>
    <w:rsid w:val="000F4A86"/>
    <w:rsid w:val="000F4D77"/>
    <w:rsid w:val="000F64C4"/>
    <w:rsid w:val="000F6E17"/>
    <w:rsid w:val="000F72F0"/>
    <w:rsid w:val="000F7B2D"/>
    <w:rsid w:val="0010015A"/>
    <w:rsid w:val="00100728"/>
    <w:rsid w:val="00101465"/>
    <w:rsid w:val="00101904"/>
    <w:rsid w:val="00101BE2"/>
    <w:rsid w:val="00101E3D"/>
    <w:rsid w:val="001024DA"/>
    <w:rsid w:val="00102A44"/>
    <w:rsid w:val="00102EFF"/>
    <w:rsid w:val="00103103"/>
    <w:rsid w:val="001038FC"/>
    <w:rsid w:val="00103939"/>
    <w:rsid w:val="00103BE0"/>
    <w:rsid w:val="00104416"/>
    <w:rsid w:val="00105E3E"/>
    <w:rsid w:val="001067AF"/>
    <w:rsid w:val="00106A25"/>
    <w:rsid w:val="0010732C"/>
    <w:rsid w:val="00107934"/>
    <w:rsid w:val="00111506"/>
    <w:rsid w:val="00111A25"/>
    <w:rsid w:val="00111B38"/>
    <w:rsid w:val="00111B99"/>
    <w:rsid w:val="00112138"/>
    <w:rsid w:val="00112926"/>
    <w:rsid w:val="001130CF"/>
    <w:rsid w:val="00115471"/>
    <w:rsid w:val="00115EBE"/>
    <w:rsid w:val="0011674F"/>
    <w:rsid w:val="0011733B"/>
    <w:rsid w:val="00117FE0"/>
    <w:rsid w:val="00120A55"/>
    <w:rsid w:val="00122527"/>
    <w:rsid w:val="001228EC"/>
    <w:rsid w:val="00123696"/>
    <w:rsid w:val="00123AFF"/>
    <w:rsid w:val="0012467C"/>
    <w:rsid w:val="00124B11"/>
    <w:rsid w:val="00130086"/>
    <w:rsid w:val="001301F9"/>
    <w:rsid w:val="001302E3"/>
    <w:rsid w:val="00131429"/>
    <w:rsid w:val="00131D85"/>
    <w:rsid w:val="00132B84"/>
    <w:rsid w:val="00132C75"/>
    <w:rsid w:val="001331DC"/>
    <w:rsid w:val="00133F70"/>
    <w:rsid w:val="001353C2"/>
    <w:rsid w:val="00135F39"/>
    <w:rsid w:val="00136244"/>
    <w:rsid w:val="00136640"/>
    <w:rsid w:val="00137B67"/>
    <w:rsid w:val="00137D34"/>
    <w:rsid w:val="00137E66"/>
    <w:rsid w:val="0014009D"/>
    <w:rsid w:val="00141234"/>
    <w:rsid w:val="0014168F"/>
    <w:rsid w:val="00141694"/>
    <w:rsid w:val="00141FB9"/>
    <w:rsid w:val="00142757"/>
    <w:rsid w:val="00142FEA"/>
    <w:rsid w:val="00143377"/>
    <w:rsid w:val="001437CA"/>
    <w:rsid w:val="00143A94"/>
    <w:rsid w:val="00143DBE"/>
    <w:rsid w:val="00144294"/>
    <w:rsid w:val="00144613"/>
    <w:rsid w:val="0014491B"/>
    <w:rsid w:val="00144EE2"/>
    <w:rsid w:val="001450AD"/>
    <w:rsid w:val="00146823"/>
    <w:rsid w:val="00146F5C"/>
    <w:rsid w:val="00147200"/>
    <w:rsid w:val="00150C74"/>
    <w:rsid w:val="00151A8D"/>
    <w:rsid w:val="00151F6D"/>
    <w:rsid w:val="00151FC5"/>
    <w:rsid w:val="0015215C"/>
    <w:rsid w:val="001532DD"/>
    <w:rsid w:val="00153490"/>
    <w:rsid w:val="0015365F"/>
    <w:rsid w:val="0015439F"/>
    <w:rsid w:val="001545B1"/>
    <w:rsid w:val="00154C6A"/>
    <w:rsid w:val="001551D0"/>
    <w:rsid w:val="00155549"/>
    <w:rsid w:val="00155694"/>
    <w:rsid w:val="00155951"/>
    <w:rsid w:val="00156214"/>
    <w:rsid w:val="0015737C"/>
    <w:rsid w:val="00157421"/>
    <w:rsid w:val="001606A8"/>
    <w:rsid w:val="00160828"/>
    <w:rsid w:val="00160971"/>
    <w:rsid w:val="00160E1D"/>
    <w:rsid w:val="001633BE"/>
    <w:rsid w:val="00163495"/>
    <w:rsid w:val="00164694"/>
    <w:rsid w:val="00165DE5"/>
    <w:rsid w:val="00165DE9"/>
    <w:rsid w:val="00166A44"/>
    <w:rsid w:val="00167F8D"/>
    <w:rsid w:val="00170154"/>
    <w:rsid w:val="00171579"/>
    <w:rsid w:val="001724ED"/>
    <w:rsid w:val="00172CA9"/>
    <w:rsid w:val="00172DB4"/>
    <w:rsid w:val="001736A5"/>
    <w:rsid w:val="00173903"/>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4AF"/>
    <w:rsid w:val="00182609"/>
    <w:rsid w:val="0018281E"/>
    <w:rsid w:val="0018284C"/>
    <w:rsid w:val="001829B9"/>
    <w:rsid w:val="00183771"/>
    <w:rsid w:val="001839EE"/>
    <w:rsid w:val="00183CEA"/>
    <w:rsid w:val="001840F4"/>
    <w:rsid w:val="00184388"/>
    <w:rsid w:val="00184392"/>
    <w:rsid w:val="00185456"/>
    <w:rsid w:val="00185D80"/>
    <w:rsid w:val="001875EA"/>
    <w:rsid w:val="00187C19"/>
    <w:rsid w:val="00187ED4"/>
    <w:rsid w:val="001900AC"/>
    <w:rsid w:val="00190D83"/>
    <w:rsid w:val="001912DD"/>
    <w:rsid w:val="00191569"/>
    <w:rsid w:val="00192850"/>
    <w:rsid w:val="00192CDE"/>
    <w:rsid w:val="001935CB"/>
    <w:rsid w:val="00193690"/>
    <w:rsid w:val="001939AD"/>
    <w:rsid w:val="00193B72"/>
    <w:rsid w:val="00193DA9"/>
    <w:rsid w:val="00193F6F"/>
    <w:rsid w:val="0019425B"/>
    <w:rsid w:val="00194F9B"/>
    <w:rsid w:val="00195253"/>
    <w:rsid w:val="001952D6"/>
    <w:rsid w:val="0019533E"/>
    <w:rsid w:val="001957DC"/>
    <w:rsid w:val="00195944"/>
    <w:rsid w:val="0019606F"/>
    <w:rsid w:val="00196F1E"/>
    <w:rsid w:val="0019703A"/>
    <w:rsid w:val="00197A8C"/>
    <w:rsid w:val="00197BA5"/>
    <w:rsid w:val="00197E3A"/>
    <w:rsid w:val="001A027C"/>
    <w:rsid w:val="001A0D10"/>
    <w:rsid w:val="001A130B"/>
    <w:rsid w:val="001A19DB"/>
    <w:rsid w:val="001A1E9B"/>
    <w:rsid w:val="001A2590"/>
    <w:rsid w:val="001A2F38"/>
    <w:rsid w:val="001A3C40"/>
    <w:rsid w:val="001A3D54"/>
    <w:rsid w:val="001A3E2A"/>
    <w:rsid w:val="001A4B90"/>
    <w:rsid w:val="001A627D"/>
    <w:rsid w:val="001A65A8"/>
    <w:rsid w:val="001A6D3D"/>
    <w:rsid w:val="001A731B"/>
    <w:rsid w:val="001B10FB"/>
    <w:rsid w:val="001B123E"/>
    <w:rsid w:val="001B13FB"/>
    <w:rsid w:val="001B20F1"/>
    <w:rsid w:val="001B2572"/>
    <w:rsid w:val="001B25FD"/>
    <w:rsid w:val="001B2C3D"/>
    <w:rsid w:val="001B3262"/>
    <w:rsid w:val="001B4373"/>
    <w:rsid w:val="001B5974"/>
    <w:rsid w:val="001B5F48"/>
    <w:rsid w:val="001B65E6"/>
    <w:rsid w:val="001B6F97"/>
    <w:rsid w:val="001B6FAA"/>
    <w:rsid w:val="001B703A"/>
    <w:rsid w:val="001B71B9"/>
    <w:rsid w:val="001C047A"/>
    <w:rsid w:val="001C06AE"/>
    <w:rsid w:val="001C12BD"/>
    <w:rsid w:val="001C16FD"/>
    <w:rsid w:val="001C211D"/>
    <w:rsid w:val="001C2D37"/>
    <w:rsid w:val="001C4595"/>
    <w:rsid w:val="001C4835"/>
    <w:rsid w:val="001C48FB"/>
    <w:rsid w:val="001C49E4"/>
    <w:rsid w:val="001C524F"/>
    <w:rsid w:val="001C558B"/>
    <w:rsid w:val="001C5CC8"/>
    <w:rsid w:val="001C5DD2"/>
    <w:rsid w:val="001C5F83"/>
    <w:rsid w:val="001C654B"/>
    <w:rsid w:val="001C68C7"/>
    <w:rsid w:val="001C6F5A"/>
    <w:rsid w:val="001C7209"/>
    <w:rsid w:val="001D02E1"/>
    <w:rsid w:val="001D0316"/>
    <w:rsid w:val="001D1A10"/>
    <w:rsid w:val="001D1B2D"/>
    <w:rsid w:val="001D1D55"/>
    <w:rsid w:val="001D33EB"/>
    <w:rsid w:val="001D3BFB"/>
    <w:rsid w:val="001D4097"/>
    <w:rsid w:val="001D491E"/>
    <w:rsid w:val="001D5150"/>
    <w:rsid w:val="001D59AA"/>
    <w:rsid w:val="001D5A30"/>
    <w:rsid w:val="001D67C0"/>
    <w:rsid w:val="001D6C5A"/>
    <w:rsid w:val="001E1A59"/>
    <w:rsid w:val="001E1B14"/>
    <w:rsid w:val="001E4282"/>
    <w:rsid w:val="001E42AC"/>
    <w:rsid w:val="001E4340"/>
    <w:rsid w:val="001E44CF"/>
    <w:rsid w:val="001E4B78"/>
    <w:rsid w:val="001E6BB3"/>
    <w:rsid w:val="001E763D"/>
    <w:rsid w:val="001E78AD"/>
    <w:rsid w:val="001E7F94"/>
    <w:rsid w:val="001F030E"/>
    <w:rsid w:val="001F0B5E"/>
    <w:rsid w:val="001F1D3C"/>
    <w:rsid w:val="001F2589"/>
    <w:rsid w:val="001F29D1"/>
    <w:rsid w:val="001F2D7A"/>
    <w:rsid w:val="001F2DE8"/>
    <w:rsid w:val="001F316B"/>
    <w:rsid w:val="001F330C"/>
    <w:rsid w:val="001F3F7C"/>
    <w:rsid w:val="001F442F"/>
    <w:rsid w:val="001F5374"/>
    <w:rsid w:val="001F55BE"/>
    <w:rsid w:val="001F59AC"/>
    <w:rsid w:val="001F67E2"/>
    <w:rsid w:val="001F694E"/>
    <w:rsid w:val="001F7468"/>
    <w:rsid w:val="001F74C1"/>
    <w:rsid w:val="001F75A0"/>
    <w:rsid w:val="00200717"/>
    <w:rsid w:val="00200AFA"/>
    <w:rsid w:val="00200B3A"/>
    <w:rsid w:val="00200BCA"/>
    <w:rsid w:val="00200EA2"/>
    <w:rsid w:val="0020144E"/>
    <w:rsid w:val="00202090"/>
    <w:rsid w:val="002035CF"/>
    <w:rsid w:val="00203C2A"/>
    <w:rsid w:val="002041ED"/>
    <w:rsid w:val="002042EE"/>
    <w:rsid w:val="002043A5"/>
    <w:rsid w:val="002048AE"/>
    <w:rsid w:val="00204B06"/>
    <w:rsid w:val="00204D02"/>
    <w:rsid w:val="00205562"/>
    <w:rsid w:val="00205C47"/>
    <w:rsid w:val="0020746F"/>
    <w:rsid w:val="00207591"/>
    <w:rsid w:val="00207B54"/>
    <w:rsid w:val="00211AF9"/>
    <w:rsid w:val="00213330"/>
    <w:rsid w:val="00214BFA"/>
    <w:rsid w:val="00215106"/>
    <w:rsid w:val="0021543B"/>
    <w:rsid w:val="002154CD"/>
    <w:rsid w:val="002155C0"/>
    <w:rsid w:val="0021680A"/>
    <w:rsid w:val="0021681A"/>
    <w:rsid w:val="00217D09"/>
    <w:rsid w:val="0022166D"/>
    <w:rsid w:val="00221826"/>
    <w:rsid w:val="0022207C"/>
    <w:rsid w:val="00222A2D"/>
    <w:rsid w:val="00224402"/>
    <w:rsid w:val="0022589B"/>
    <w:rsid w:val="0022678C"/>
    <w:rsid w:val="00226B0D"/>
    <w:rsid w:val="00226BF4"/>
    <w:rsid w:val="002273D4"/>
    <w:rsid w:val="00227736"/>
    <w:rsid w:val="002279F2"/>
    <w:rsid w:val="00227FDC"/>
    <w:rsid w:val="0023003F"/>
    <w:rsid w:val="0023142F"/>
    <w:rsid w:val="002318EF"/>
    <w:rsid w:val="002318F9"/>
    <w:rsid w:val="00231BE1"/>
    <w:rsid w:val="00231D85"/>
    <w:rsid w:val="00231E77"/>
    <w:rsid w:val="00233553"/>
    <w:rsid w:val="00233E8A"/>
    <w:rsid w:val="002343D8"/>
    <w:rsid w:val="00234D14"/>
    <w:rsid w:val="00235EA3"/>
    <w:rsid w:val="00235FD1"/>
    <w:rsid w:val="00236316"/>
    <w:rsid w:val="0023703D"/>
    <w:rsid w:val="002373B8"/>
    <w:rsid w:val="00237821"/>
    <w:rsid w:val="0024052C"/>
    <w:rsid w:val="00240BBC"/>
    <w:rsid w:val="002413D3"/>
    <w:rsid w:val="00241AD3"/>
    <w:rsid w:val="002422AB"/>
    <w:rsid w:val="00242873"/>
    <w:rsid w:val="00242B8D"/>
    <w:rsid w:val="00242BD8"/>
    <w:rsid w:val="00243123"/>
    <w:rsid w:val="0024327B"/>
    <w:rsid w:val="002435B9"/>
    <w:rsid w:val="00243F6B"/>
    <w:rsid w:val="0024496B"/>
    <w:rsid w:val="00246630"/>
    <w:rsid w:val="00246BC3"/>
    <w:rsid w:val="00247478"/>
    <w:rsid w:val="00247BE8"/>
    <w:rsid w:val="0025101E"/>
    <w:rsid w:val="002524E9"/>
    <w:rsid w:val="00252CB0"/>
    <w:rsid w:val="0025307B"/>
    <w:rsid w:val="00253C43"/>
    <w:rsid w:val="00253CF7"/>
    <w:rsid w:val="00254973"/>
    <w:rsid w:val="00254B50"/>
    <w:rsid w:val="00254B9D"/>
    <w:rsid w:val="002554AD"/>
    <w:rsid w:val="00255B6C"/>
    <w:rsid w:val="00256A5E"/>
    <w:rsid w:val="00256DC7"/>
    <w:rsid w:val="00256ECE"/>
    <w:rsid w:val="00257482"/>
    <w:rsid w:val="00257558"/>
    <w:rsid w:val="00257E18"/>
    <w:rsid w:val="002602CE"/>
    <w:rsid w:val="002603EF"/>
    <w:rsid w:val="002609EE"/>
    <w:rsid w:val="00260C7D"/>
    <w:rsid w:val="00261AED"/>
    <w:rsid w:val="00262223"/>
    <w:rsid w:val="00262359"/>
    <w:rsid w:val="00262442"/>
    <w:rsid w:val="0026255B"/>
    <w:rsid w:val="00262B2C"/>
    <w:rsid w:val="002632C3"/>
    <w:rsid w:val="00263F5B"/>
    <w:rsid w:val="002640D0"/>
    <w:rsid w:val="0026498A"/>
    <w:rsid w:val="002653A3"/>
    <w:rsid w:val="0026556D"/>
    <w:rsid w:val="00265F6D"/>
    <w:rsid w:val="0026689F"/>
    <w:rsid w:val="00266AC3"/>
    <w:rsid w:val="00266F8C"/>
    <w:rsid w:val="00270271"/>
    <w:rsid w:val="0027082D"/>
    <w:rsid w:val="002718B4"/>
    <w:rsid w:val="002732FF"/>
    <w:rsid w:val="00273760"/>
    <w:rsid w:val="00274746"/>
    <w:rsid w:val="00275D61"/>
    <w:rsid w:val="002775FC"/>
    <w:rsid w:val="00280600"/>
    <w:rsid w:val="00280BFF"/>
    <w:rsid w:val="0028122E"/>
    <w:rsid w:val="002826E6"/>
    <w:rsid w:val="00283873"/>
    <w:rsid w:val="00284134"/>
    <w:rsid w:val="002842D2"/>
    <w:rsid w:val="00284580"/>
    <w:rsid w:val="002845F9"/>
    <w:rsid w:val="00285976"/>
    <w:rsid w:val="00285C5E"/>
    <w:rsid w:val="002860D1"/>
    <w:rsid w:val="00286AB3"/>
    <w:rsid w:val="00287EE6"/>
    <w:rsid w:val="00287EFB"/>
    <w:rsid w:val="0029095B"/>
    <w:rsid w:val="002919C2"/>
    <w:rsid w:val="002921E1"/>
    <w:rsid w:val="00293FC9"/>
    <w:rsid w:val="002940A5"/>
    <w:rsid w:val="0029478B"/>
    <w:rsid w:val="00294BC6"/>
    <w:rsid w:val="0029524E"/>
    <w:rsid w:val="00295402"/>
    <w:rsid w:val="002955C6"/>
    <w:rsid w:val="002963B5"/>
    <w:rsid w:val="002964D0"/>
    <w:rsid w:val="00296AA3"/>
    <w:rsid w:val="00297214"/>
    <w:rsid w:val="00297333"/>
    <w:rsid w:val="002A0193"/>
    <w:rsid w:val="002A0F03"/>
    <w:rsid w:val="002A1C9F"/>
    <w:rsid w:val="002A2F34"/>
    <w:rsid w:val="002A309B"/>
    <w:rsid w:val="002A3A9B"/>
    <w:rsid w:val="002A3F6C"/>
    <w:rsid w:val="002A422C"/>
    <w:rsid w:val="002A55B9"/>
    <w:rsid w:val="002A5B3B"/>
    <w:rsid w:val="002A6007"/>
    <w:rsid w:val="002A7FA3"/>
    <w:rsid w:val="002B1321"/>
    <w:rsid w:val="002B1DCF"/>
    <w:rsid w:val="002B2F10"/>
    <w:rsid w:val="002B34C5"/>
    <w:rsid w:val="002B3502"/>
    <w:rsid w:val="002B3B75"/>
    <w:rsid w:val="002B3C18"/>
    <w:rsid w:val="002B3DC1"/>
    <w:rsid w:val="002B4F2B"/>
    <w:rsid w:val="002B5311"/>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4765"/>
    <w:rsid w:val="002C52E2"/>
    <w:rsid w:val="002C570C"/>
    <w:rsid w:val="002C579F"/>
    <w:rsid w:val="002C6836"/>
    <w:rsid w:val="002D0CAF"/>
    <w:rsid w:val="002D217F"/>
    <w:rsid w:val="002D2D99"/>
    <w:rsid w:val="002D349C"/>
    <w:rsid w:val="002D3C3B"/>
    <w:rsid w:val="002D3C6C"/>
    <w:rsid w:val="002D4040"/>
    <w:rsid w:val="002D4A75"/>
    <w:rsid w:val="002D4FD6"/>
    <w:rsid w:val="002D5FE1"/>
    <w:rsid w:val="002D7510"/>
    <w:rsid w:val="002D7916"/>
    <w:rsid w:val="002D7E37"/>
    <w:rsid w:val="002E018D"/>
    <w:rsid w:val="002E1F68"/>
    <w:rsid w:val="002E20A1"/>
    <w:rsid w:val="002E2813"/>
    <w:rsid w:val="002E337D"/>
    <w:rsid w:val="002E3480"/>
    <w:rsid w:val="002E3AF8"/>
    <w:rsid w:val="002E3EE8"/>
    <w:rsid w:val="002E4C5E"/>
    <w:rsid w:val="002E56E8"/>
    <w:rsid w:val="002E5758"/>
    <w:rsid w:val="002E648C"/>
    <w:rsid w:val="002E66A6"/>
    <w:rsid w:val="002E6A65"/>
    <w:rsid w:val="002E6F91"/>
    <w:rsid w:val="002F0253"/>
    <w:rsid w:val="002F1069"/>
    <w:rsid w:val="002F113A"/>
    <w:rsid w:val="002F1796"/>
    <w:rsid w:val="002F1DEE"/>
    <w:rsid w:val="002F1FB1"/>
    <w:rsid w:val="002F2835"/>
    <w:rsid w:val="002F2C7E"/>
    <w:rsid w:val="002F2E22"/>
    <w:rsid w:val="002F33D1"/>
    <w:rsid w:val="002F4F8C"/>
    <w:rsid w:val="002F591D"/>
    <w:rsid w:val="002F6581"/>
    <w:rsid w:val="002F6927"/>
    <w:rsid w:val="002F6B38"/>
    <w:rsid w:val="002F6DEE"/>
    <w:rsid w:val="002F7955"/>
    <w:rsid w:val="00300A4D"/>
    <w:rsid w:val="00301BB3"/>
    <w:rsid w:val="00302254"/>
    <w:rsid w:val="00302595"/>
    <w:rsid w:val="003025DE"/>
    <w:rsid w:val="00302BA1"/>
    <w:rsid w:val="0030300F"/>
    <w:rsid w:val="00303010"/>
    <w:rsid w:val="00303298"/>
    <w:rsid w:val="00303765"/>
    <w:rsid w:val="00303E7C"/>
    <w:rsid w:val="00304149"/>
    <w:rsid w:val="0030429E"/>
    <w:rsid w:val="00305C70"/>
    <w:rsid w:val="003072BE"/>
    <w:rsid w:val="003073D5"/>
    <w:rsid w:val="003112A9"/>
    <w:rsid w:val="003122E5"/>
    <w:rsid w:val="00312C11"/>
    <w:rsid w:val="00313493"/>
    <w:rsid w:val="00315008"/>
    <w:rsid w:val="00315E15"/>
    <w:rsid w:val="00315E54"/>
    <w:rsid w:val="00317174"/>
    <w:rsid w:val="00317A1C"/>
    <w:rsid w:val="003206D1"/>
    <w:rsid w:val="0032103C"/>
    <w:rsid w:val="00321949"/>
    <w:rsid w:val="003220AE"/>
    <w:rsid w:val="003223C9"/>
    <w:rsid w:val="00323C81"/>
    <w:rsid w:val="00323D45"/>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42E"/>
    <w:rsid w:val="00332667"/>
    <w:rsid w:val="00333547"/>
    <w:rsid w:val="003341DD"/>
    <w:rsid w:val="003347FB"/>
    <w:rsid w:val="0033571F"/>
    <w:rsid w:val="00336037"/>
    <w:rsid w:val="00337209"/>
    <w:rsid w:val="003372D4"/>
    <w:rsid w:val="00337549"/>
    <w:rsid w:val="00337E9E"/>
    <w:rsid w:val="0034084C"/>
    <w:rsid w:val="00340C21"/>
    <w:rsid w:val="00341864"/>
    <w:rsid w:val="00341FA9"/>
    <w:rsid w:val="003430E8"/>
    <w:rsid w:val="00344149"/>
    <w:rsid w:val="00344430"/>
    <w:rsid w:val="00344BB9"/>
    <w:rsid w:val="00345480"/>
    <w:rsid w:val="003455EE"/>
    <w:rsid w:val="00346D9F"/>
    <w:rsid w:val="00346F18"/>
    <w:rsid w:val="00346FF3"/>
    <w:rsid w:val="003473A5"/>
    <w:rsid w:val="0035037F"/>
    <w:rsid w:val="00350480"/>
    <w:rsid w:val="003518D6"/>
    <w:rsid w:val="00351FD6"/>
    <w:rsid w:val="00354D50"/>
    <w:rsid w:val="003557A2"/>
    <w:rsid w:val="00355D4C"/>
    <w:rsid w:val="00356823"/>
    <w:rsid w:val="003568E5"/>
    <w:rsid w:val="00356E3D"/>
    <w:rsid w:val="003575AA"/>
    <w:rsid w:val="00361E5F"/>
    <w:rsid w:val="00361F3A"/>
    <w:rsid w:val="00363D11"/>
    <w:rsid w:val="00364414"/>
    <w:rsid w:val="003644D3"/>
    <w:rsid w:val="0036482F"/>
    <w:rsid w:val="0036506C"/>
    <w:rsid w:val="00365CAB"/>
    <w:rsid w:val="003666A0"/>
    <w:rsid w:val="00367495"/>
    <w:rsid w:val="00367A35"/>
    <w:rsid w:val="003708F8"/>
    <w:rsid w:val="00370B7E"/>
    <w:rsid w:val="00371221"/>
    <w:rsid w:val="00371998"/>
    <w:rsid w:val="00371C51"/>
    <w:rsid w:val="00371FFA"/>
    <w:rsid w:val="003726B8"/>
    <w:rsid w:val="00372D49"/>
    <w:rsid w:val="00373B32"/>
    <w:rsid w:val="00374A8B"/>
    <w:rsid w:val="003755A6"/>
    <w:rsid w:val="00375707"/>
    <w:rsid w:val="00375872"/>
    <w:rsid w:val="00376123"/>
    <w:rsid w:val="0037676D"/>
    <w:rsid w:val="00376A26"/>
    <w:rsid w:val="00376F70"/>
    <w:rsid w:val="0037742E"/>
    <w:rsid w:val="003807EE"/>
    <w:rsid w:val="00380894"/>
    <w:rsid w:val="0038105E"/>
    <w:rsid w:val="0038128B"/>
    <w:rsid w:val="00381ABA"/>
    <w:rsid w:val="00381F11"/>
    <w:rsid w:val="00382691"/>
    <w:rsid w:val="00383E36"/>
    <w:rsid w:val="00384ABA"/>
    <w:rsid w:val="00384D0F"/>
    <w:rsid w:val="003856FA"/>
    <w:rsid w:val="00385C2F"/>
    <w:rsid w:val="00386062"/>
    <w:rsid w:val="003867EB"/>
    <w:rsid w:val="00387172"/>
    <w:rsid w:val="0038787C"/>
    <w:rsid w:val="00387993"/>
    <w:rsid w:val="00387E45"/>
    <w:rsid w:val="00387E8A"/>
    <w:rsid w:val="00390737"/>
    <w:rsid w:val="003908F9"/>
    <w:rsid w:val="00390D0A"/>
    <w:rsid w:val="00390F69"/>
    <w:rsid w:val="00391265"/>
    <w:rsid w:val="00391327"/>
    <w:rsid w:val="003918DD"/>
    <w:rsid w:val="003918E5"/>
    <w:rsid w:val="00391DEE"/>
    <w:rsid w:val="0039228D"/>
    <w:rsid w:val="00393A2B"/>
    <w:rsid w:val="00394DE8"/>
    <w:rsid w:val="0039530E"/>
    <w:rsid w:val="0039566C"/>
    <w:rsid w:val="00395793"/>
    <w:rsid w:val="00396AAD"/>
    <w:rsid w:val="003977BC"/>
    <w:rsid w:val="00397B0B"/>
    <w:rsid w:val="003A09AA"/>
    <w:rsid w:val="003A0BD9"/>
    <w:rsid w:val="003A0E65"/>
    <w:rsid w:val="003A0F1E"/>
    <w:rsid w:val="003A3DE2"/>
    <w:rsid w:val="003A4469"/>
    <w:rsid w:val="003A4670"/>
    <w:rsid w:val="003A4A4E"/>
    <w:rsid w:val="003A5EAF"/>
    <w:rsid w:val="003A6356"/>
    <w:rsid w:val="003A674A"/>
    <w:rsid w:val="003A6A75"/>
    <w:rsid w:val="003A6ACA"/>
    <w:rsid w:val="003A7FC8"/>
    <w:rsid w:val="003B12DF"/>
    <w:rsid w:val="003B1373"/>
    <w:rsid w:val="003B2B70"/>
    <w:rsid w:val="003B2FBF"/>
    <w:rsid w:val="003B348C"/>
    <w:rsid w:val="003B3CF7"/>
    <w:rsid w:val="003B44B2"/>
    <w:rsid w:val="003B4A8F"/>
    <w:rsid w:val="003B4B7A"/>
    <w:rsid w:val="003B4D0D"/>
    <w:rsid w:val="003B5534"/>
    <w:rsid w:val="003B60BB"/>
    <w:rsid w:val="003B662C"/>
    <w:rsid w:val="003B7431"/>
    <w:rsid w:val="003C0D9D"/>
    <w:rsid w:val="003C19CE"/>
    <w:rsid w:val="003C1C86"/>
    <w:rsid w:val="003C301F"/>
    <w:rsid w:val="003C3070"/>
    <w:rsid w:val="003C314B"/>
    <w:rsid w:val="003C327F"/>
    <w:rsid w:val="003C42F9"/>
    <w:rsid w:val="003C4A75"/>
    <w:rsid w:val="003C4F71"/>
    <w:rsid w:val="003C5339"/>
    <w:rsid w:val="003C5DC4"/>
    <w:rsid w:val="003C6333"/>
    <w:rsid w:val="003C753D"/>
    <w:rsid w:val="003C7B58"/>
    <w:rsid w:val="003D015C"/>
    <w:rsid w:val="003D08FC"/>
    <w:rsid w:val="003D1166"/>
    <w:rsid w:val="003D1980"/>
    <w:rsid w:val="003D1B92"/>
    <w:rsid w:val="003D1C8F"/>
    <w:rsid w:val="003D20FB"/>
    <w:rsid w:val="003D297D"/>
    <w:rsid w:val="003D2E3C"/>
    <w:rsid w:val="003D352C"/>
    <w:rsid w:val="003D3782"/>
    <w:rsid w:val="003D3989"/>
    <w:rsid w:val="003D3AE8"/>
    <w:rsid w:val="003D4322"/>
    <w:rsid w:val="003D43CF"/>
    <w:rsid w:val="003D4486"/>
    <w:rsid w:val="003D44FA"/>
    <w:rsid w:val="003D4548"/>
    <w:rsid w:val="003D4810"/>
    <w:rsid w:val="003D4FC1"/>
    <w:rsid w:val="003D5873"/>
    <w:rsid w:val="003D5A4A"/>
    <w:rsid w:val="003D5CD7"/>
    <w:rsid w:val="003D5FD6"/>
    <w:rsid w:val="003D6955"/>
    <w:rsid w:val="003D72C8"/>
    <w:rsid w:val="003D7E76"/>
    <w:rsid w:val="003E07EC"/>
    <w:rsid w:val="003E086F"/>
    <w:rsid w:val="003E13DF"/>
    <w:rsid w:val="003E172C"/>
    <w:rsid w:val="003E17F1"/>
    <w:rsid w:val="003E33FB"/>
    <w:rsid w:val="003E388D"/>
    <w:rsid w:val="003E3D8F"/>
    <w:rsid w:val="003E58D8"/>
    <w:rsid w:val="003E5A9F"/>
    <w:rsid w:val="003E5D36"/>
    <w:rsid w:val="003E746D"/>
    <w:rsid w:val="003F01AE"/>
    <w:rsid w:val="003F0885"/>
    <w:rsid w:val="003F0E72"/>
    <w:rsid w:val="003F1DB8"/>
    <w:rsid w:val="003F1E22"/>
    <w:rsid w:val="003F1E84"/>
    <w:rsid w:val="003F4CA0"/>
    <w:rsid w:val="003F5C3F"/>
    <w:rsid w:val="003F5D1D"/>
    <w:rsid w:val="003F7995"/>
    <w:rsid w:val="003F7C29"/>
    <w:rsid w:val="003F7DDF"/>
    <w:rsid w:val="003F7F20"/>
    <w:rsid w:val="004000A1"/>
    <w:rsid w:val="0040011E"/>
    <w:rsid w:val="0040244D"/>
    <w:rsid w:val="0040283C"/>
    <w:rsid w:val="004030CE"/>
    <w:rsid w:val="004035CC"/>
    <w:rsid w:val="00404227"/>
    <w:rsid w:val="00404C2C"/>
    <w:rsid w:val="00405334"/>
    <w:rsid w:val="004062E1"/>
    <w:rsid w:val="00407364"/>
    <w:rsid w:val="004074B8"/>
    <w:rsid w:val="004079D7"/>
    <w:rsid w:val="004102A8"/>
    <w:rsid w:val="00410481"/>
    <w:rsid w:val="00410E1F"/>
    <w:rsid w:val="00411E93"/>
    <w:rsid w:val="0041251F"/>
    <w:rsid w:val="004130BB"/>
    <w:rsid w:val="00413736"/>
    <w:rsid w:val="00413746"/>
    <w:rsid w:val="004158F8"/>
    <w:rsid w:val="00416F24"/>
    <w:rsid w:val="004173AB"/>
    <w:rsid w:val="004173DE"/>
    <w:rsid w:val="004200A4"/>
    <w:rsid w:val="0042022F"/>
    <w:rsid w:val="00420D3B"/>
    <w:rsid w:val="00421524"/>
    <w:rsid w:val="004216BB"/>
    <w:rsid w:val="0042197B"/>
    <w:rsid w:val="00421A98"/>
    <w:rsid w:val="00422655"/>
    <w:rsid w:val="00423892"/>
    <w:rsid w:val="004243F4"/>
    <w:rsid w:val="0042447E"/>
    <w:rsid w:val="00424BB9"/>
    <w:rsid w:val="00425000"/>
    <w:rsid w:val="00425044"/>
    <w:rsid w:val="00425783"/>
    <w:rsid w:val="00425925"/>
    <w:rsid w:val="00426552"/>
    <w:rsid w:val="004267A7"/>
    <w:rsid w:val="0042710E"/>
    <w:rsid w:val="00427656"/>
    <w:rsid w:val="0042799D"/>
    <w:rsid w:val="0043089C"/>
    <w:rsid w:val="00430BB5"/>
    <w:rsid w:val="00430D1F"/>
    <w:rsid w:val="00430D21"/>
    <w:rsid w:val="00431129"/>
    <w:rsid w:val="0043153F"/>
    <w:rsid w:val="004316B7"/>
    <w:rsid w:val="00431798"/>
    <w:rsid w:val="00431FC5"/>
    <w:rsid w:val="00432971"/>
    <w:rsid w:val="00433A22"/>
    <w:rsid w:val="004340CC"/>
    <w:rsid w:val="004340F5"/>
    <w:rsid w:val="004343FF"/>
    <w:rsid w:val="00434782"/>
    <w:rsid w:val="004347E4"/>
    <w:rsid w:val="00435198"/>
    <w:rsid w:val="00435262"/>
    <w:rsid w:val="004355AD"/>
    <w:rsid w:val="0043587F"/>
    <w:rsid w:val="004359AC"/>
    <w:rsid w:val="0043612E"/>
    <w:rsid w:val="004363D6"/>
    <w:rsid w:val="00436561"/>
    <w:rsid w:val="00436572"/>
    <w:rsid w:val="004365AB"/>
    <w:rsid w:val="004369DD"/>
    <w:rsid w:val="0043785F"/>
    <w:rsid w:val="004405CB"/>
    <w:rsid w:val="00441324"/>
    <w:rsid w:val="0044281F"/>
    <w:rsid w:val="0044313B"/>
    <w:rsid w:val="00443356"/>
    <w:rsid w:val="00443B32"/>
    <w:rsid w:val="0044406B"/>
    <w:rsid w:val="00444397"/>
    <w:rsid w:val="0044450B"/>
    <w:rsid w:val="00445846"/>
    <w:rsid w:val="00446AFF"/>
    <w:rsid w:val="004474E5"/>
    <w:rsid w:val="00450146"/>
    <w:rsid w:val="00450542"/>
    <w:rsid w:val="00450EA8"/>
    <w:rsid w:val="00451147"/>
    <w:rsid w:val="00452041"/>
    <w:rsid w:val="00452209"/>
    <w:rsid w:val="00452316"/>
    <w:rsid w:val="00452613"/>
    <w:rsid w:val="0045275E"/>
    <w:rsid w:val="004537F5"/>
    <w:rsid w:val="00453C0B"/>
    <w:rsid w:val="004542D3"/>
    <w:rsid w:val="004544FD"/>
    <w:rsid w:val="00454865"/>
    <w:rsid w:val="00454A22"/>
    <w:rsid w:val="00454C24"/>
    <w:rsid w:val="00455D96"/>
    <w:rsid w:val="0045645A"/>
    <w:rsid w:val="004568EA"/>
    <w:rsid w:val="00456C32"/>
    <w:rsid w:val="00460997"/>
    <w:rsid w:val="00461EA3"/>
    <w:rsid w:val="00461FD2"/>
    <w:rsid w:val="00462594"/>
    <w:rsid w:val="00462803"/>
    <w:rsid w:val="00464554"/>
    <w:rsid w:val="00464D57"/>
    <w:rsid w:val="00464FAA"/>
    <w:rsid w:val="00464FE3"/>
    <w:rsid w:val="00465EF8"/>
    <w:rsid w:val="00465F0A"/>
    <w:rsid w:val="00467AB5"/>
    <w:rsid w:val="00470C44"/>
    <w:rsid w:val="00472326"/>
    <w:rsid w:val="00472E74"/>
    <w:rsid w:val="004730D0"/>
    <w:rsid w:val="00473370"/>
    <w:rsid w:val="00473E46"/>
    <w:rsid w:val="00474979"/>
    <w:rsid w:val="00474A99"/>
    <w:rsid w:val="00474CF1"/>
    <w:rsid w:val="00475023"/>
    <w:rsid w:val="004776C5"/>
    <w:rsid w:val="004806B7"/>
    <w:rsid w:val="00480953"/>
    <w:rsid w:val="00480A00"/>
    <w:rsid w:val="00481211"/>
    <w:rsid w:val="0048374A"/>
    <w:rsid w:val="004837BD"/>
    <w:rsid w:val="00483BCF"/>
    <w:rsid w:val="0048430D"/>
    <w:rsid w:val="0048487B"/>
    <w:rsid w:val="00484BB2"/>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C92"/>
    <w:rsid w:val="00494C2B"/>
    <w:rsid w:val="00494E3E"/>
    <w:rsid w:val="004955B4"/>
    <w:rsid w:val="00496D1E"/>
    <w:rsid w:val="00497D86"/>
    <w:rsid w:val="004A0754"/>
    <w:rsid w:val="004A0FAC"/>
    <w:rsid w:val="004A146C"/>
    <w:rsid w:val="004A1A26"/>
    <w:rsid w:val="004A1D0B"/>
    <w:rsid w:val="004A1FC5"/>
    <w:rsid w:val="004A2827"/>
    <w:rsid w:val="004A2BB2"/>
    <w:rsid w:val="004A35F1"/>
    <w:rsid w:val="004A385F"/>
    <w:rsid w:val="004A396A"/>
    <w:rsid w:val="004A4904"/>
    <w:rsid w:val="004A5073"/>
    <w:rsid w:val="004A52F3"/>
    <w:rsid w:val="004A6999"/>
    <w:rsid w:val="004A6C6F"/>
    <w:rsid w:val="004A6D88"/>
    <w:rsid w:val="004B082D"/>
    <w:rsid w:val="004B09EC"/>
    <w:rsid w:val="004B100A"/>
    <w:rsid w:val="004B143E"/>
    <w:rsid w:val="004B1F99"/>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0B22"/>
    <w:rsid w:val="004C119F"/>
    <w:rsid w:val="004C129A"/>
    <w:rsid w:val="004C19F5"/>
    <w:rsid w:val="004C24AE"/>
    <w:rsid w:val="004C386B"/>
    <w:rsid w:val="004C3D75"/>
    <w:rsid w:val="004C3D98"/>
    <w:rsid w:val="004C4247"/>
    <w:rsid w:val="004C5DE4"/>
    <w:rsid w:val="004C666C"/>
    <w:rsid w:val="004C6DAC"/>
    <w:rsid w:val="004C74DC"/>
    <w:rsid w:val="004C7740"/>
    <w:rsid w:val="004C7870"/>
    <w:rsid w:val="004C79AF"/>
    <w:rsid w:val="004C7E20"/>
    <w:rsid w:val="004C7FD6"/>
    <w:rsid w:val="004D1169"/>
    <w:rsid w:val="004D14FB"/>
    <w:rsid w:val="004D1E8C"/>
    <w:rsid w:val="004D228D"/>
    <w:rsid w:val="004D23CE"/>
    <w:rsid w:val="004D24DE"/>
    <w:rsid w:val="004D279C"/>
    <w:rsid w:val="004D2985"/>
    <w:rsid w:val="004D2BBB"/>
    <w:rsid w:val="004D34E1"/>
    <w:rsid w:val="004D3C2D"/>
    <w:rsid w:val="004D3E8E"/>
    <w:rsid w:val="004D417E"/>
    <w:rsid w:val="004D4488"/>
    <w:rsid w:val="004D46F3"/>
    <w:rsid w:val="004D483E"/>
    <w:rsid w:val="004D4BD9"/>
    <w:rsid w:val="004D527C"/>
    <w:rsid w:val="004D5509"/>
    <w:rsid w:val="004D5B95"/>
    <w:rsid w:val="004D6354"/>
    <w:rsid w:val="004D655C"/>
    <w:rsid w:val="004D6594"/>
    <w:rsid w:val="004E0888"/>
    <w:rsid w:val="004E0A0A"/>
    <w:rsid w:val="004E22A4"/>
    <w:rsid w:val="004E2381"/>
    <w:rsid w:val="004E2D82"/>
    <w:rsid w:val="004E33DC"/>
    <w:rsid w:val="004E3645"/>
    <w:rsid w:val="004E3A6E"/>
    <w:rsid w:val="004E3E77"/>
    <w:rsid w:val="004E3EB9"/>
    <w:rsid w:val="004E551B"/>
    <w:rsid w:val="004E57C2"/>
    <w:rsid w:val="004E5B0C"/>
    <w:rsid w:val="004E6159"/>
    <w:rsid w:val="004E6214"/>
    <w:rsid w:val="004E63DF"/>
    <w:rsid w:val="004E6A7C"/>
    <w:rsid w:val="004E724C"/>
    <w:rsid w:val="004E7DA8"/>
    <w:rsid w:val="004F0424"/>
    <w:rsid w:val="004F1A80"/>
    <w:rsid w:val="004F1C1A"/>
    <w:rsid w:val="004F1DF0"/>
    <w:rsid w:val="004F1EA5"/>
    <w:rsid w:val="004F1FA7"/>
    <w:rsid w:val="004F2C45"/>
    <w:rsid w:val="004F2CB5"/>
    <w:rsid w:val="004F30F9"/>
    <w:rsid w:val="004F3CFB"/>
    <w:rsid w:val="004F4233"/>
    <w:rsid w:val="004F4A4B"/>
    <w:rsid w:val="004F5291"/>
    <w:rsid w:val="004F53CF"/>
    <w:rsid w:val="004F5484"/>
    <w:rsid w:val="004F5CEC"/>
    <w:rsid w:val="004F7086"/>
    <w:rsid w:val="004F708A"/>
    <w:rsid w:val="004F753A"/>
    <w:rsid w:val="004F7810"/>
    <w:rsid w:val="00500763"/>
    <w:rsid w:val="00500961"/>
    <w:rsid w:val="0050175C"/>
    <w:rsid w:val="00502228"/>
    <w:rsid w:val="00502CB0"/>
    <w:rsid w:val="0050306B"/>
    <w:rsid w:val="00503775"/>
    <w:rsid w:val="00503849"/>
    <w:rsid w:val="00503E22"/>
    <w:rsid w:val="00504151"/>
    <w:rsid w:val="00504B4E"/>
    <w:rsid w:val="00504E35"/>
    <w:rsid w:val="005062F8"/>
    <w:rsid w:val="00506C22"/>
    <w:rsid w:val="00507430"/>
    <w:rsid w:val="0050789B"/>
    <w:rsid w:val="00507CC5"/>
    <w:rsid w:val="00507DDA"/>
    <w:rsid w:val="00511467"/>
    <w:rsid w:val="00512685"/>
    <w:rsid w:val="00513BC6"/>
    <w:rsid w:val="005157CC"/>
    <w:rsid w:val="005157F9"/>
    <w:rsid w:val="00516077"/>
    <w:rsid w:val="0051661A"/>
    <w:rsid w:val="00517278"/>
    <w:rsid w:val="00517900"/>
    <w:rsid w:val="0052064C"/>
    <w:rsid w:val="00520736"/>
    <w:rsid w:val="00521ABE"/>
    <w:rsid w:val="00522951"/>
    <w:rsid w:val="0052387E"/>
    <w:rsid w:val="00524D60"/>
    <w:rsid w:val="005253B3"/>
    <w:rsid w:val="00526FCF"/>
    <w:rsid w:val="00527080"/>
    <w:rsid w:val="005272A2"/>
    <w:rsid w:val="00527B3D"/>
    <w:rsid w:val="00530EBC"/>
    <w:rsid w:val="00530F38"/>
    <w:rsid w:val="005312C7"/>
    <w:rsid w:val="00531B64"/>
    <w:rsid w:val="005320E2"/>
    <w:rsid w:val="005322EC"/>
    <w:rsid w:val="0053270E"/>
    <w:rsid w:val="00532FD0"/>
    <w:rsid w:val="00533587"/>
    <w:rsid w:val="00534351"/>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8EA"/>
    <w:rsid w:val="00541F0A"/>
    <w:rsid w:val="00542434"/>
    <w:rsid w:val="00542949"/>
    <w:rsid w:val="0054369B"/>
    <w:rsid w:val="00546163"/>
    <w:rsid w:val="00546E6B"/>
    <w:rsid w:val="0054782D"/>
    <w:rsid w:val="00547BD0"/>
    <w:rsid w:val="00547E27"/>
    <w:rsid w:val="0055044D"/>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0CA9"/>
    <w:rsid w:val="00561A4C"/>
    <w:rsid w:val="005623F3"/>
    <w:rsid w:val="00562721"/>
    <w:rsid w:val="0056294B"/>
    <w:rsid w:val="00562C59"/>
    <w:rsid w:val="00562DB0"/>
    <w:rsid w:val="005632F7"/>
    <w:rsid w:val="00563630"/>
    <w:rsid w:val="00563C53"/>
    <w:rsid w:val="00563EE7"/>
    <w:rsid w:val="00564459"/>
    <w:rsid w:val="00565C5E"/>
    <w:rsid w:val="00565E39"/>
    <w:rsid w:val="00566BE3"/>
    <w:rsid w:val="00566CF4"/>
    <w:rsid w:val="00566E85"/>
    <w:rsid w:val="00566F84"/>
    <w:rsid w:val="0056703E"/>
    <w:rsid w:val="005672C5"/>
    <w:rsid w:val="0056749A"/>
    <w:rsid w:val="005724F3"/>
    <w:rsid w:val="00572984"/>
    <w:rsid w:val="00572B2A"/>
    <w:rsid w:val="00572BCE"/>
    <w:rsid w:val="00572C9F"/>
    <w:rsid w:val="005736B8"/>
    <w:rsid w:val="00573DA3"/>
    <w:rsid w:val="00574306"/>
    <w:rsid w:val="005748C5"/>
    <w:rsid w:val="00574B0F"/>
    <w:rsid w:val="00574CE4"/>
    <w:rsid w:val="005755D5"/>
    <w:rsid w:val="00576AB1"/>
    <w:rsid w:val="00580674"/>
    <w:rsid w:val="00581B22"/>
    <w:rsid w:val="00581C17"/>
    <w:rsid w:val="00581D34"/>
    <w:rsid w:val="00582394"/>
    <w:rsid w:val="0058412F"/>
    <w:rsid w:val="005849CD"/>
    <w:rsid w:val="00584B23"/>
    <w:rsid w:val="00584B85"/>
    <w:rsid w:val="00585798"/>
    <w:rsid w:val="0058620C"/>
    <w:rsid w:val="00586B37"/>
    <w:rsid w:val="00586C0B"/>
    <w:rsid w:val="005875A2"/>
    <w:rsid w:val="00587873"/>
    <w:rsid w:val="00591153"/>
    <w:rsid w:val="0059119E"/>
    <w:rsid w:val="00591790"/>
    <w:rsid w:val="00592ABA"/>
    <w:rsid w:val="00592B90"/>
    <w:rsid w:val="00592C2A"/>
    <w:rsid w:val="005934E0"/>
    <w:rsid w:val="00593595"/>
    <w:rsid w:val="005937DA"/>
    <w:rsid w:val="00593EC4"/>
    <w:rsid w:val="00594E86"/>
    <w:rsid w:val="00595AC8"/>
    <w:rsid w:val="00595B7C"/>
    <w:rsid w:val="00595EA4"/>
    <w:rsid w:val="00596038"/>
    <w:rsid w:val="00596526"/>
    <w:rsid w:val="00596D90"/>
    <w:rsid w:val="005970F1"/>
    <w:rsid w:val="005A044F"/>
    <w:rsid w:val="005A0C92"/>
    <w:rsid w:val="005A17EB"/>
    <w:rsid w:val="005A1A7B"/>
    <w:rsid w:val="005A1AB5"/>
    <w:rsid w:val="005A205A"/>
    <w:rsid w:val="005A2099"/>
    <w:rsid w:val="005A33F3"/>
    <w:rsid w:val="005A38CE"/>
    <w:rsid w:val="005A3A4B"/>
    <w:rsid w:val="005A3E9E"/>
    <w:rsid w:val="005A477F"/>
    <w:rsid w:val="005A4B91"/>
    <w:rsid w:val="005A52B7"/>
    <w:rsid w:val="005A542D"/>
    <w:rsid w:val="005A5671"/>
    <w:rsid w:val="005A58E7"/>
    <w:rsid w:val="005A5A76"/>
    <w:rsid w:val="005A5AC7"/>
    <w:rsid w:val="005A5B5E"/>
    <w:rsid w:val="005A5BCE"/>
    <w:rsid w:val="005A5D06"/>
    <w:rsid w:val="005A67D7"/>
    <w:rsid w:val="005A6D85"/>
    <w:rsid w:val="005A70CA"/>
    <w:rsid w:val="005A760D"/>
    <w:rsid w:val="005A786B"/>
    <w:rsid w:val="005A7E2D"/>
    <w:rsid w:val="005A7E6B"/>
    <w:rsid w:val="005B0012"/>
    <w:rsid w:val="005B1396"/>
    <w:rsid w:val="005B2115"/>
    <w:rsid w:val="005B24D1"/>
    <w:rsid w:val="005B33C2"/>
    <w:rsid w:val="005B3ADD"/>
    <w:rsid w:val="005B3CD6"/>
    <w:rsid w:val="005B487F"/>
    <w:rsid w:val="005B6CB2"/>
    <w:rsid w:val="005B6CF7"/>
    <w:rsid w:val="005B6FB7"/>
    <w:rsid w:val="005B7DF3"/>
    <w:rsid w:val="005C042F"/>
    <w:rsid w:val="005C1D11"/>
    <w:rsid w:val="005C35F5"/>
    <w:rsid w:val="005C40FE"/>
    <w:rsid w:val="005C4F45"/>
    <w:rsid w:val="005C6883"/>
    <w:rsid w:val="005C6DE3"/>
    <w:rsid w:val="005C6EDC"/>
    <w:rsid w:val="005C70B0"/>
    <w:rsid w:val="005C711E"/>
    <w:rsid w:val="005C7DEB"/>
    <w:rsid w:val="005D0131"/>
    <w:rsid w:val="005D02BD"/>
    <w:rsid w:val="005D0411"/>
    <w:rsid w:val="005D04E5"/>
    <w:rsid w:val="005D07A8"/>
    <w:rsid w:val="005D0BAE"/>
    <w:rsid w:val="005D114D"/>
    <w:rsid w:val="005D1597"/>
    <w:rsid w:val="005D17A3"/>
    <w:rsid w:val="005D271D"/>
    <w:rsid w:val="005D56E7"/>
    <w:rsid w:val="005D5C74"/>
    <w:rsid w:val="005D6F53"/>
    <w:rsid w:val="005E09B0"/>
    <w:rsid w:val="005E0B50"/>
    <w:rsid w:val="005E0F70"/>
    <w:rsid w:val="005E16FF"/>
    <w:rsid w:val="005E1D1F"/>
    <w:rsid w:val="005E2517"/>
    <w:rsid w:val="005E299F"/>
    <w:rsid w:val="005E36D0"/>
    <w:rsid w:val="005E3CAA"/>
    <w:rsid w:val="005E4192"/>
    <w:rsid w:val="005E42A2"/>
    <w:rsid w:val="005E4E3F"/>
    <w:rsid w:val="005E52F1"/>
    <w:rsid w:val="005E5ACE"/>
    <w:rsid w:val="005E5C36"/>
    <w:rsid w:val="005E5CB1"/>
    <w:rsid w:val="005E5EBB"/>
    <w:rsid w:val="005E5EEB"/>
    <w:rsid w:val="005E6947"/>
    <w:rsid w:val="005E6B4F"/>
    <w:rsid w:val="005E6FB9"/>
    <w:rsid w:val="005E7DF4"/>
    <w:rsid w:val="005F07DA"/>
    <w:rsid w:val="005F194B"/>
    <w:rsid w:val="005F1A0E"/>
    <w:rsid w:val="005F1E27"/>
    <w:rsid w:val="005F293D"/>
    <w:rsid w:val="005F2942"/>
    <w:rsid w:val="005F2E08"/>
    <w:rsid w:val="005F3806"/>
    <w:rsid w:val="005F3BB8"/>
    <w:rsid w:val="005F3D68"/>
    <w:rsid w:val="005F4071"/>
    <w:rsid w:val="005F4F35"/>
    <w:rsid w:val="005F4F3E"/>
    <w:rsid w:val="005F61FF"/>
    <w:rsid w:val="005F6793"/>
    <w:rsid w:val="005F687D"/>
    <w:rsid w:val="005F7AE0"/>
    <w:rsid w:val="005F7D32"/>
    <w:rsid w:val="006001DB"/>
    <w:rsid w:val="00600EB2"/>
    <w:rsid w:val="00600F2B"/>
    <w:rsid w:val="00601303"/>
    <w:rsid w:val="00601605"/>
    <w:rsid w:val="00601998"/>
    <w:rsid w:val="00601B56"/>
    <w:rsid w:val="00601D29"/>
    <w:rsid w:val="00601DB1"/>
    <w:rsid w:val="006024D6"/>
    <w:rsid w:val="0060264F"/>
    <w:rsid w:val="00602AC2"/>
    <w:rsid w:val="00602AC6"/>
    <w:rsid w:val="0060440F"/>
    <w:rsid w:val="00605632"/>
    <w:rsid w:val="00605760"/>
    <w:rsid w:val="006065C6"/>
    <w:rsid w:val="006067F8"/>
    <w:rsid w:val="00607823"/>
    <w:rsid w:val="00607C44"/>
    <w:rsid w:val="006105B6"/>
    <w:rsid w:val="00610E8C"/>
    <w:rsid w:val="006110CC"/>
    <w:rsid w:val="00611FC7"/>
    <w:rsid w:val="00612D40"/>
    <w:rsid w:val="006138C4"/>
    <w:rsid w:val="006139A4"/>
    <w:rsid w:val="00613A94"/>
    <w:rsid w:val="006141A7"/>
    <w:rsid w:val="00614770"/>
    <w:rsid w:val="006152EE"/>
    <w:rsid w:val="006159BB"/>
    <w:rsid w:val="006164DC"/>
    <w:rsid w:val="006168FF"/>
    <w:rsid w:val="00616D5E"/>
    <w:rsid w:val="006172F0"/>
    <w:rsid w:val="00617961"/>
    <w:rsid w:val="00620002"/>
    <w:rsid w:val="00620FAC"/>
    <w:rsid w:val="006210B0"/>
    <w:rsid w:val="0062189F"/>
    <w:rsid w:val="00621924"/>
    <w:rsid w:val="00621B6F"/>
    <w:rsid w:val="00621C6F"/>
    <w:rsid w:val="006223A6"/>
    <w:rsid w:val="006226C8"/>
    <w:rsid w:val="00622823"/>
    <w:rsid w:val="0062305E"/>
    <w:rsid w:val="006230FA"/>
    <w:rsid w:val="00624129"/>
    <w:rsid w:val="0062432F"/>
    <w:rsid w:val="006244E4"/>
    <w:rsid w:val="006251ED"/>
    <w:rsid w:val="006252B6"/>
    <w:rsid w:val="006253C7"/>
    <w:rsid w:val="00625BC9"/>
    <w:rsid w:val="00626532"/>
    <w:rsid w:val="006268E0"/>
    <w:rsid w:val="00626F65"/>
    <w:rsid w:val="00630D27"/>
    <w:rsid w:val="00630D2B"/>
    <w:rsid w:val="00630EE9"/>
    <w:rsid w:val="006315BA"/>
    <w:rsid w:val="006316D6"/>
    <w:rsid w:val="00632108"/>
    <w:rsid w:val="00632940"/>
    <w:rsid w:val="0063297B"/>
    <w:rsid w:val="00632BD5"/>
    <w:rsid w:val="00632EA6"/>
    <w:rsid w:val="0063329E"/>
    <w:rsid w:val="00633E7D"/>
    <w:rsid w:val="006340ED"/>
    <w:rsid w:val="00634207"/>
    <w:rsid w:val="0063497C"/>
    <w:rsid w:val="00634D3D"/>
    <w:rsid w:val="006356A0"/>
    <w:rsid w:val="00635EC5"/>
    <w:rsid w:val="00636588"/>
    <w:rsid w:val="00636A27"/>
    <w:rsid w:val="00637669"/>
    <w:rsid w:val="006377C8"/>
    <w:rsid w:val="00640330"/>
    <w:rsid w:val="0064111F"/>
    <w:rsid w:val="00641865"/>
    <w:rsid w:val="006421A6"/>
    <w:rsid w:val="0064233B"/>
    <w:rsid w:val="006428AF"/>
    <w:rsid w:val="006429CC"/>
    <w:rsid w:val="00644602"/>
    <w:rsid w:val="006446FC"/>
    <w:rsid w:val="00644C3C"/>
    <w:rsid w:val="00645305"/>
    <w:rsid w:val="0064662C"/>
    <w:rsid w:val="00646F0A"/>
    <w:rsid w:val="00647768"/>
    <w:rsid w:val="00647B56"/>
    <w:rsid w:val="00647B80"/>
    <w:rsid w:val="00647D2F"/>
    <w:rsid w:val="00650221"/>
    <w:rsid w:val="006502F0"/>
    <w:rsid w:val="006509B2"/>
    <w:rsid w:val="006516D9"/>
    <w:rsid w:val="00651C3B"/>
    <w:rsid w:val="00652671"/>
    <w:rsid w:val="00652D50"/>
    <w:rsid w:val="006537CB"/>
    <w:rsid w:val="0065473E"/>
    <w:rsid w:val="00654A5C"/>
    <w:rsid w:val="00654E59"/>
    <w:rsid w:val="006551BD"/>
    <w:rsid w:val="00655621"/>
    <w:rsid w:val="006560AB"/>
    <w:rsid w:val="006562CB"/>
    <w:rsid w:val="00656300"/>
    <w:rsid w:val="0065769A"/>
    <w:rsid w:val="0066020C"/>
    <w:rsid w:val="00660994"/>
    <w:rsid w:val="00660F7C"/>
    <w:rsid w:val="00661925"/>
    <w:rsid w:val="00661E6D"/>
    <w:rsid w:val="00661E8E"/>
    <w:rsid w:val="006622C1"/>
    <w:rsid w:val="00662323"/>
    <w:rsid w:val="00663044"/>
    <w:rsid w:val="00663A44"/>
    <w:rsid w:val="00663C0F"/>
    <w:rsid w:val="00665ABF"/>
    <w:rsid w:val="00666F00"/>
    <w:rsid w:val="006671D3"/>
    <w:rsid w:val="00667289"/>
    <w:rsid w:val="006673D8"/>
    <w:rsid w:val="00667754"/>
    <w:rsid w:val="00667A64"/>
    <w:rsid w:val="00667B99"/>
    <w:rsid w:val="00670F82"/>
    <w:rsid w:val="00671168"/>
    <w:rsid w:val="006720A0"/>
    <w:rsid w:val="0067342E"/>
    <w:rsid w:val="00673CF5"/>
    <w:rsid w:val="006740A5"/>
    <w:rsid w:val="00674F3B"/>
    <w:rsid w:val="006753C3"/>
    <w:rsid w:val="006754F5"/>
    <w:rsid w:val="00676844"/>
    <w:rsid w:val="00676EF4"/>
    <w:rsid w:val="00677747"/>
    <w:rsid w:val="00677F21"/>
    <w:rsid w:val="00677F24"/>
    <w:rsid w:val="00680EF7"/>
    <w:rsid w:val="006817C5"/>
    <w:rsid w:val="0068247A"/>
    <w:rsid w:val="0068267F"/>
    <w:rsid w:val="006829A8"/>
    <w:rsid w:val="00682B83"/>
    <w:rsid w:val="00683424"/>
    <w:rsid w:val="00684586"/>
    <w:rsid w:val="00684CE2"/>
    <w:rsid w:val="00685534"/>
    <w:rsid w:val="0068793F"/>
    <w:rsid w:val="00687E00"/>
    <w:rsid w:val="00690545"/>
    <w:rsid w:val="00690577"/>
    <w:rsid w:val="0069267F"/>
    <w:rsid w:val="00692CF2"/>
    <w:rsid w:val="00692D8C"/>
    <w:rsid w:val="00692E2F"/>
    <w:rsid w:val="006937A3"/>
    <w:rsid w:val="00694E84"/>
    <w:rsid w:val="006956F6"/>
    <w:rsid w:val="00695A84"/>
    <w:rsid w:val="006A0155"/>
    <w:rsid w:val="006A067A"/>
    <w:rsid w:val="006A0740"/>
    <w:rsid w:val="006A0A52"/>
    <w:rsid w:val="006A153B"/>
    <w:rsid w:val="006A1952"/>
    <w:rsid w:val="006A1E3D"/>
    <w:rsid w:val="006A1ED5"/>
    <w:rsid w:val="006A2056"/>
    <w:rsid w:val="006A21B0"/>
    <w:rsid w:val="006A27DB"/>
    <w:rsid w:val="006A2D23"/>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34DA"/>
    <w:rsid w:val="006B414A"/>
    <w:rsid w:val="006B555E"/>
    <w:rsid w:val="006B5A52"/>
    <w:rsid w:val="006B5FCF"/>
    <w:rsid w:val="006B6438"/>
    <w:rsid w:val="006B6CFE"/>
    <w:rsid w:val="006B7AAD"/>
    <w:rsid w:val="006C02A7"/>
    <w:rsid w:val="006C064B"/>
    <w:rsid w:val="006C0A14"/>
    <w:rsid w:val="006C1A33"/>
    <w:rsid w:val="006C26D8"/>
    <w:rsid w:val="006C317E"/>
    <w:rsid w:val="006C349B"/>
    <w:rsid w:val="006C3F92"/>
    <w:rsid w:val="006C421A"/>
    <w:rsid w:val="006C4458"/>
    <w:rsid w:val="006C5D62"/>
    <w:rsid w:val="006C605A"/>
    <w:rsid w:val="006C65B9"/>
    <w:rsid w:val="006C6A3B"/>
    <w:rsid w:val="006C6CFF"/>
    <w:rsid w:val="006C6FBF"/>
    <w:rsid w:val="006C76B3"/>
    <w:rsid w:val="006D02B9"/>
    <w:rsid w:val="006D0B00"/>
    <w:rsid w:val="006D0D24"/>
    <w:rsid w:val="006D1151"/>
    <w:rsid w:val="006D1177"/>
    <w:rsid w:val="006D11C0"/>
    <w:rsid w:val="006D1E4E"/>
    <w:rsid w:val="006D213B"/>
    <w:rsid w:val="006D252B"/>
    <w:rsid w:val="006D2CA5"/>
    <w:rsid w:val="006D461B"/>
    <w:rsid w:val="006D558B"/>
    <w:rsid w:val="006D61C5"/>
    <w:rsid w:val="006D70A5"/>
    <w:rsid w:val="006D7969"/>
    <w:rsid w:val="006E023F"/>
    <w:rsid w:val="006E1226"/>
    <w:rsid w:val="006E1261"/>
    <w:rsid w:val="006E1817"/>
    <w:rsid w:val="006E1AF9"/>
    <w:rsid w:val="006E1C24"/>
    <w:rsid w:val="006E275A"/>
    <w:rsid w:val="006E2BCD"/>
    <w:rsid w:val="006E2EEC"/>
    <w:rsid w:val="006E3CD5"/>
    <w:rsid w:val="006E3D07"/>
    <w:rsid w:val="006E3ED7"/>
    <w:rsid w:val="006E3EF7"/>
    <w:rsid w:val="006E466F"/>
    <w:rsid w:val="006E48AB"/>
    <w:rsid w:val="006E4C76"/>
    <w:rsid w:val="006E6188"/>
    <w:rsid w:val="006E75B1"/>
    <w:rsid w:val="006E75B7"/>
    <w:rsid w:val="006F024D"/>
    <w:rsid w:val="006F0333"/>
    <w:rsid w:val="006F11CB"/>
    <w:rsid w:val="006F1D99"/>
    <w:rsid w:val="006F208E"/>
    <w:rsid w:val="006F229E"/>
    <w:rsid w:val="006F23FC"/>
    <w:rsid w:val="006F2EA1"/>
    <w:rsid w:val="006F707D"/>
    <w:rsid w:val="006F70D3"/>
    <w:rsid w:val="006F71FF"/>
    <w:rsid w:val="006F7FE2"/>
    <w:rsid w:val="007003EA"/>
    <w:rsid w:val="00700B12"/>
    <w:rsid w:val="00700CBF"/>
    <w:rsid w:val="00701BA9"/>
    <w:rsid w:val="00701EBC"/>
    <w:rsid w:val="00703368"/>
    <w:rsid w:val="00704914"/>
    <w:rsid w:val="00704A70"/>
    <w:rsid w:val="00705813"/>
    <w:rsid w:val="007063E1"/>
    <w:rsid w:val="00707A88"/>
    <w:rsid w:val="0071045B"/>
    <w:rsid w:val="00710559"/>
    <w:rsid w:val="007105C8"/>
    <w:rsid w:val="00710A7E"/>
    <w:rsid w:val="007111B8"/>
    <w:rsid w:val="0071154A"/>
    <w:rsid w:val="00711A5F"/>
    <w:rsid w:val="0071230B"/>
    <w:rsid w:val="00712572"/>
    <w:rsid w:val="00712EAE"/>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34A3"/>
    <w:rsid w:val="0073396A"/>
    <w:rsid w:val="00734A5A"/>
    <w:rsid w:val="00734A5D"/>
    <w:rsid w:val="0073528B"/>
    <w:rsid w:val="007352C7"/>
    <w:rsid w:val="007362A5"/>
    <w:rsid w:val="00736871"/>
    <w:rsid w:val="00736F31"/>
    <w:rsid w:val="0073708D"/>
    <w:rsid w:val="0073776A"/>
    <w:rsid w:val="00740178"/>
    <w:rsid w:val="007409C7"/>
    <w:rsid w:val="00740D77"/>
    <w:rsid w:val="00740E81"/>
    <w:rsid w:val="0074192A"/>
    <w:rsid w:val="00742263"/>
    <w:rsid w:val="00742CC8"/>
    <w:rsid w:val="0074365E"/>
    <w:rsid w:val="007440E8"/>
    <w:rsid w:val="0074472D"/>
    <w:rsid w:val="0074473B"/>
    <w:rsid w:val="00744BA2"/>
    <w:rsid w:val="007457A4"/>
    <w:rsid w:val="00745E6D"/>
    <w:rsid w:val="007466F1"/>
    <w:rsid w:val="007469C7"/>
    <w:rsid w:val="00746A9C"/>
    <w:rsid w:val="00747EB6"/>
    <w:rsid w:val="00750AC5"/>
    <w:rsid w:val="007513F2"/>
    <w:rsid w:val="00751ACF"/>
    <w:rsid w:val="007529C9"/>
    <w:rsid w:val="00755136"/>
    <w:rsid w:val="00755B12"/>
    <w:rsid w:val="00755BE3"/>
    <w:rsid w:val="00755FF9"/>
    <w:rsid w:val="007563E6"/>
    <w:rsid w:val="0075699F"/>
    <w:rsid w:val="007571E4"/>
    <w:rsid w:val="00757B0D"/>
    <w:rsid w:val="0076057F"/>
    <w:rsid w:val="007605B5"/>
    <w:rsid w:val="00760D12"/>
    <w:rsid w:val="007610F5"/>
    <w:rsid w:val="007617E4"/>
    <w:rsid w:val="0076182F"/>
    <w:rsid w:val="00761DF3"/>
    <w:rsid w:val="00761FA3"/>
    <w:rsid w:val="00763F46"/>
    <w:rsid w:val="00763FE2"/>
    <w:rsid w:val="007640F4"/>
    <w:rsid w:val="0076415A"/>
    <w:rsid w:val="007642E8"/>
    <w:rsid w:val="00764845"/>
    <w:rsid w:val="00765768"/>
    <w:rsid w:val="00765CFA"/>
    <w:rsid w:val="007665D3"/>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588F"/>
    <w:rsid w:val="00776529"/>
    <w:rsid w:val="00776737"/>
    <w:rsid w:val="007774CF"/>
    <w:rsid w:val="007776B9"/>
    <w:rsid w:val="00777A0F"/>
    <w:rsid w:val="00780638"/>
    <w:rsid w:val="00780B79"/>
    <w:rsid w:val="0078225A"/>
    <w:rsid w:val="00782D8D"/>
    <w:rsid w:val="00783631"/>
    <w:rsid w:val="0078381B"/>
    <w:rsid w:val="00784318"/>
    <w:rsid w:val="007847D8"/>
    <w:rsid w:val="00784BDD"/>
    <w:rsid w:val="00784C0B"/>
    <w:rsid w:val="00784E0B"/>
    <w:rsid w:val="0078514E"/>
    <w:rsid w:val="007855E6"/>
    <w:rsid w:val="00785A51"/>
    <w:rsid w:val="00785A88"/>
    <w:rsid w:val="00787F43"/>
    <w:rsid w:val="007903FF"/>
    <w:rsid w:val="0079044A"/>
    <w:rsid w:val="00790AA5"/>
    <w:rsid w:val="00790FE8"/>
    <w:rsid w:val="0079107B"/>
    <w:rsid w:val="00791555"/>
    <w:rsid w:val="00791723"/>
    <w:rsid w:val="00791D6B"/>
    <w:rsid w:val="00791DEF"/>
    <w:rsid w:val="00791FB7"/>
    <w:rsid w:val="00792C4E"/>
    <w:rsid w:val="00793898"/>
    <w:rsid w:val="00793E04"/>
    <w:rsid w:val="00793F05"/>
    <w:rsid w:val="00793F73"/>
    <w:rsid w:val="0079441E"/>
    <w:rsid w:val="00794823"/>
    <w:rsid w:val="00794974"/>
    <w:rsid w:val="00794DA5"/>
    <w:rsid w:val="0079580F"/>
    <w:rsid w:val="007964BC"/>
    <w:rsid w:val="0079771F"/>
    <w:rsid w:val="007A09A3"/>
    <w:rsid w:val="007A0AA3"/>
    <w:rsid w:val="007A145C"/>
    <w:rsid w:val="007A3259"/>
    <w:rsid w:val="007A337D"/>
    <w:rsid w:val="007A3CDD"/>
    <w:rsid w:val="007A411E"/>
    <w:rsid w:val="007A51B4"/>
    <w:rsid w:val="007A51DF"/>
    <w:rsid w:val="007A621E"/>
    <w:rsid w:val="007A7E61"/>
    <w:rsid w:val="007A7E75"/>
    <w:rsid w:val="007A7F3D"/>
    <w:rsid w:val="007B046B"/>
    <w:rsid w:val="007B094D"/>
    <w:rsid w:val="007B1472"/>
    <w:rsid w:val="007B16BD"/>
    <w:rsid w:val="007B181D"/>
    <w:rsid w:val="007B1865"/>
    <w:rsid w:val="007B27C7"/>
    <w:rsid w:val="007B28B3"/>
    <w:rsid w:val="007B3268"/>
    <w:rsid w:val="007B3363"/>
    <w:rsid w:val="007B341E"/>
    <w:rsid w:val="007B3D49"/>
    <w:rsid w:val="007B4F25"/>
    <w:rsid w:val="007B4F7F"/>
    <w:rsid w:val="007B5403"/>
    <w:rsid w:val="007B5E4C"/>
    <w:rsid w:val="007B7102"/>
    <w:rsid w:val="007C019D"/>
    <w:rsid w:val="007C0619"/>
    <w:rsid w:val="007C0976"/>
    <w:rsid w:val="007C0C5A"/>
    <w:rsid w:val="007C1974"/>
    <w:rsid w:val="007C1F01"/>
    <w:rsid w:val="007C1F2D"/>
    <w:rsid w:val="007C23C5"/>
    <w:rsid w:val="007C26F4"/>
    <w:rsid w:val="007C2D6F"/>
    <w:rsid w:val="007C2ED4"/>
    <w:rsid w:val="007C3134"/>
    <w:rsid w:val="007C3300"/>
    <w:rsid w:val="007C3396"/>
    <w:rsid w:val="007C3494"/>
    <w:rsid w:val="007C35A2"/>
    <w:rsid w:val="007C36E8"/>
    <w:rsid w:val="007C3F4C"/>
    <w:rsid w:val="007C4691"/>
    <w:rsid w:val="007C5419"/>
    <w:rsid w:val="007C57C7"/>
    <w:rsid w:val="007C5B79"/>
    <w:rsid w:val="007C5EB6"/>
    <w:rsid w:val="007C63E7"/>
    <w:rsid w:val="007C653B"/>
    <w:rsid w:val="007C6A40"/>
    <w:rsid w:val="007C7043"/>
    <w:rsid w:val="007D0F7C"/>
    <w:rsid w:val="007D2282"/>
    <w:rsid w:val="007D27EC"/>
    <w:rsid w:val="007D30A3"/>
    <w:rsid w:val="007D377F"/>
    <w:rsid w:val="007D3DFC"/>
    <w:rsid w:val="007D42DC"/>
    <w:rsid w:val="007D42EF"/>
    <w:rsid w:val="007D44F6"/>
    <w:rsid w:val="007D4E8C"/>
    <w:rsid w:val="007D53D4"/>
    <w:rsid w:val="007D5A6F"/>
    <w:rsid w:val="007D5AE2"/>
    <w:rsid w:val="007D5D0B"/>
    <w:rsid w:val="007D651D"/>
    <w:rsid w:val="007D667A"/>
    <w:rsid w:val="007D73A7"/>
    <w:rsid w:val="007D74A9"/>
    <w:rsid w:val="007D77FD"/>
    <w:rsid w:val="007D7DB9"/>
    <w:rsid w:val="007E0189"/>
    <w:rsid w:val="007E04DD"/>
    <w:rsid w:val="007E0EF6"/>
    <w:rsid w:val="007E21A0"/>
    <w:rsid w:val="007E24B0"/>
    <w:rsid w:val="007E24DF"/>
    <w:rsid w:val="007E29D6"/>
    <w:rsid w:val="007E2F31"/>
    <w:rsid w:val="007E3C06"/>
    <w:rsid w:val="007E4217"/>
    <w:rsid w:val="007E49B5"/>
    <w:rsid w:val="007E4D2A"/>
    <w:rsid w:val="007E5171"/>
    <w:rsid w:val="007E539B"/>
    <w:rsid w:val="007E575F"/>
    <w:rsid w:val="007E5AFF"/>
    <w:rsid w:val="007E60B8"/>
    <w:rsid w:val="007E6540"/>
    <w:rsid w:val="007E69FE"/>
    <w:rsid w:val="007E70FA"/>
    <w:rsid w:val="007E73FC"/>
    <w:rsid w:val="007E7583"/>
    <w:rsid w:val="007E7C52"/>
    <w:rsid w:val="007F034E"/>
    <w:rsid w:val="007F0A99"/>
    <w:rsid w:val="007F15C8"/>
    <w:rsid w:val="007F1CBA"/>
    <w:rsid w:val="007F2A38"/>
    <w:rsid w:val="007F3D81"/>
    <w:rsid w:val="007F4A86"/>
    <w:rsid w:val="007F4C4F"/>
    <w:rsid w:val="007F4D17"/>
    <w:rsid w:val="007F5406"/>
    <w:rsid w:val="007F5DC6"/>
    <w:rsid w:val="007F695B"/>
    <w:rsid w:val="007F747F"/>
    <w:rsid w:val="008006ED"/>
    <w:rsid w:val="00800DE0"/>
    <w:rsid w:val="0080127C"/>
    <w:rsid w:val="00801727"/>
    <w:rsid w:val="0080199B"/>
    <w:rsid w:val="00801EA0"/>
    <w:rsid w:val="00801F61"/>
    <w:rsid w:val="0080385E"/>
    <w:rsid w:val="008043A4"/>
    <w:rsid w:val="00804A63"/>
    <w:rsid w:val="00805700"/>
    <w:rsid w:val="008061F3"/>
    <w:rsid w:val="0080671D"/>
    <w:rsid w:val="00806869"/>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584"/>
    <w:rsid w:val="0081610A"/>
    <w:rsid w:val="008163F4"/>
    <w:rsid w:val="008168B3"/>
    <w:rsid w:val="00817910"/>
    <w:rsid w:val="008179B6"/>
    <w:rsid w:val="00817EB9"/>
    <w:rsid w:val="008203A9"/>
    <w:rsid w:val="00820AA4"/>
    <w:rsid w:val="00820B6D"/>
    <w:rsid w:val="00820FD7"/>
    <w:rsid w:val="0082100A"/>
    <w:rsid w:val="008212E4"/>
    <w:rsid w:val="0082144F"/>
    <w:rsid w:val="0082303F"/>
    <w:rsid w:val="00823B8E"/>
    <w:rsid w:val="00824257"/>
    <w:rsid w:val="0082548D"/>
    <w:rsid w:val="00826163"/>
    <w:rsid w:val="008275B3"/>
    <w:rsid w:val="00827801"/>
    <w:rsid w:val="00827A15"/>
    <w:rsid w:val="00827B4F"/>
    <w:rsid w:val="00830CEB"/>
    <w:rsid w:val="00831263"/>
    <w:rsid w:val="008314A1"/>
    <w:rsid w:val="00831674"/>
    <w:rsid w:val="00832197"/>
    <w:rsid w:val="00833B5D"/>
    <w:rsid w:val="00833EAF"/>
    <w:rsid w:val="00834005"/>
    <w:rsid w:val="008340C9"/>
    <w:rsid w:val="008351F7"/>
    <w:rsid w:val="0083649B"/>
    <w:rsid w:val="008365FF"/>
    <w:rsid w:val="008366F8"/>
    <w:rsid w:val="008369A1"/>
    <w:rsid w:val="008370AC"/>
    <w:rsid w:val="00837B78"/>
    <w:rsid w:val="00837EFF"/>
    <w:rsid w:val="00840208"/>
    <w:rsid w:val="00840901"/>
    <w:rsid w:val="00840D2E"/>
    <w:rsid w:val="00841011"/>
    <w:rsid w:val="00841462"/>
    <w:rsid w:val="00841737"/>
    <w:rsid w:val="00841AFD"/>
    <w:rsid w:val="00841B9D"/>
    <w:rsid w:val="00843888"/>
    <w:rsid w:val="00845645"/>
    <w:rsid w:val="00846242"/>
    <w:rsid w:val="00847883"/>
    <w:rsid w:val="00847A6F"/>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5A"/>
    <w:rsid w:val="00857F0B"/>
    <w:rsid w:val="00857F24"/>
    <w:rsid w:val="008604A0"/>
    <w:rsid w:val="00860A68"/>
    <w:rsid w:val="00860B0F"/>
    <w:rsid w:val="00860C24"/>
    <w:rsid w:val="00860ED6"/>
    <w:rsid w:val="0086236F"/>
    <w:rsid w:val="00862AD1"/>
    <w:rsid w:val="00862B5D"/>
    <w:rsid w:val="00862F75"/>
    <w:rsid w:val="00863949"/>
    <w:rsid w:val="00865CF6"/>
    <w:rsid w:val="0086693C"/>
    <w:rsid w:val="00866D5F"/>
    <w:rsid w:val="00866E26"/>
    <w:rsid w:val="00867941"/>
    <w:rsid w:val="008679AF"/>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63A"/>
    <w:rsid w:val="00875B3B"/>
    <w:rsid w:val="00875ED7"/>
    <w:rsid w:val="00876405"/>
    <w:rsid w:val="00876821"/>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CBA"/>
    <w:rsid w:val="00885F24"/>
    <w:rsid w:val="00886157"/>
    <w:rsid w:val="008872C9"/>
    <w:rsid w:val="008906F0"/>
    <w:rsid w:val="00891026"/>
    <w:rsid w:val="008911D5"/>
    <w:rsid w:val="008912D7"/>
    <w:rsid w:val="008918FF"/>
    <w:rsid w:val="00891BE3"/>
    <w:rsid w:val="00892539"/>
    <w:rsid w:val="0089273A"/>
    <w:rsid w:val="0089331C"/>
    <w:rsid w:val="008958CB"/>
    <w:rsid w:val="00895BF0"/>
    <w:rsid w:val="00896452"/>
    <w:rsid w:val="0089663F"/>
    <w:rsid w:val="00896F72"/>
    <w:rsid w:val="00897D88"/>
    <w:rsid w:val="008A05B6"/>
    <w:rsid w:val="008A1431"/>
    <w:rsid w:val="008A1C4F"/>
    <w:rsid w:val="008A3A03"/>
    <w:rsid w:val="008A4B78"/>
    <w:rsid w:val="008A4E32"/>
    <w:rsid w:val="008A562C"/>
    <w:rsid w:val="008A6B3F"/>
    <w:rsid w:val="008A6B8C"/>
    <w:rsid w:val="008A7059"/>
    <w:rsid w:val="008A71CE"/>
    <w:rsid w:val="008A7DCC"/>
    <w:rsid w:val="008B1241"/>
    <w:rsid w:val="008B2341"/>
    <w:rsid w:val="008B2F2D"/>
    <w:rsid w:val="008B304A"/>
    <w:rsid w:val="008B4227"/>
    <w:rsid w:val="008B4D9D"/>
    <w:rsid w:val="008B5701"/>
    <w:rsid w:val="008B58D8"/>
    <w:rsid w:val="008B62BE"/>
    <w:rsid w:val="008B6C52"/>
    <w:rsid w:val="008B7309"/>
    <w:rsid w:val="008B747D"/>
    <w:rsid w:val="008B74EF"/>
    <w:rsid w:val="008B768D"/>
    <w:rsid w:val="008B7E6A"/>
    <w:rsid w:val="008C03BD"/>
    <w:rsid w:val="008C055D"/>
    <w:rsid w:val="008C1A01"/>
    <w:rsid w:val="008C1E46"/>
    <w:rsid w:val="008C2811"/>
    <w:rsid w:val="008C3289"/>
    <w:rsid w:val="008C35FE"/>
    <w:rsid w:val="008C43D0"/>
    <w:rsid w:val="008C648F"/>
    <w:rsid w:val="008C6706"/>
    <w:rsid w:val="008C74D2"/>
    <w:rsid w:val="008C7991"/>
    <w:rsid w:val="008C7B0F"/>
    <w:rsid w:val="008C7BB3"/>
    <w:rsid w:val="008D00D2"/>
    <w:rsid w:val="008D0C44"/>
    <w:rsid w:val="008D14F8"/>
    <w:rsid w:val="008D24A5"/>
    <w:rsid w:val="008D28B1"/>
    <w:rsid w:val="008D31AA"/>
    <w:rsid w:val="008D4AAF"/>
    <w:rsid w:val="008D4B36"/>
    <w:rsid w:val="008D5204"/>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54A"/>
    <w:rsid w:val="008E771A"/>
    <w:rsid w:val="008E7874"/>
    <w:rsid w:val="008F12DB"/>
    <w:rsid w:val="008F18C6"/>
    <w:rsid w:val="008F34F1"/>
    <w:rsid w:val="008F4945"/>
    <w:rsid w:val="008F4EBD"/>
    <w:rsid w:val="008F54D0"/>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6FB"/>
    <w:rsid w:val="009058D2"/>
    <w:rsid w:val="00905E5E"/>
    <w:rsid w:val="00906CB1"/>
    <w:rsid w:val="00906FCD"/>
    <w:rsid w:val="00907819"/>
    <w:rsid w:val="00907B60"/>
    <w:rsid w:val="00910AD8"/>
    <w:rsid w:val="00911B7A"/>
    <w:rsid w:val="00912043"/>
    <w:rsid w:val="00912498"/>
    <w:rsid w:val="009135C6"/>
    <w:rsid w:val="00913C85"/>
    <w:rsid w:val="00913D29"/>
    <w:rsid w:val="0091435F"/>
    <w:rsid w:val="0091455D"/>
    <w:rsid w:val="0091464F"/>
    <w:rsid w:val="00914A4F"/>
    <w:rsid w:val="00916596"/>
    <w:rsid w:val="009202B7"/>
    <w:rsid w:val="00921404"/>
    <w:rsid w:val="00921D3C"/>
    <w:rsid w:val="0092265E"/>
    <w:rsid w:val="009226A4"/>
    <w:rsid w:val="009229B1"/>
    <w:rsid w:val="00923315"/>
    <w:rsid w:val="00923742"/>
    <w:rsid w:val="0092417C"/>
    <w:rsid w:val="00924A23"/>
    <w:rsid w:val="0092574F"/>
    <w:rsid w:val="00926073"/>
    <w:rsid w:val="0092662C"/>
    <w:rsid w:val="009269EC"/>
    <w:rsid w:val="00926A9B"/>
    <w:rsid w:val="009274CF"/>
    <w:rsid w:val="00927D48"/>
    <w:rsid w:val="0093057F"/>
    <w:rsid w:val="00930AFA"/>
    <w:rsid w:val="00931B04"/>
    <w:rsid w:val="00931FD7"/>
    <w:rsid w:val="00931FF8"/>
    <w:rsid w:val="0093204B"/>
    <w:rsid w:val="00932C44"/>
    <w:rsid w:val="00933173"/>
    <w:rsid w:val="009334A5"/>
    <w:rsid w:val="009341A5"/>
    <w:rsid w:val="00934277"/>
    <w:rsid w:val="00934345"/>
    <w:rsid w:val="00934AA0"/>
    <w:rsid w:val="00935689"/>
    <w:rsid w:val="00935CAC"/>
    <w:rsid w:val="00936400"/>
    <w:rsid w:val="00936406"/>
    <w:rsid w:val="009371AE"/>
    <w:rsid w:val="0093734F"/>
    <w:rsid w:val="009373C6"/>
    <w:rsid w:val="00937716"/>
    <w:rsid w:val="00937DE3"/>
    <w:rsid w:val="00937E25"/>
    <w:rsid w:val="00941C46"/>
    <w:rsid w:val="00941FC6"/>
    <w:rsid w:val="00942B8B"/>
    <w:rsid w:val="0094465B"/>
    <w:rsid w:val="0094495A"/>
    <w:rsid w:val="0094593B"/>
    <w:rsid w:val="0094600B"/>
    <w:rsid w:val="00946428"/>
    <w:rsid w:val="0094749B"/>
    <w:rsid w:val="00947679"/>
    <w:rsid w:val="00947FCF"/>
    <w:rsid w:val="009500A2"/>
    <w:rsid w:val="00951ECB"/>
    <w:rsid w:val="0095209F"/>
    <w:rsid w:val="009523DF"/>
    <w:rsid w:val="009528CA"/>
    <w:rsid w:val="009529AA"/>
    <w:rsid w:val="009531D8"/>
    <w:rsid w:val="00953434"/>
    <w:rsid w:val="0095346F"/>
    <w:rsid w:val="0095394D"/>
    <w:rsid w:val="00953F76"/>
    <w:rsid w:val="0095494C"/>
    <w:rsid w:val="00956689"/>
    <w:rsid w:val="00956815"/>
    <w:rsid w:val="00957263"/>
    <w:rsid w:val="009601EF"/>
    <w:rsid w:val="00960AC5"/>
    <w:rsid w:val="00960D7B"/>
    <w:rsid w:val="0096226B"/>
    <w:rsid w:val="00963113"/>
    <w:rsid w:val="00963A2A"/>
    <w:rsid w:val="00964411"/>
    <w:rsid w:val="00965568"/>
    <w:rsid w:val="00965773"/>
    <w:rsid w:val="00965930"/>
    <w:rsid w:val="00966B1C"/>
    <w:rsid w:val="00966E85"/>
    <w:rsid w:val="009670FA"/>
    <w:rsid w:val="009671DE"/>
    <w:rsid w:val="009673CD"/>
    <w:rsid w:val="009676F3"/>
    <w:rsid w:val="00967C5E"/>
    <w:rsid w:val="00967CAE"/>
    <w:rsid w:val="009717AA"/>
    <w:rsid w:val="00972317"/>
    <w:rsid w:val="00972A19"/>
    <w:rsid w:val="00972C27"/>
    <w:rsid w:val="0097374F"/>
    <w:rsid w:val="00973D0A"/>
    <w:rsid w:val="00974E72"/>
    <w:rsid w:val="009757EF"/>
    <w:rsid w:val="00975C71"/>
    <w:rsid w:val="00975EFD"/>
    <w:rsid w:val="00975F5F"/>
    <w:rsid w:val="009765F5"/>
    <w:rsid w:val="009772DB"/>
    <w:rsid w:val="00977D9D"/>
    <w:rsid w:val="00980834"/>
    <w:rsid w:val="00981BEC"/>
    <w:rsid w:val="00981DFA"/>
    <w:rsid w:val="00982D59"/>
    <w:rsid w:val="009846AF"/>
    <w:rsid w:val="0098487E"/>
    <w:rsid w:val="009859ED"/>
    <w:rsid w:val="00985C29"/>
    <w:rsid w:val="00985E97"/>
    <w:rsid w:val="00986B52"/>
    <w:rsid w:val="00986F77"/>
    <w:rsid w:val="0098744F"/>
    <w:rsid w:val="0099047E"/>
    <w:rsid w:val="009905A5"/>
    <w:rsid w:val="00990CA5"/>
    <w:rsid w:val="00991287"/>
    <w:rsid w:val="0099138C"/>
    <w:rsid w:val="00992D91"/>
    <w:rsid w:val="00993A72"/>
    <w:rsid w:val="0099431B"/>
    <w:rsid w:val="00995AB2"/>
    <w:rsid w:val="00995E19"/>
    <w:rsid w:val="0099617F"/>
    <w:rsid w:val="0099699A"/>
    <w:rsid w:val="0099703C"/>
    <w:rsid w:val="009974CA"/>
    <w:rsid w:val="009A023E"/>
    <w:rsid w:val="009A09E8"/>
    <w:rsid w:val="009A14EB"/>
    <w:rsid w:val="009A16BB"/>
    <w:rsid w:val="009A18AB"/>
    <w:rsid w:val="009A1A62"/>
    <w:rsid w:val="009A1CB4"/>
    <w:rsid w:val="009A285B"/>
    <w:rsid w:val="009A28C0"/>
    <w:rsid w:val="009A2FDA"/>
    <w:rsid w:val="009A2FE1"/>
    <w:rsid w:val="009A3310"/>
    <w:rsid w:val="009A3680"/>
    <w:rsid w:val="009A37B0"/>
    <w:rsid w:val="009A4024"/>
    <w:rsid w:val="009A42A6"/>
    <w:rsid w:val="009A4B50"/>
    <w:rsid w:val="009A4DD8"/>
    <w:rsid w:val="009A6653"/>
    <w:rsid w:val="009A77DC"/>
    <w:rsid w:val="009B06F9"/>
    <w:rsid w:val="009B129C"/>
    <w:rsid w:val="009B12B2"/>
    <w:rsid w:val="009B1438"/>
    <w:rsid w:val="009B14C2"/>
    <w:rsid w:val="009B2092"/>
    <w:rsid w:val="009B21FC"/>
    <w:rsid w:val="009B327B"/>
    <w:rsid w:val="009B39C1"/>
    <w:rsid w:val="009B3D58"/>
    <w:rsid w:val="009B56A5"/>
    <w:rsid w:val="009B6177"/>
    <w:rsid w:val="009B70D3"/>
    <w:rsid w:val="009C10FD"/>
    <w:rsid w:val="009C160E"/>
    <w:rsid w:val="009C1B5B"/>
    <w:rsid w:val="009C1CDC"/>
    <w:rsid w:val="009C2775"/>
    <w:rsid w:val="009C2E3E"/>
    <w:rsid w:val="009C34F3"/>
    <w:rsid w:val="009C3CC7"/>
    <w:rsid w:val="009C3E2A"/>
    <w:rsid w:val="009C4194"/>
    <w:rsid w:val="009C5B93"/>
    <w:rsid w:val="009C5E31"/>
    <w:rsid w:val="009C5EB3"/>
    <w:rsid w:val="009C60AA"/>
    <w:rsid w:val="009C69C3"/>
    <w:rsid w:val="009C6BD3"/>
    <w:rsid w:val="009C6DAA"/>
    <w:rsid w:val="009C7184"/>
    <w:rsid w:val="009C71E3"/>
    <w:rsid w:val="009C7BF0"/>
    <w:rsid w:val="009D01ED"/>
    <w:rsid w:val="009D063E"/>
    <w:rsid w:val="009D0E09"/>
    <w:rsid w:val="009D0E8C"/>
    <w:rsid w:val="009D1662"/>
    <w:rsid w:val="009D1690"/>
    <w:rsid w:val="009D25CF"/>
    <w:rsid w:val="009D2989"/>
    <w:rsid w:val="009D311B"/>
    <w:rsid w:val="009D3FC1"/>
    <w:rsid w:val="009D40FB"/>
    <w:rsid w:val="009D4591"/>
    <w:rsid w:val="009D45F1"/>
    <w:rsid w:val="009D6914"/>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B27"/>
    <w:rsid w:val="009F1990"/>
    <w:rsid w:val="009F1D93"/>
    <w:rsid w:val="009F2279"/>
    <w:rsid w:val="009F22E4"/>
    <w:rsid w:val="009F289D"/>
    <w:rsid w:val="009F29F3"/>
    <w:rsid w:val="009F401A"/>
    <w:rsid w:val="009F4071"/>
    <w:rsid w:val="009F44C9"/>
    <w:rsid w:val="009F4AB2"/>
    <w:rsid w:val="009F532C"/>
    <w:rsid w:val="009F597D"/>
    <w:rsid w:val="009F66FC"/>
    <w:rsid w:val="009F6CA4"/>
    <w:rsid w:val="009F701A"/>
    <w:rsid w:val="00A0046D"/>
    <w:rsid w:val="00A0069D"/>
    <w:rsid w:val="00A00D6C"/>
    <w:rsid w:val="00A01A07"/>
    <w:rsid w:val="00A020BD"/>
    <w:rsid w:val="00A0414F"/>
    <w:rsid w:val="00A04926"/>
    <w:rsid w:val="00A05087"/>
    <w:rsid w:val="00A05578"/>
    <w:rsid w:val="00A06D7E"/>
    <w:rsid w:val="00A06F5F"/>
    <w:rsid w:val="00A06FE9"/>
    <w:rsid w:val="00A07592"/>
    <w:rsid w:val="00A10A86"/>
    <w:rsid w:val="00A113A0"/>
    <w:rsid w:val="00A1265D"/>
    <w:rsid w:val="00A126F1"/>
    <w:rsid w:val="00A128E7"/>
    <w:rsid w:val="00A12D95"/>
    <w:rsid w:val="00A1462B"/>
    <w:rsid w:val="00A14759"/>
    <w:rsid w:val="00A15026"/>
    <w:rsid w:val="00A150EC"/>
    <w:rsid w:val="00A15749"/>
    <w:rsid w:val="00A15CAB"/>
    <w:rsid w:val="00A211EA"/>
    <w:rsid w:val="00A2184D"/>
    <w:rsid w:val="00A231E5"/>
    <w:rsid w:val="00A234B2"/>
    <w:rsid w:val="00A234B5"/>
    <w:rsid w:val="00A24AAC"/>
    <w:rsid w:val="00A25024"/>
    <w:rsid w:val="00A251D5"/>
    <w:rsid w:val="00A26006"/>
    <w:rsid w:val="00A261CE"/>
    <w:rsid w:val="00A2648E"/>
    <w:rsid w:val="00A265E1"/>
    <w:rsid w:val="00A26718"/>
    <w:rsid w:val="00A26892"/>
    <w:rsid w:val="00A26D3C"/>
    <w:rsid w:val="00A27612"/>
    <w:rsid w:val="00A276B7"/>
    <w:rsid w:val="00A27763"/>
    <w:rsid w:val="00A27D1C"/>
    <w:rsid w:val="00A302BB"/>
    <w:rsid w:val="00A31440"/>
    <w:rsid w:val="00A3193D"/>
    <w:rsid w:val="00A31E1D"/>
    <w:rsid w:val="00A31FF1"/>
    <w:rsid w:val="00A328B6"/>
    <w:rsid w:val="00A33015"/>
    <w:rsid w:val="00A33164"/>
    <w:rsid w:val="00A333A2"/>
    <w:rsid w:val="00A337CF"/>
    <w:rsid w:val="00A342C5"/>
    <w:rsid w:val="00A3481F"/>
    <w:rsid w:val="00A35EBF"/>
    <w:rsid w:val="00A3625B"/>
    <w:rsid w:val="00A3660C"/>
    <w:rsid w:val="00A36A23"/>
    <w:rsid w:val="00A371E8"/>
    <w:rsid w:val="00A378CB"/>
    <w:rsid w:val="00A37C27"/>
    <w:rsid w:val="00A40166"/>
    <w:rsid w:val="00A41237"/>
    <w:rsid w:val="00A41C93"/>
    <w:rsid w:val="00A423FA"/>
    <w:rsid w:val="00A42646"/>
    <w:rsid w:val="00A4295A"/>
    <w:rsid w:val="00A42D9C"/>
    <w:rsid w:val="00A42F67"/>
    <w:rsid w:val="00A432F8"/>
    <w:rsid w:val="00A433A5"/>
    <w:rsid w:val="00A434AE"/>
    <w:rsid w:val="00A4395F"/>
    <w:rsid w:val="00A43ADA"/>
    <w:rsid w:val="00A43D9C"/>
    <w:rsid w:val="00A4405D"/>
    <w:rsid w:val="00A4421B"/>
    <w:rsid w:val="00A44762"/>
    <w:rsid w:val="00A44808"/>
    <w:rsid w:val="00A452ED"/>
    <w:rsid w:val="00A467D4"/>
    <w:rsid w:val="00A46D00"/>
    <w:rsid w:val="00A4796C"/>
    <w:rsid w:val="00A47F87"/>
    <w:rsid w:val="00A501C9"/>
    <w:rsid w:val="00A53481"/>
    <w:rsid w:val="00A53579"/>
    <w:rsid w:val="00A54103"/>
    <w:rsid w:val="00A54592"/>
    <w:rsid w:val="00A54D74"/>
    <w:rsid w:val="00A55412"/>
    <w:rsid w:val="00A55CC2"/>
    <w:rsid w:val="00A56027"/>
    <w:rsid w:val="00A57E37"/>
    <w:rsid w:val="00A6003E"/>
    <w:rsid w:val="00A6045E"/>
    <w:rsid w:val="00A60784"/>
    <w:rsid w:val="00A62EB4"/>
    <w:rsid w:val="00A6304A"/>
    <w:rsid w:val="00A63C59"/>
    <w:rsid w:val="00A63EA9"/>
    <w:rsid w:val="00A6443A"/>
    <w:rsid w:val="00A64F1A"/>
    <w:rsid w:val="00A65F3D"/>
    <w:rsid w:val="00A65F7E"/>
    <w:rsid w:val="00A661F2"/>
    <w:rsid w:val="00A663AF"/>
    <w:rsid w:val="00A67C8B"/>
    <w:rsid w:val="00A70206"/>
    <w:rsid w:val="00A70233"/>
    <w:rsid w:val="00A705BB"/>
    <w:rsid w:val="00A70B88"/>
    <w:rsid w:val="00A70D6B"/>
    <w:rsid w:val="00A70E4B"/>
    <w:rsid w:val="00A715B2"/>
    <w:rsid w:val="00A71E2C"/>
    <w:rsid w:val="00A7293B"/>
    <w:rsid w:val="00A72DBF"/>
    <w:rsid w:val="00A737D1"/>
    <w:rsid w:val="00A73C61"/>
    <w:rsid w:val="00A73D05"/>
    <w:rsid w:val="00A743EF"/>
    <w:rsid w:val="00A75655"/>
    <w:rsid w:val="00A75D9B"/>
    <w:rsid w:val="00A76BC2"/>
    <w:rsid w:val="00A76CC0"/>
    <w:rsid w:val="00A80453"/>
    <w:rsid w:val="00A806E1"/>
    <w:rsid w:val="00A80A03"/>
    <w:rsid w:val="00A81897"/>
    <w:rsid w:val="00A821EE"/>
    <w:rsid w:val="00A825C2"/>
    <w:rsid w:val="00A827B1"/>
    <w:rsid w:val="00A82A0C"/>
    <w:rsid w:val="00A82F56"/>
    <w:rsid w:val="00A83385"/>
    <w:rsid w:val="00A833D8"/>
    <w:rsid w:val="00A83F4D"/>
    <w:rsid w:val="00A84BED"/>
    <w:rsid w:val="00A85131"/>
    <w:rsid w:val="00A86313"/>
    <w:rsid w:val="00A8651E"/>
    <w:rsid w:val="00A86AF1"/>
    <w:rsid w:val="00A870D8"/>
    <w:rsid w:val="00A871D7"/>
    <w:rsid w:val="00A879A8"/>
    <w:rsid w:val="00A90432"/>
    <w:rsid w:val="00A90BA5"/>
    <w:rsid w:val="00A9402B"/>
    <w:rsid w:val="00A94E55"/>
    <w:rsid w:val="00A94EC8"/>
    <w:rsid w:val="00A951CD"/>
    <w:rsid w:val="00A95201"/>
    <w:rsid w:val="00A95461"/>
    <w:rsid w:val="00A954D3"/>
    <w:rsid w:val="00A95A72"/>
    <w:rsid w:val="00A969ED"/>
    <w:rsid w:val="00A96D95"/>
    <w:rsid w:val="00A97565"/>
    <w:rsid w:val="00A97AAF"/>
    <w:rsid w:val="00AA0673"/>
    <w:rsid w:val="00AA08D9"/>
    <w:rsid w:val="00AA0DF2"/>
    <w:rsid w:val="00AA18C0"/>
    <w:rsid w:val="00AA1CCF"/>
    <w:rsid w:val="00AA2317"/>
    <w:rsid w:val="00AA2AB2"/>
    <w:rsid w:val="00AA3D8E"/>
    <w:rsid w:val="00AA3FCA"/>
    <w:rsid w:val="00AA4089"/>
    <w:rsid w:val="00AA4EB6"/>
    <w:rsid w:val="00AA529D"/>
    <w:rsid w:val="00AA57AF"/>
    <w:rsid w:val="00AA59F5"/>
    <w:rsid w:val="00AA68B1"/>
    <w:rsid w:val="00AA7D37"/>
    <w:rsid w:val="00AB05D0"/>
    <w:rsid w:val="00AB1343"/>
    <w:rsid w:val="00AB26A6"/>
    <w:rsid w:val="00AB2F38"/>
    <w:rsid w:val="00AB341F"/>
    <w:rsid w:val="00AB3A84"/>
    <w:rsid w:val="00AB4ED6"/>
    <w:rsid w:val="00AB542E"/>
    <w:rsid w:val="00AB705B"/>
    <w:rsid w:val="00AB77A7"/>
    <w:rsid w:val="00AB7AF7"/>
    <w:rsid w:val="00AC0B92"/>
    <w:rsid w:val="00AC1E62"/>
    <w:rsid w:val="00AC22CA"/>
    <w:rsid w:val="00AC2423"/>
    <w:rsid w:val="00AC2834"/>
    <w:rsid w:val="00AC2DFE"/>
    <w:rsid w:val="00AC3EFF"/>
    <w:rsid w:val="00AC49C4"/>
    <w:rsid w:val="00AC60FC"/>
    <w:rsid w:val="00AC6CE7"/>
    <w:rsid w:val="00AC7606"/>
    <w:rsid w:val="00AC7B39"/>
    <w:rsid w:val="00AD0372"/>
    <w:rsid w:val="00AD06B1"/>
    <w:rsid w:val="00AD0DDB"/>
    <w:rsid w:val="00AD107C"/>
    <w:rsid w:val="00AD174A"/>
    <w:rsid w:val="00AD2100"/>
    <w:rsid w:val="00AD265A"/>
    <w:rsid w:val="00AD3083"/>
    <w:rsid w:val="00AD30D3"/>
    <w:rsid w:val="00AD396B"/>
    <w:rsid w:val="00AD3CD7"/>
    <w:rsid w:val="00AD439D"/>
    <w:rsid w:val="00AD4FC0"/>
    <w:rsid w:val="00AD571D"/>
    <w:rsid w:val="00AD572F"/>
    <w:rsid w:val="00AD5882"/>
    <w:rsid w:val="00AD5EFA"/>
    <w:rsid w:val="00AD6110"/>
    <w:rsid w:val="00AD611A"/>
    <w:rsid w:val="00AD7AFD"/>
    <w:rsid w:val="00AD7DF4"/>
    <w:rsid w:val="00AE047E"/>
    <w:rsid w:val="00AE07E9"/>
    <w:rsid w:val="00AE0D01"/>
    <w:rsid w:val="00AE1908"/>
    <w:rsid w:val="00AE1980"/>
    <w:rsid w:val="00AE1DBC"/>
    <w:rsid w:val="00AE23BD"/>
    <w:rsid w:val="00AE48E3"/>
    <w:rsid w:val="00AE4903"/>
    <w:rsid w:val="00AE4B12"/>
    <w:rsid w:val="00AE504D"/>
    <w:rsid w:val="00AE53F0"/>
    <w:rsid w:val="00AE54D5"/>
    <w:rsid w:val="00AE5A37"/>
    <w:rsid w:val="00AE5B2A"/>
    <w:rsid w:val="00AE67BB"/>
    <w:rsid w:val="00AE6B73"/>
    <w:rsid w:val="00AE6E22"/>
    <w:rsid w:val="00AE70D3"/>
    <w:rsid w:val="00AE7939"/>
    <w:rsid w:val="00AE7EE8"/>
    <w:rsid w:val="00AF015E"/>
    <w:rsid w:val="00AF01A6"/>
    <w:rsid w:val="00AF0726"/>
    <w:rsid w:val="00AF0EA2"/>
    <w:rsid w:val="00AF0F7F"/>
    <w:rsid w:val="00AF1F75"/>
    <w:rsid w:val="00AF20B5"/>
    <w:rsid w:val="00AF2732"/>
    <w:rsid w:val="00AF286F"/>
    <w:rsid w:val="00AF3639"/>
    <w:rsid w:val="00AF36C7"/>
    <w:rsid w:val="00AF3993"/>
    <w:rsid w:val="00AF3BDB"/>
    <w:rsid w:val="00AF3CF3"/>
    <w:rsid w:val="00AF40C9"/>
    <w:rsid w:val="00AF469D"/>
    <w:rsid w:val="00AF546E"/>
    <w:rsid w:val="00AF5941"/>
    <w:rsid w:val="00B0048B"/>
    <w:rsid w:val="00B006F8"/>
    <w:rsid w:val="00B00BE0"/>
    <w:rsid w:val="00B010A5"/>
    <w:rsid w:val="00B023A9"/>
    <w:rsid w:val="00B03209"/>
    <w:rsid w:val="00B0404F"/>
    <w:rsid w:val="00B04C1E"/>
    <w:rsid w:val="00B06C94"/>
    <w:rsid w:val="00B07B2B"/>
    <w:rsid w:val="00B07D28"/>
    <w:rsid w:val="00B10496"/>
    <w:rsid w:val="00B113B5"/>
    <w:rsid w:val="00B11B6C"/>
    <w:rsid w:val="00B12393"/>
    <w:rsid w:val="00B12747"/>
    <w:rsid w:val="00B1290C"/>
    <w:rsid w:val="00B12E99"/>
    <w:rsid w:val="00B132A5"/>
    <w:rsid w:val="00B13624"/>
    <w:rsid w:val="00B13D8F"/>
    <w:rsid w:val="00B14BB5"/>
    <w:rsid w:val="00B14BE7"/>
    <w:rsid w:val="00B15D4D"/>
    <w:rsid w:val="00B16978"/>
    <w:rsid w:val="00B16E0F"/>
    <w:rsid w:val="00B16FB1"/>
    <w:rsid w:val="00B17446"/>
    <w:rsid w:val="00B17939"/>
    <w:rsid w:val="00B17EF8"/>
    <w:rsid w:val="00B20142"/>
    <w:rsid w:val="00B20541"/>
    <w:rsid w:val="00B20AD4"/>
    <w:rsid w:val="00B21200"/>
    <w:rsid w:val="00B2192D"/>
    <w:rsid w:val="00B219B2"/>
    <w:rsid w:val="00B21CA4"/>
    <w:rsid w:val="00B221BB"/>
    <w:rsid w:val="00B229DB"/>
    <w:rsid w:val="00B236B5"/>
    <w:rsid w:val="00B238F7"/>
    <w:rsid w:val="00B245CD"/>
    <w:rsid w:val="00B24DC1"/>
    <w:rsid w:val="00B25226"/>
    <w:rsid w:val="00B2569C"/>
    <w:rsid w:val="00B26770"/>
    <w:rsid w:val="00B26E71"/>
    <w:rsid w:val="00B30197"/>
    <w:rsid w:val="00B30252"/>
    <w:rsid w:val="00B30B26"/>
    <w:rsid w:val="00B31067"/>
    <w:rsid w:val="00B31BB3"/>
    <w:rsid w:val="00B31FA6"/>
    <w:rsid w:val="00B320F3"/>
    <w:rsid w:val="00B32CF2"/>
    <w:rsid w:val="00B32F88"/>
    <w:rsid w:val="00B33106"/>
    <w:rsid w:val="00B334BE"/>
    <w:rsid w:val="00B3357A"/>
    <w:rsid w:val="00B33BB6"/>
    <w:rsid w:val="00B3483A"/>
    <w:rsid w:val="00B34B4C"/>
    <w:rsid w:val="00B362BB"/>
    <w:rsid w:val="00B36586"/>
    <w:rsid w:val="00B372E7"/>
    <w:rsid w:val="00B37E64"/>
    <w:rsid w:val="00B40F2C"/>
    <w:rsid w:val="00B41A0C"/>
    <w:rsid w:val="00B42976"/>
    <w:rsid w:val="00B42E75"/>
    <w:rsid w:val="00B44B05"/>
    <w:rsid w:val="00B453E8"/>
    <w:rsid w:val="00B45ABF"/>
    <w:rsid w:val="00B45E03"/>
    <w:rsid w:val="00B45FDB"/>
    <w:rsid w:val="00B4684B"/>
    <w:rsid w:val="00B475DF"/>
    <w:rsid w:val="00B47E27"/>
    <w:rsid w:val="00B5087E"/>
    <w:rsid w:val="00B51391"/>
    <w:rsid w:val="00B51DAD"/>
    <w:rsid w:val="00B527AA"/>
    <w:rsid w:val="00B5358A"/>
    <w:rsid w:val="00B535D3"/>
    <w:rsid w:val="00B53BB4"/>
    <w:rsid w:val="00B540C4"/>
    <w:rsid w:val="00B542A3"/>
    <w:rsid w:val="00B54731"/>
    <w:rsid w:val="00B5488F"/>
    <w:rsid w:val="00B54C5F"/>
    <w:rsid w:val="00B554E2"/>
    <w:rsid w:val="00B558B4"/>
    <w:rsid w:val="00B56608"/>
    <w:rsid w:val="00B56DD5"/>
    <w:rsid w:val="00B56E6B"/>
    <w:rsid w:val="00B56FC9"/>
    <w:rsid w:val="00B57087"/>
    <w:rsid w:val="00B6084E"/>
    <w:rsid w:val="00B60894"/>
    <w:rsid w:val="00B61008"/>
    <w:rsid w:val="00B619F7"/>
    <w:rsid w:val="00B61DD7"/>
    <w:rsid w:val="00B62A93"/>
    <w:rsid w:val="00B62B72"/>
    <w:rsid w:val="00B64CBE"/>
    <w:rsid w:val="00B64FBD"/>
    <w:rsid w:val="00B6538D"/>
    <w:rsid w:val="00B65605"/>
    <w:rsid w:val="00B657CA"/>
    <w:rsid w:val="00B661B6"/>
    <w:rsid w:val="00B66D92"/>
    <w:rsid w:val="00B677DE"/>
    <w:rsid w:val="00B7023A"/>
    <w:rsid w:val="00B70E53"/>
    <w:rsid w:val="00B7189E"/>
    <w:rsid w:val="00B71B0B"/>
    <w:rsid w:val="00B737CC"/>
    <w:rsid w:val="00B73EA1"/>
    <w:rsid w:val="00B76DD1"/>
    <w:rsid w:val="00B76E3B"/>
    <w:rsid w:val="00B77916"/>
    <w:rsid w:val="00B8003E"/>
    <w:rsid w:val="00B8054A"/>
    <w:rsid w:val="00B80772"/>
    <w:rsid w:val="00B810AA"/>
    <w:rsid w:val="00B814F9"/>
    <w:rsid w:val="00B81C67"/>
    <w:rsid w:val="00B828BD"/>
    <w:rsid w:val="00B82983"/>
    <w:rsid w:val="00B82CF4"/>
    <w:rsid w:val="00B841BD"/>
    <w:rsid w:val="00B848C3"/>
    <w:rsid w:val="00B85D62"/>
    <w:rsid w:val="00B85E39"/>
    <w:rsid w:val="00B86886"/>
    <w:rsid w:val="00B86978"/>
    <w:rsid w:val="00B874DF"/>
    <w:rsid w:val="00B8796E"/>
    <w:rsid w:val="00B87CA7"/>
    <w:rsid w:val="00B9040F"/>
    <w:rsid w:val="00B90C3B"/>
    <w:rsid w:val="00B9147B"/>
    <w:rsid w:val="00B9197D"/>
    <w:rsid w:val="00B927E9"/>
    <w:rsid w:val="00B92945"/>
    <w:rsid w:val="00B94228"/>
    <w:rsid w:val="00B9432A"/>
    <w:rsid w:val="00B94D8D"/>
    <w:rsid w:val="00B9584D"/>
    <w:rsid w:val="00B95D2B"/>
    <w:rsid w:val="00B95DBF"/>
    <w:rsid w:val="00B96444"/>
    <w:rsid w:val="00B9747E"/>
    <w:rsid w:val="00B974C5"/>
    <w:rsid w:val="00B9772B"/>
    <w:rsid w:val="00B97FDD"/>
    <w:rsid w:val="00BA0153"/>
    <w:rsid w:val="00BA01AE"/>
    <w:rsid w:val="00BA0B4E"/>
    <w:rsid w:val="00BA1513"/>
    <w:rsid w:val="00BA1828"/>
    <w:rsid w:val="00BA2CD4"/>
    <w:rsid w:val="00BA3E04"/>
    <w:rsid w:val="00BA4F48"/>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18E"/>
    <w:rsid w:val="00BB494D"/>
    <w:rsid w:val="00BB648A"/>
    <w:rsid w:val="00BB661F"/>
    <w:rsid w:val="00BB69A2"/>
    <w:rsid w:val="00BB6CE7"/>
    <w:rsid w:val="00BB74BA"/>
    <w:rsid w:val="00BB7720"/>
    <w:rsid w:val="00BB7A4A"/>
    <w:rsid w:val="00BC008F"/>
    <w:rsid w:val="00BC18E3"/>
    <w:rsid w:val="00BC3587"/>
    <w:rsid w:val="00BC370F"/>
    <w:rsid w:val="00BC3E9A"/>
    <w:rsid w:val="00BC41A0"/>
    <w:rsid w:val="00BC657B"/>
    <w:rsid w:val="00BC6836"/>
    <w:rsid w:val="00BC72F0"/>
    <w:rsid w:val="00BC787F"/>
    <w:rsid w:val="00BC7D42"/>
    <w:rsid w:val="00BD0B22"/>
    <w:rsid w:val="00BD1236"/>
    <w:rsid w:val="00BD2677"/>
    <w:rsid w:val="00BD32D8"/>
    <w:rsid w:val="00BD391D"/>
    <w:rsid w:val="00BD39EA"/>
    <w:rsid w:val="00BD5042"/>
    <w:rsid w:val="00BD5D36"/>
    <w:rsid w:val="00BD5FAB"/>
    <w:rsid w:val="00BD68EB"/>
    <w:rsid w:val="00BD6AAE"/>
    <w:rsid w:val="00BE06FF"/>
    <w:rsid w:val="00BE0CC9"/>
    <w:rsid w:val="00BE1251"/>
    <w:rsid w:val="00BE1279"/>
    <w:rsid w:val="00BE192B"/>
    <w:rsid w:val="00BE210A"/>
    <w:rsid w:val="00BE2BE2"/>
    <w:rsid w:val="00BE3F78"/>
    <w:rsid w:val="00BE3F9A"/>
    <w:rsid w:val="00BE3FE9"/>
    <w:rsid w:val="00BE4715"/>
    <w:rsid w:val="00BE4AA8"/>
    <w:rsid w:val="00BE57AC"/>
    <w:rsid w:val="00BE5ECB"/>
    <w:rsid w:val="00BE5F77"/>
    <w:rsid w:val="00BE600E"/>
    <w:rsid w:val="00BE7073"/>
    <w:rsid w:val="00BE70CE"/>
    <w:rsid w:val="00BF0C9C"/>
    <w:rsid w:val="00BF0E09"/>
    <w:rsid w:val="00BF2B7C"/>
    <w:rsid w:val="00BF2E16"/>
    <w:rsid w:val="00BF2E5C"/>
    <w:rsid w:val="00BF3174"/>
    <w:rsid w:val="00BF41D0"/>
    <w:rsid w:val="00BF485A"/>
    <w:rsid w:val="00BF4AC4"/>
    <w:rsid w:val="00BF626B"/>
    <w:rsid w:val="00BF650B"/>
    <w:rsid w:val="00BF66E5"/>
    <w:rsid w:val="00BF6C00"/>
    <w:rsid w:val="00BF6C11"/>
    <w:rsid w:val="00BF7354"/>
    <w:rsid w:val="00C007D5"/>
    <w:rsid w:val="00C00B43"/>
    <w:rsid w:val="00C00C73"/>
    <w:rsid w:val="00C014A8"/>
    <w:rsid w:val="00C014BE"/>
    <w:rsid w:val="00C024AC"/>
    <w:rsid w:val="00C02EBF"/>
    <w:rsid w:val="00C0336D"/>
    <w:rsid w:val="00C04459"/>
    <w:rsid w:val="00C059CD"/>
    <w:rsid w:val="00C066E3"/>
    <w:rsid w:val="00C074FA"/>
    <w:rsid w:val="00C07760"/>
    <w:rsid w:val="00C07952"/>
    <w:rsid w:val="00C07B9E"/>
    <w:rsid w:val="00C10324"/>
    <w:rsid w:val="00C1058D"/>
    <w:rsid w:val="00C108F0"/>
    <w:rsid w:val="00C10B5E"/>
    <w:rsid w:val="00C10CFD"/>
    <w:rsid w:val="00C10D42"/>
    <w:rsid w:val="00C11567"/>
    <w:rsid w:val="00C11633"/>
    <w:rsid w:val="00C11727"/>
    <w:rsid w:val="00C11C97"/>
    <w:rsid w:val="00C12821"/>
    <w:rsid w:val="00C128E6"/>
    <w:rsid w:val="00C12995"/>
    <w:rsid w:val="00C12EEC"/>
    <w:rsid w:val="00C13131"/>
    <w:rsid w:val="00C13938"/>
    <w:rsid w:val="00C13A0A"/>
    <w:rsid w:val="00C13CD0"/>
    <w:rsid w:val="00C154BB"/>
    <w:rsid w:val="00C15762"/>
    <w:rsid w:val="00C15B81"/>
    <w:rsid w:val="00C16570"/>
    <w:rsid w:val="00C16623"/>
    <w:rsid w:val="00C16C61"/>
    <w:rsid w:val="00C1722D"/>
    <w:rsid w:val="00C17522"/>
    <w:rsid w:val="00C17CD5"/>
    <w:rsid w:val="00C20205"/>
    <w:rsid w:val="00C20568"/>
    <w:rsid w:val="00C209BF"/>
    <w:rsid w:val="00C216FB"/>
    <w:rsid w:val="00C21D40"/>
    <w:rsid w:val="00C22B29"/>
    <w:rsid w:val="00C22BF2"/>
    <w:rsid w:val="00C232A2"/>
    <w:rsid w:val="00C23EBF"/>
    <w:rsid w:val="00C24A64"/>
    <w:rsid w:val="00C24F49"/>
    <w:rsid w:val="00C25406"/>
    <w:rsid w:val="00C25619"/>
    <w:rsid w:val="00C25814"/>
    <w:rsid w:val="00C26416"/>
    <w:rsid w:val="00C2708F"/>
    <w:rsid w:val="00C308E4"/>
    <w:rsid w:val="00C32800"/>
    <w:rsid w:val="00C32DFF"/>
    <w:rsid w:val="00C331F6"/>
    <w:rsid w:val="00C333B0"/>
    <w:rsid w:val="00C3400D"/>
    <w:rsid w:val="00C34CE7"/>
    <w:rsid w:val="00C357B8"/>
    <w:rsid w:val="00C357D0"/>
    <w:rsid w:val="00C3598C"/>
    <w:rsid w:val="00C3705B"/>
    <w:rsid w:val="00C37350"/>
    <w:rsid w:val="00C37B4E"/>
    <w:rsid w:val="00C37C3D"/>
    <w:rsid w:val="00C41A8C"/>
    <w:rsid w:val="00C4358E"/>
    <w:rsid w:val="00C438BD"/>
    <w:rsid w:val="00C4445B"/>
    <w:rsid w:val="00C44A70"/>
    <w:rsid w:val="00C4540E"/>
    <w:rsid w:val="00C4690C"/>
    <w:rsid w:val="00C46D16"/>
    <w:rsid w:val="00C471D8"/>
    <w:rsid w:val="00C4745D"/>
    <w:rsid w:val="00C51226"/>
    <w:rsid w:val="00C51256"/>
    <w:rsid w:val="00C5168A"/>
    <w:rsid w:val="00C51D72"/>
    <w:rsid w:val="00C51FF0"/>
    <w:rsid w:val="00C52824"/>
    <w:rsid w:val="00C52831"/>
    <w:rsid w:val="00C53197"/>
    <w:rsid w:val="00C53E05"/>
    <w:rsid w:val="00C553F0"/>
    <w:rsid w:val="00C55AB9"/>
    <w:rsid w:val="00C56881"/>
    <w:rsid w:val="00C57635"/>
    <w:rsid w:val="00C578B3"/>
    <w:rsid w:val="00C57D81"/>
    <w:rsid w:val="00C57F30"/>
    <w:rsid w:val="00C60A1E"/>
    <w:rsid w:val="00C610DC"/>
    <w:rsid w:val="00C61C1D"/>
    <w:rsid w:val="00C63102"/>
    <w:rsid w:val="00C64287"/>
    <w:rsid w:val="00C64F3C"/>
    <w:rsid w:val="00C652C2"/>
    <w:rsid w:val="00C66738"/>
    <w:rsid w:val="00C66B54"/>
    <w:rsid w:val="00C6704E"/>
    <w:rsid w:val="00C70F75"/>
    <w:rsid w:val="00C71516"/>
    <w:rsid w:val="00C727DD"/>
    <w:rsid w:val="00C72B29"/>
    <w:rsid w:val="00C72C4A"/>
    <w:rsid w:val="00C72FDE"/>
    <w:rsid w:val="00C7302A"/>
    <w:rsid w:val="00C73273"/>
    <w:rsid w:val="00C73374"/>
    <w:rsid w:val="00C74A20"/>
    <w:rsid w:val="00C75022"/>
    <w:rsid w:val="00C754CA"/>
    <w:rsid w:val="00C75641"/>
    <w:rsid w:val="00C75684"/>
    <w:rsid w:val="00C7575F"/>
    <w:rsid w:val="00C76384"/>
    <w:rsid w:val="00C76DB3"/>
    <w:rsid w:val="00C77224"/>
    <w:rsid w:val="00C777CB"/>
    <w:rsid w:val="00C804BD"/>
    <w:rsid w:val="00C80A08"/>
    <w:rsid w:val="00C80C24"/>
    <w:rsid w:val="00C81364"/>
    <w:rsid w:val="00C817A6"/>
    <w:rsid w:val="00C81BD4"/>
    <w:rsid w:val="00C83795"/>
    <w:rsid w:val="00C841F3"/>
    <w:rsid w:val="00C84548"/>
    <w:rsid w:val="00C84C17"/>
    <w:rsid w:val="00C84F68"/>
    <w:rsid w:val="00C860F2"/>
    <w:rsid w:val="00C862EA"/>
    <w:rsid w:val="00C872B4"/>
    <w:rsid w:val="00C9072F"/>
    <w:rsid w:val="00C90B09"/>
    <w:rsid w:val="00C90E60"/>
    <w:rsid w:val="00C90F6A"/>
    <w:rsid w:val="00C931CD"/>
    <w:rsid w:val="00C93611"/>
    <w:rsid w:val="00C94386"/>
    <w:rsid w:val="00C95254"/>
    <w:rsid w:val="00C95903"/>
    <w:rsid w:val="00C973B5"/>
    <w:rsid w:val="00C97B64"/>
    <w:rsid w:val="00C97EF8"/>
    <w:rsid w:val="00CA0A6E"/>
    <w:rsid w:val="00CA0F52"/>
    <w:rsid w:val="00CA19B8"/>
    <w:rsid w:val="00CA1BCC"/>
    <w:rsid w:val="00CA3119"/>
    <w:rsid w:val="00CA31D5"/>
    <w:rsid w:val="00CA420E"/>
    <w:rsid w:val="00CA4884"/>
    <w:rsid w:val="00CA4C47"/>
    <w:rsid w:val="00CA52C8"/>
    <w:rsid w:val="00CA5900"/>
    <w:rsid w:val="00CA5C05"/>
    <w:rsid w:val="00CA5E2B"/>
    <w:rsid w:val="00CA686D"/>
    <w:rsid w:val="00CA6A9B"/>
    <w:rsid w:val="00CA6B7B"/>
    <w:rsid w:val="00CB0335"/>
    <w:rsid w:val="00CB2A24"/>
    <w:rsid w:val="00CB2C1D"/>
    <w:rsid w:val="00CB2EDB"/>
    <w:rsid w:val="00CB2FC0"/>
    <w:rsid w:val="00CB313D"/>
    <w:rsid w:val="00CB316A"/>
    <w:rsid w:val="00CB5234"/>
    <w:rsid w:val="00CB5420"/>
    <w:rsid w:val="00CB70D2"/>
    <w:rsid w:val="00CB7142"/>
    <w:rsid w:val="00CB7939"/>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5261"/>
    <w:rsid w:val="00CD5EB6"/>
    <w:rsid w:val="00CD6729"/>
    <w:rsid w:val="00CD6D1E"/>
    <w:rsid w:val="00CD77F8"/>
    <w:rsid w:val="00CE07C4"/>
    <w:rsid w:val="00CE1510"/>
    <w:rsid w:val="00CE19D6"/>
    <w:rsid w:val="00CE41C5"/>
    <w:rsid w:val="00CE50DD"/>
    <w:rsid w:val="00CE5578"/>
    <w:rsid w:val="00CE5618"/>
    <w:rsid w:val="00CE5839"/>
    <w:rsid w:val="00CE5DAA"/>
    <w:rsid w:val="00CE6A15"/>
    <w:rsid w:val="00CE6B6F"/>
    <w:rsid w:val="00CF0B05"/>
    <w:rsid w:val="00CF0D83"/>
    <w:rsid w:val="00CF119F"/>
    <w:rsid w:val="00CF174D"/>
    <w:rsid w:val="00CF1761"/>
    <w:rsid w:val="00CF1B1B"/>
    <w:rsid w:val="00CF2DBA"/>
    <w:rsid w:val="00CF35BC"/>
    <w:rsid w:val="00CF3EDA"/>
    <w:rsid w:val="00CF54DA"/>
    <w:rsid w:val="00CF6427"/>
    <w:rsid w:val="00CF67B6"/>
    <w:rsid w:val="00CF7319"/>
    <w:rsid w:val="00CF7970"/>
    <w:rsid w:val="00D007CE"/>
    <w:rsid w:val="00D01F0A"/>
    <w:rsid w:val="00D025CD"/>
    <w:rsid w:val="00D02688"/>
    <w:rsid w:val="00D02B75"/>
    <w:rsid w:val="00D02C90"/>
    <w:rsid w:val="00D03544"/>
    <w:rsid w:val="00D037A0"/>
    <w:rsid w:val="00D039AB"/>
    <w:rsid w:val="00D03DA9"/>
    <w:rsid w:val="00D03F32"/>
    <w:rsid w:val="00D04A78"/>
    <w:rsid w:val="00D04CB7"/>
    <w:rsid w:val="00D05348"/>
    <w:rsid w:val="00D058F0"/>
    <w:rsid w:val="00D05E76"/>
    <w:rsid w:val="00D05F43"/>
    <w:rsid w:val="00D06506"/>
    <w:rsid w:val="00D07FB0"/>
    <w:rsid w:val="00D10206"/>
    <w:rsid w:val="00D1055D"/>
    <w:rsid w:val="00D10583"/>
    <w:rsid w:val="00D108AC"/>
    <w:rsid w:val="00D108B2"/>
    <w:rsid w:val="00D11104"/>
    <w:rsid w:val="00D134B1"/>
    <w:rsid w:val="00D138D3"/>
    <w:rsid w:val="00D14420"/>
    <w:rsid w:val="00D14705"/>
    <w:rsid w:val="00D15523"/>
    <w:rsid w:val="00D155F6"/>
    <w:rsid w:val="00D15BBE"/>
    <w:rsid w:val="00D15D3A"/>
    <w:rsid w:val="00D166A0"/>
    <w:rsid w:val="00D1721C"/>
    <w:rsid w:val="00D20193"/>
    <w:rsid w:val="00D204BF"/>
    <w:rsid w:val="00D21D60"/>
    <w:rsid w:val="00D2217A"/>
    <w:rsid w:val="00D22F34"/>
    <w:rsid w:val="00D23406"/>
    <w:rsid w:val="00D23666"/>
    <w:rsid w:val="00D23C58"/>
    <w:rsid w:val="00D23CE5"/>
    <w:rsid w:val="00D242BD"/>
    <w:rsid w:val="00D2518F"/>
    <w:rsid w:val="00D25328"/>
    <w:rsid w:val="00D2563C"/>
    <w:rsid w:val="00D26681"/>
    <w:rsid w:val="00D27251"/>
    <w:rsid w:val="00D279A1"/>
    <w:rsid w:val="00D279EE"/>
    <w:rsid w:val="00D27A3E"/>
    <w:rsid w:val="00D27CC7"/>
    <w:rsid w:val="00D27ECA"/>
    <w:rsid w:val="00D27F84"/>
    <w:rsid w:val="00D30399"/>
    <w:rsid w:val="00D306B8"/>
    <w:rsid w:val="00D3089C"/>
    <w:rsid w:val="00D31923"/>
    <w:rsid w:val="00D31EB2"/>
    <w:rsid w:val="00D33B48"/>
    <w:rsid w:val="00D340C9"/>
    <w:rsid w:val="00D34AEA"/>
    <w:rsid w:val="00D34DD3"/>
    <w:rsid w:val="00D3521C"/>
    <w:rsid w:val="00D3537C"/>
    <w:rsid w:val="00D3584E"/>
    <w:rsid w:val="00D359E2"/>
    <w:rsid w:val="00D36D52"/>
    <w:rsid w:val="00D36F08"/>
    <w:rsid w:val="00D370C8"/>
    <w:rsid w:val="00D4121A"/>
    <w:rsid w:val="00D4160F"/>
    <w:rsid w:val="00D417CC"/>
    <w:rsid w:val="00D42319"/>
    <w:rsid w:val="00D42678"/>
    <w:rsid w:val="00D42700"/>
    <w:rsid w:val="00D430FB"/>
    <w:rsid w:val="00D433F2"/>
    <w:rsid w:val="00D43933"/>
    <w:rsid w:val="00D43B2A"/>
    <w:rsid w:val="00D44352"/>
    <w:rsid w:val="00D44806"/>
    <w:rsid w:val="00D44982"/>
    <w:rsid w:val="00D44B75"/>
    <w:rsid w:val="00D45D02"/>
    <w:rsid w:val="00D46275"/>
    <w:rsid w:val="00D468C9"/>
    <w:rsid w:val="00D46E8F"/>
    <w:rsid w:val="00D477CD"/>
    <w:rsid w:val="00D50A12"/>
    <w:rsid w:val="00D5193F"/>
    <w:rsid w:val="00D51DBB"/>
    <w:rsid w:val="00D53602"/>
    <w:rsid w:val="00D54F57"/>
    <w:rsid w:val="00D550AA"/>
    <w:rsid w:val="00D557BD"/>
    <w:rsid w:val="00D55F96"/>
    <w:rsid w:val="00D560D0"/>
    <w:rsid w:val="00D56116"/>
    <w:rsid w:val="00D561F0"/>
    <w:rsid w:val="00D56F0A"/>
    <w:rsid w:val="00D603B8"/>
    <w:rsid w:val="00D60CA9"/>
    <w:rsid w:val="00D61926"/>
    <w:rsid w:val="00D622F0"/>
    <w:rsid w:val="00D62DDC"/>
    <w:rsid w:val="00D62DFB"/>
    <w:rsid w:val="00D62E23"/>
    <w:rsid w:val="00D63706"/>
    <w:rsid w:val="00D63B04"/>
    <w:rsid w:val="00D63EFC"/>
    <w:rsid w:val="00D65218"/>
    <w:rsid w:val="00D662B6"/>
    <w:rsid w:val="00D66379"/>
    <w:rsid w:val="00D66661"/>
    <w:rsid w:val="00D66959"/>
    <w:rsid w:val="00D66AE2"/>
    <w:rsid w:val="00D67046"/>
    <w:rsid w:val="00D67375"/>
    <w:rsid w:val="00D67480"/>
    <w:rsid w:val="00D677E0"/>
    <w:rsid w:val="00D6791E"/>
    <w:rsid w:val="00D70158"/>
    <w:rsid w:val="00D70F1B"/>
    <w:rsid w:val="00D7116C"/>
    <w:rsid w:val="00D71407"/>
    <w:rsid w:val="00D71778"/>
    <w:rsid w:val="00D72522"/>
    <w:rsid w:val="00D72EA2"/>
    <w:rsid w:val="00D73559"/>
    <w:rsid w:val="00D73891"/>
    <w:rsid w:val="00D73EA6"/>
    <w:rsid w:val="00D7413C"/>
    <w:rsid w:val="00D744AC"/>
    <w:rsid w:val="00D7455E"/>
    <w:rsid w:val="00D74588"/>
    <w:rsid w:val="00D7500C"/>
    <w:rsid w:val="00D75ACE"/>
    <w:rsid w:val="00D772AF"/>
    <w:rsid w:val="00D773A7"/>
    <w:rsid w:val="00D776C9"/>
    <w:rsid w:val="00D80D7C"/>
    <w:rsid w:val="00D8113E"/>
    <w:rsid w:val="00D81F20"/>
    <w:rsid w:val="00D826EC"/>
    <w:rsid w:val="00D82CEE"/>
    <w:rsid w:val="00D83214"/>
    <w:rsid w:val="00D83BF5"/>
    <w:rsid w:val="00D83FBD"/>
    <w:rsid w:val="00D84B94"/>
    <w:rsid w:val="00D85677"/>
    <w:rsid w:val="00D860E1"/>
    <w:rsid w:val="00D86390"/>
    <w:rsid w:val="00D87C34"/>
    <w:rsid w:val="00D917C0"/>
    <w:rsid w:val="00D918F2"/>
    <w:rsid w:val="00D92069"/>
    <w:rsid w:val="00D9214E"/>
    <w:rsid w:val="00D92CAA"/>
    <w:rsid w:val="00D93320"/>
    <w:rsid w:val="00D9366E"/>
    <w:rsid w:val="00D93C97"/>
    <w:rsid w:val="00D93F26"/>
    <w:rsid w:val="00D942DD"/>
    <w:rsid w:val="00D94352"/>
    <w:rsid w:val="00D943AA"/>
    <w:rsid w:val="00D95A44"/>
    <w:rsid w:val="00D95F13"/>
    <w:rsid w:val="00D969DB"/>
    <w:rsid w:val="00D96C22"/>
    <w:rsid w:val="00D96C25"/>
    <w:rsid w:val="00D96E69"/>
    <w:rsid w:val="00D97528"/>
    <w:rsid w:val="00D977AF"/>
    <w:rsid w:val="00DA0115"/>
    <w:rsid w:val="00DA0F5A"/>
    <w:rsid w:val="00DA0FC3"/>
    <w:rsid w:val="00DA131F"/>
    <w:rsid w:val="00DA2245"/>
    <w:rsid w:val="00DA2470"/>
    <w:rsid w:val="00DA2D06"/>
    <w:rsid w:val="00DA2F52"/>
    <w:rsid w:val="00DA376E"/>
    <w:rsid w:val="00DA3B01"/>
    <w:rsid w:val="00DA41BD"/>
    <w:rsid w:val="00DA4ADA"/>
    <w:rsid w:val="00DA554C"/>
    <w:rsid w:val="00DA6E95"/>
    <w:rsid w:val="00DA713C"/>
    <w:rsid w:val="00DA788B"/>
    <w:rsid w:val="00DA78E3"/>
    <w:rsid w:val="00DB038E"/>
    <w:rsid w:val="00DB108A"/>
    <w:rsid w:val="00DB1AA5"/>
    <w:rsid w:val="00DB2E8C"/>
    <w:rsid w:val="00DB3459"/>
    <w:rsid w:val="00DB3DE6"/>
    <w:rsid w:val="00DB53B7"/>
    <w:rsid w:val="00DB60FE"/>
    <w:rsid w:val="00DB6859"/>
    <w:rsid w:val="00DB6E52"/>
    <w:rsid w:val="00DC0653"/>
    <w:rsid w:val="00DC0898"/>
    <w:rsid w:val="00DC08EF"/>
    <w:rsid w:val="00DC093D"/>
    <w:rsid w:val="00DC150A"/>
    <w:rsid w:val="00DC1A90"/>
    <w:rsid w:val="00DC2EB0"/>
    <w:rsid w:val="00DC320F"/>
    <w:rsid w:val="00DC3325"/>
    <w:rsid w:val="00DC3800"/>
    <w:rsid w:val="00DC4108"/>
    <w:rsid w:val="00DC5912"/>
    <w:rsid w:val="00DC5A0D"/>
    <w:rsid w:val="00DC6460"/>
    <w:rsid w:val="00DC7E10"/>
    <w:rsid w:val="00DC7E6E"/>
    <w:rsid w:val="00DD00FC"/>
    <w:rsid w:val="00DD0BF7"/>
    <w:rsid w:val="00DD1BE6"/>
    <w:rsid w:val="00DD1F07"/>
    <w:rsid w:val="00DD2102"/>
    <w:rsid w:val="00DD22CD"/>
    <w:rsid w:val="00DD2B55"/>
    <w:rsid w:val="00DD2D98"/>
    <w:rsid w:val="00DD35CB"/>
    <w:rsid w:val="00DD3EDD"/>
    <w:rsid w:val="00DD592A"/>
    <w:rsid w:val="00DD61DD"/>
    <w:rsid w:val="00DD6514"/>
    <w:rsid w:val="00DD77C0"/>
    <w:rsid w:val="00DD7AB9"/>
    <w:rsid w:val="00DE055D"/>
    <w:rsid w:val="00DE0996"/>
    <w:rsid w:val="00DE19A1"/>
    <w:rsid w:val="00DE1A02"/>
    <w:rsid w:val="00DE278F"/>
    <w:rsid w:val="00DE2BDC"/>
    <w:rsid w:val="00DE2D53"/>
    <w:rsid w:val="00DE3C1B"/>
    <w:rsid w:val="00DE4323"/>
    <w:rsid w:val="00DE5606"/>
    <w:rsid w:val="00DE5C63"/>
    <w:rsid w:val="00DE5D7D"/>
    <w:rsid w:val="00DE5EA9"/>
    <w:rsid w:val="00DE618C"/>
    <w:rsid w:val="00DE715E"/>
    <w:rsid w:val="00DF0DAD"/>
    <w:rsid w:val="00DF0ED6"/>
    <w:rsid w:val="00DF26C2"/>
    <w:rsid w:val="00DF3246"/>
    <w:rsid w:val="00DF37BC"/>
    <w:rsid w:val="00DF3A0B"/>
    <w:rsid w:val="00DF3DC6"/>
    <w:rsid w:val="00DF3E78"/>
    <w:rsid w:val="00DF4024"/>
    <w:rsid w:val="00DF41AB"/>
    <w:rsid w:val="00DF43FB"/>
    <w:rsid w:val="00DF4658"/>
    <w:rsid w:val="00DF4EF4"/>
    <w:rsid w:val="00DF52E5"/>
    <w:rsid w:val="00DF53D8"/>
    <w:rsid w:val="00DF5429"/>
    <w:rsid w:val="00DF543E"/>
    <w:rsid w:val="00DF6415"/>
    <w:rsid w:val="00DF66C5"/>
    <w:rsid w:val="00DF684F"/>
    <w:rsid w:val="00DF766C"/>
    <w:rsid w:val="00DF768E"/>
    <w:rsid w:val="00DF794B"/>
    <w:rsid w:val="00DF7CA7"/>
    <w:rsid w:val="00E00B6A"/>
    <w:rsid w:val="00E012DB"/>
    <w:rsid w:val="00E01538"/>
    <w:rsid w:val="00E02749"/>
    <w:rsid w:val="00E02CC7"/>
    <w:rsid w:val="00E02F96"/>
    <w:rsid w:val="00E03C44"/>
    <w:rsid w:val="00E03DC8"/>
    <w:rsid w:val="00E04EC4"/>
    <w:rsid w:val="00E0579D"/>
    <w:rsid w:val="00E05BF2"/>
    <w:rsid w:val="00E05E88"/>
    <w:rsid w:val="00E0678C"/>
    <w:rsid w:val="00E07AD3"/>
    <w:rsid w:val="00E11B15"/>
    <w:rsid w:val="00E11ED9"/>
    <w:rsid w:val="00E12822"/>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2260C"/>
    <w:rsid w:val="00E236C5"/>
    <w:rsid w:val="00E236F5"/>
    <w:rsid w:val="00E239C9"/>
    <w:rsid w:val="00E24088"/>
    <w:rsid w:val="00E2440E"/>
    <w:rsid w:val="00E24998"/>
    <w:rsid w:val="00E249E9"/>
    <w:rsid w:val="00E26014"/>
    <w:rsid w:val="00E262BC"/>
    <w:rsid w:val="00E265B0"/>
    <w:rsid w:val="00E2691A"/>
    <w:rsid w:val="00E2707E"/>
    <w:rsid w:val="00E2780B"/>
    <w:rsid w:val="00E27D17"/>
    <w:rsid w:val="00E30069"/>
    <w:rsid w:val="00E302C1"/>
    <w:rsid w:val="00E3033B"/>
    <w:rsid w:val="00E30586"/>
    <w:rsid w:val="00E3123E"/>
    <w:rsid w:val="00E312CA"/>
    <w:rsid w:val="00E31B10"/>
    <w:rsid w:val="00E31C72"/>
    <w:rsid w:val="00E31DAC"/>
    <w:rsid w:val="00E32009"/>
    <w:rsid w:val="00E324DA"/>
    <w:rsid w:val="00E32582"/>
    <w:rsid w:val="00E32597"/>
    <w:rsid w:val="00E330BC"/>
    <w:rsid w:val="00E33602"/>
    <w:rsid w:val="00E33795"/>
    <w:rsid w:val="00E3386C"/>
    <w:rsid w:val="00E33BCE"/>
    <w:rsid w:val="00E33CA8"/>
    <w:rsid w:val="00E33D02"/>
    <w:rsid w:val="00E33D8B"/>
    <w:rsid w:val="00E342EC"/>
    <w:rsid w:val="00E34B16"/>
    <w:rsid w:val="00E35930"/>
    <w:rsid w:val="00E35C1D"/>
    <w:rsid w:val="00E35CF2"/>
    <w:rsid w:val="00E35F3B"/>
    <w:rsid w:val="00E367C6"/>
    <w:rsid w:val="00E36943"/>
    <w:rsid w:val="00E3732E"/>
    <w:rsid w:val="00E404F7"/>
    <w:rsid w:val="00E40A7B"/>
    <w:rsid w:val="00E40CEC"/>
    <w:rsid w:val="00E40DB8"/>
    <w:rsid w:val="00E4243C"/>
    <w:rsid w:val="00E42B5B"/>
    <w:rsid w:val="00E4398A"/>
    <w:rsid w:val="00E4413C"/>
    <w:rsid w:val="00E4538F"/>
    <w:rsid w:val="00E454D0"/>
    <w:rsid w:val="00E460A9"/>
    <w:rsid w:val="00E46999"/>
    <w:rsid w:val="00E4737F"/>
    <w:rsid w:val="00E502A7"/>
    <w:rsid w:val="00E505B3"/>
    <w:rsid w:val="00E506E0"/>
    <w:rsid w:val="00E5127A"/>
    <w:rsid w:val="00E514DC"/>
    <w:rsid w:val="00E51A48"/>
    <w:rsid w:val="00E530C3"/>
    <w:rsid w:val="00E53780"/>
    <w:rsid w:val="00E5490D"/>
    <w:rsid w:val="00E5505D"/>
    <w:rsid w:val="00E55E30"/>
    <w:rsid w:val="00E5668F"/>
    <w:rsid w:val="00E56829"/>
    <w:rsid w:val="00E57EE5"/>
    <w:rsid w:val="00E608D5"/>
    <w:rsid w:val="00E62497"/>
    <w:rsid w:val="00E63EBB"/>
    <w:rsid w:val="00E644E1"/>
    <w:rsid w:val="00E6572A"/>
    <w:rsid w:val="00E65BCB"/>
    <w:rsid w:val="00E66577"/>
    <w:rsid w:val="00E66BC8"/>
    <w:rsid w:val="00E6751F"/>
    <w:rsid w:val="00E67AB7"/>
    <w:rsid w:val="00E700FC"/>
    <w:rsid w:val="00E706F7"/>
    <w:rsid w:val="00E70C53"/>
    <w:rsid w:val="00E71260"/>
    <w:rsid w:val="00E715BC"/>
    <w:rsid w:val="00E718CF"/>
    <w:rsid w:val="00E7190F"/>
    <w:rsid w:val="00E71997"/>
    <w:rsid w:val="00E72682"/>
    <w:rsid w:val="00E72810"/>
    <w:rsid w:val="00E7385D"/>
    <w:rsid w:val="00E739E3"/>
    <w:rsid w:val="00E73C6D"/>
    <w:rsid w:val="00E74F35"/>
    <w:rsid w:val="00E75176"/>
    <w:rsid w:val="00E755B3"/>
    <w:rsid w:val="00E75793"/>
    <w:rsid w:val="00E758C3"/>
    <w:rsid w:val="00E801EC"/>
    <w:rsid w:val="00E80358"/>
    <w:rsid w:val="00E8057E"/>
    <w:rsid w:val="00E80B5D"/>
    <w:rsid w:val="00E80D8A"/>
    <w:rsid w:val="00E8133F"/>
    <w:rsid w:val="00E81404"/>
    <w:rsid w:val="00E826DA"/>
    <w:rsid w:val="00E828F7"/>
    <w:rsid w:val="00E82913"/>
    <w:rsid w:val="00E8325B"/>
    <w:rsid w:val="00E8408C"/>
    <w:rsid w:val="00E84F13"/>
    <w:rsid w:val="00E851A1"/>
    <w:rsid w:val="00E85324"/>
    <w:rsid w:val="00E85C8D"/>
    <w:rsid w:val="00E85CEB"/>
    <w:rsid w:val="00E863BF"/>
    <w:rsid w:val="00E87042"/>
    <w:rsid w:val="00E87268"/>
    <w:rsid w:val="00E87758"/>
    <w:rsid w:val="00E91269"/>
    <w:rsid w:val="00E9290F"/>
    <w:rsid w:val="00E92D54"/>
    <w:rsid w:val="00E93012"/>
    <w:rsid w:val="00E930A6"/>
    <w:rsid w:val="00E93848"/>
    <w:rsid w:val="00E938B1"/>
    <w:rsid w:val="00E9455F"/>
    <w:rsid w:val="00E94EBC"/>
    <w:rsid w:val="00E95D12"/>
    <w:rsid w:val="00E963C2"/>
    <w:rsid w:val="00E96E72"/>
    <w:rsid w:val="00E96FB5"/>
    <w:rsid w:val="00EA0619"/>
    <w:rsid w:val="00EA0923"/>
    <w:rsid w:val="00EA0A6D"/>
    <w:rsid w:val="00EA1661"/>
    <w:rsid w:val="00EA22A9"/>
    <w:rsid w:val="00EA22F4"/>
    <w:rsid w:val="00EA32DA"/>
    <w:rsid w:val="00EA3D4A"/>
    <w:rsid w:val="00EA3FCE"/>
    <w:rsid w:val="00EA455E"/>
    <w:rsid w:val="00EA4A92"/>
    <w:rsid w:val="00EA5373"/>
    <w:rsid w:val="00EA56E3"/>
    <w:rsid w:val="00EA5D90"/>
    <w:rsid w:val="00EA5E38"/>
    <w:rsid w:val="00EA67A3"/>
    <w:rsid w:val="00EA7753"/>
    <w:rsid w:val="00EA7CBB"/>
    <w:rsid w:val="00EB1282"/>
    <w:rsid w:val="00EB14FD"/>
    <w:rsid w:val="00EB16EC"/>
    <w:rsid w:val="00EB1C6E"/>
    <w:rsid w:val="00EB1D05"/>
    <w:rsid w:val="00EB205C"/>
    <w:rsid w:val="00EB3012"/>
    <w:rsid w:val="00EB36E9"/>
    <w:rsid w:val="00EB3FCA"/>
    <w:rsid w:val="00EB46BA"/>
    <w:rsid w:val="00EB4BD3"/>
    <w:rsid w:val="00EB51DA"/>
    <w:rsid w:val="00EB57C5"/>
    <w:rsid w:val="00EB7021"/>
    <w:rsid w:val="00EB7300"/>
    <w:rsid w:val="00EB7576"/>
    <w:rsid w:val="00EC052E"/>
    <w:rsid w:val="00EC0D05"/>
    <w:rsid w:val="00EC110F"/>
    <w:rsid w:val="00EC17BA"/>
    <w:rsid w:val="00EC1C35"/>
    <w:rsid w:val="00EC2259"/>
    <w:rsid w:val="00EC2575"/>
    <w:rsid w:val="00EC3AC3"/>
    <w:rsid w:val="00EC3B3B"/>
    <w:rsid w:val="00EC4821"/>
    <w:rsid w:val="00EC48EE"/>
    <w:rsid w:val="00EC51F3"/>
    <w:rsid w:val="00EC5423"/>
    <w:rsid w:val="00EC5892"/>
    <w:rsid w:val="00EC59AC"/>
    <w:rsid w:val="00EC633F"/>
    <w:rsid w:val="00EC7021"/>
    <w:rsid w:val="00EC756C"/>
    <w:rsid w:val="00ED04D1"/>
    <w:rsid w:val="00ED0839"/>
    <w:rsid w:val="00ED0A5B"/>
    <w:rsid w:val="00ED12AE"/>
    <w:rsid w:val="00ED1CFC"/>
    <w:rsid w:val="00ED3714"/>
    <w:rsid w:val="00ED4151"/>
    <w:rsid w:val="00ED43B8"/>
    <w:rsid w:val="00ED5C21"/>
    <w:rsid w:val="00ED62FC"/>
    <w:rsid w:val="00ED7D9D"/>
    <w:rsid w:val="00EE083D"/>
    <w:rsid w:val="00EE153B"/>
    <w:rsid w:val="00EE22ED"/>
    <w:rsid w:val="00EE28D1"/>
    <w:rsid w:val="00EE2F9D"/>
    <w:rsid w:val="00EE3318"/>
    <w:rsid w:val="00EE44D1"/>
    <w:rsid w:val="00EE48F7"/>
    <w:rsid w:val="00EE5A37"/>
    <w:rsid w:val="00EE62A1"/>
    <w:rsid w:val="00EE7117"/>
    <w:rsid w:val="00EE7282"/>
    <w:rsid w:val="00EE7408"/>
    <w:rsid w:val="00EE7770"/>
    <w:rsid w:val="00EF072B"/>
    <w:rsid w:val="00EF08CA"/>
    <w:rsid w:val="00EF1498"/>
    <w:rsid w:val="00EF2F79"/>
    <w:rsid w:val="00EF3807"/>
    <w:rsid w:val="00EF39A6"/>
    <w:rsid w:val="00EF4BFB"/>
    <w:rsid w:val="00EF4C8F"/>
    <w:rsid w:val="00EF4D4F"/>
    <w:rsid w:val="00EF557D"/>
    <w:rsid w:val="00EF5B26"/>
    <w:rsid w:val="00EF6B2B"/>
    <w:rsid w:val="00EF7648"/>
    <w:rsid w:val="00F00017"/>
    <w:rsid w:val="00F0098B"/>
    <w:rsid w:val="00F01B60"/>
    <w:rsid w:val="00F01B9D"/>
    <w:rsid w:val="00F02758"/>
    <w:rsid w:val="00F028AB"/>
    <w:rsid w:val="00F02ABD"/>
    <w:rsid w:val="00F0377B"/>
    <w:rsid w:val="00F0390B"/>
    <w:rsid w:val="00F03D5C"/>
    <w:rsid w:val="00F04360"/>
    <w:rsid w:val="00F04A47"/>
    <w:rsid w:val="00F04FFD"/>
    <w:rsid w:val="00F0522F"/>
    <w:rsid w:val="00F059B0"/>
    <w:rsid w:val="00F05DA4"/>
    <w:rsid w:val="00F06022"/>
    <w:rsid w:val="00F063BC"/>
    <w:rsid w:val="00F06613"/>
    <w:rsid w:val="00F06823"/>
    <w:rsid w:val="00F0751B"/>
    <w:rsid w:val="00F07A22"/>
    <w:rsid w:val="00F109E4"/>
    <w:rsid w:val="00F10E37"/>
    <w:rsid w:val="00F11033"/>
    <w:rsid w:val="00F114CA"/>
    <w:rsid w:val="00F11E29"/>
    <w:rsid w:val="00F11E39"/>
    <w:rsid w:val="00F129C3"/>
    <w:rsid w:val="00F13047"/>
    <w:rsid w:val="00F13DFF"/>
    <w:rsid w:val="00F14815"/>
    <w:rsid w:val="00F14AB4"/>
    <w:rsid w:val="00F14DF0"/>
    <w:rsid w:val="00F157E7"/>
    <w:rsid w:val="00F15AF9"/>
    <w:rsid w:val="00F15B1B"/>
    <w:rsid w:val="00F15B22"/>
    <w:rsid w:val="00F15D38"/>
    <w:rsid w:val="00F169A0"/>
    <w:rsid w:val="00F20225"/>
    <w:rsid w:val="00F20707"/>
    <w:rsid w:val="00F21349"/>
    <w:rsid w:val="00F213EE"/>
    <w:rsid w:val="00F22128"/>
    <w:rsid w:val="00F22827"/>
    <w:rsid w:val="00F22BA0"/>
    <w:rsid w:val="00F232E1"/>
    <w:rsid w:val="00F244D9"/>
    <w:rsid w:val="00F25D58"/>
    <w:rsid w:val="00F25E2C"/>
    <w:rsid w:val="00F26A74"/>
    <w:rsid w:val="00F277EA"/>
    <w:rsid w:val="00F30A87"/>
    <w:rsid w:val="00F30CAC"/>
    <w:rsid w:val="00F30EA0"/>
    <w:rsid w:val="00F31169"/>
    <w:rsid w:val="00F31662"/>
    <w:rsid w:val="00F32265"/>
    <w:rsid w:val="00F3256B"/>
    <w:rsid w:val="00F32B3F"/>
    <w:rsid w:val="00F32BFB"/>
    <w:rsid w:val="00F3391C"/>
    <w:rsid w:val="00F33A35"/>
    <w:rsid w:val="00F33AFF"/>
    <w:rsid w:val="00F33B44"/>
    <w:rsid w:val="00F34771"/>
    <w:rsid w:val="00F34A2C"/>
    <w:rsid w:val="00F35769"/>
    <w:rsid w:val="00F35965"/>
    <w:rsid w:val="00F36318"/>
    <w:rsid w:val="00F37343"/>
    <w:rsid w:val="00F40C34"/>
    <w:rsid w:val="00F41259"/>
    <w:rsid w:val="00F41358"/>
    <w:rsid w:val="00F415BA"/>
    <w:rsid w:val="00F41E57"/>
    <w:rsid w:val="00F41E6E"/>
    <w:rsid w:val="00F42F55"/>
    <w:rsid w:val="00F436A8"/>
    <w:rsid w:val="00F437CB"/>
    <w:rsid w:val="00F43A16"/>
    <w:rsid w:val="00F43A64"/>
    <w:rsid w:val="00F4478B"/>
    <w:rsid w:val="00F451D9"/>
    <w:rsid w:val="00F45301"/>
    <w:rsid w:val="00F455B8"/>
    <w:rsid w:val="00F4582D"/>
    <w:rsid w:val="00F45884"/>
    <w:rsid w:val="00F4596F"/>
    <w:rsid w:val="00F46C88"/>
    <w:rsid w:val="00F4703A"/>
    <w:rsid w:val="00F50209"/>
    <w:rsid w:val="00F50A52"/>
    <w:rsid w:val="00F51135"/>
    <w:rsid w:val="00F513E5"/>
    <w:rsid w:val="00F53061"/>
    <w:rsid w:val="00F539AE"/>
    <w:rsid w:val="00F543CF"/>
    <w:rsid w:val="00F5515E"/>
    <w:rsid w:val="00F56FFE"/>
    <w:rsid w:val="00F57798"/>
    <w:rsid w:val="00F57A93"/>
    <w:rsid w:val="00F60171"/>
    <w:rsid w:val="00F606C7"/>
    <w:rsid w:val="00F6091E"/>
    <w:rsid w:val="00F61A95"/>
    <w:rsid w:val="00F6337D"/>
    <w:rsid w:val="00F635E0"/>
    <w:rsid w:val="00F63DBE"/>
    <w:rsid w:val="00F655F4"/>
    <w:rsid w:val="00F662C7"/>
    <w:rsid w:val="00F66CF1"/>
    <w:rsid w:val="00F670E3"/>
    <w:rsid w:val="00F70179"/>
    <w:rsid w:val="00F709C8"/>
    <w:rsid w:val="00F70E78"/>
    <w:rsid w:val="00F711B8"/>
    <w:rsid w:val="00F71770"/>
    <w:rsid w:val="00F71B15"/>
    <w:rsid w:val="00F71F45"/>
    <w:rsid w:val="00F724C4"/>
    <w:rsid w:val="00F727CB"/>
    <w:rsid w:val="00F72D49"/>
    <w:rsid w:val="00F73F1A"/>
    <w:rsid w:val="00F74523"/>
    <w:rsid w:val="00F74E57"/>
    <w:rsid w:val="00F7552A"/>
    <w:rsid w:val="00F75767"/>
    <w:rsid w:val="00F759B5"/>
    <w:rsid w:val="00F75DB7"/>
    <w:rsid w:val="00F75ED5"/>
    <w:rsid w:val="00F763F4"/>
    <w:rsid w:val="00F76730"/>
    <w:rsid w:val="00F770D1"/>
    <w:rsid w:val="00F770EA"/>
    <w:rsid w:val="00F771F3"/>
    <w:rsid w:val="00F77246"/>
    <w:rsid w:val="00F77DE0"/>
    <w:rsid w:val="00F80043"/>
    <w:rsid w:val="00F80C08"/>
    <w:rsid w:val="00F82360"/>
    <w:rsid w:val="00F82959"/>
    <w:rsid w:val="00F82B8E"/>
    <w:rsid w:val="00F82FBC"/>
    <w:rsid w:val="00F83877"/>
    <w:rsid w:val="00F83E8C"/>
    <w:rsid w:val="00F84512"/>
    <w:rsid w:val="00F85203"/>
    <w:rsid w:val="00F85623"/>
    <w:rsid w:val="00F85788"/>
    <w:rsid w:val="00F85A2B"/>
    <w:rsid w:val="00F85C47"/>
    <w:rsid w:val="00F85CDE"/>
    <w:rsid w:val="00F8656C"/>
    <w:rsid w:val="00F868D3"/>
    <w:rsid w:val="00F8718A"/>
    <w:rsid w:val="00F87E5C"/>
    <w:rsid w:val="00F919CE"/>
    <w:rsid w:val="00F92727"/>
    <w:rsid w:val="00F93511"/>
    <w:rsid w:val="00F9389C"/>
    <w:rsid w:val="00F93AF3"/>
    <w:rsid w:val="00F94457"/>
    <w:rsid w:val="00F950EE"/>
    <w:rsid w:val="00F97638"/>
    <w:rsid w:val="00F97FF5"/>
    <w:rsid w:val="00FA0046"/>
    <w:rsid w:val="00FA04C6"/>
    <w:rsid w:val="00FA0972"/>
    <w:rsid w:val="00FA1BC5"/>
    <w:rsid w:val="00FA1CD6"/>
    <w:rsid w:val="00FA2027"/>
    <w:rsid w:val="00FA21DE"/>
    <w:rsid w:val="00FA26D2"/>
    <w:rsid w:val="00FA29F6"/>
    <w:rsid w:val="00FA3059"/>
    <w:rsid w:val="00FA4CBB"/>
    <w:rsid w:val="00FA521E"/>
    <w:rsid w:val="00FA5634"/>
    <w:rsid w:val="00FA574F"/>
    <w:rsid w:val="00FA5912"/>
    <w:rsid w:val="00FA5B58"/>
    <w:rsid w:val="00FA5EA8"/>
    <w:rsid w:val="00FA6122"/>
    <w:rsid w:val="00FB0953"/>
    <w:rsid w:val="00FB1094"/>
    <w:rsid w:val="00FB1438"/>
    <w:rsid w:val="00FB234F"/>
    <w:rsid w:val="00FB2CF4"/>
    <w:rsid w:val="00FB3907"/>
    <w:rsid w:val="00FB3923"/>
    <w:rsid w:val="00FB5E2A"/>
    <w:rsid w:val="00FB6ADF"/>
    <w:rsid w:val="00FB706D"/>
    <w:rsid w:val="00FB74C9"/>
    <w:rsid w:val="00FB751A"/>
    <w:rsid w:val="00FB7FC8"/>
    <w:rsid w:val="00FC00F6"/>
    <w:rsid w:val="00FC01DC"/>
    <w:rsid w:val="00FC16CE"/>
    <w:rsid w:val="00FC1A8D"/>
    <w:rsid w:val="00FC2460"/>
    <w:rsid w:val="00FC4990"/>
    <w:rsid w:val="00FC52B1"/>
    <w:rsid w:val="00FC534D"/>
    <w:rsid w:val="00FC5FEA"/>
    <w:rsid w:val="00FC6D0F"/>
    <w:rsid w:val="00FC7009"/>
    <w:rsid w:val="00FC73ED"/>
    <w:rsid w:val="00FC7BA7"/>
    <w:rsid w:val="00FC7C36"/>
    <w:rsid w:val="00FD02C4"/>
    <w:rsid w:val="00FD0308"/>
    <w:rsid w:val="00FD0AF8"/>
    <w:rsid w:val="00FD0EBA"/>
    <w:rsid w:val="00FD11A1"/>
    <w:rsid w:val="00FD23C3"/>
    <w:rsid w:val="00FD2578"/>
    <w:rsid w:val="00FD2B54"/>
    <w:rsid w:val="00FD320B"/>
    <w:rsid w:val="00FD346B"/>
    <w:rsid w:val="00FD3B1A"/>
    <w:rsid w:val="00FD3BE0"/>
    <w:rsid w:val="00FD46A7"/>
    <w:rsid w:val="00FD4D09"/>
    <w:rsid w:val="00FD558E"/>
    <w:rsid w:val="00FD5729"/>
    <w:rsid w:val="00FD57A0"/>
    <w:rsid w:val="00FD5EB8"/>
    <w:rsid w:val="00FD6138"/>
    <w:rsid w:val="00FD62FD"/>
    <w:rsid w:val="00FD65DC"/>
    <w:rsid w:val="00FD65F6"/>
    <w:rsid w:val="00FD722A"/>
    <w:rsid w:val="00FE05A4"/>
    <w:rsid w:val="00FE143A"/>
    <w:rsid w:val="00FE174D"/>
    <w:rsid w:val="00FE255B"/>
    <w:rsid w:val="00FE2A37"/>
    <w:rsid w:val="00FE355C"/>
    <w:rsid w:val="00FE3640"/>
    <w:rsid w:val="00FE3B25"/>
    <w:rsid w:val="00FE3B92"/>
    <w:rsid w:val="00FE4478"/>
    <w:rsid w:val="00FE44B5"/>
    <w:rsid w:val="00FE499C"/>
    <w:rsid w:val="00FE4A08"/>
    <w:rsid w:val="00FE4AC6"/>
    <w:rsid w:val="00FE546A"/>
    <w:rsid w:val="00FE5F6A"/>
    <w:rsid w:val="00FE6C84"/>
    <w:rsid w:val="00FE7512"/>
    <w:rsid w:val="00FE7587"/>
    <w:rsid w:val="00FE7CBC"/>
    <w:rsid w:val="00FE7E73"/>
    <w:rsid w:val="00FE7F5E"/>
    <w:rsid w:val="00FF0150"/>
    <w:rsid w:val="00FF05C0"/>
    <w:rsid w:val="00FF100B"/>
    <w:rsid w:val="00FF1249"/>
    <w:rsid w:val="00FF1816"/>
    <w:rsid w:val="00FF1852"/>
    <w:rsid w:val="00FF19C2"/>
    <w:rsid w:val="00FF1F50"/>
    <w:rsid w:val="00FF385E"/>
    <w:rsid w:val="00FF3BEC"/>
    <w:rsid w:val="00FF3D63"/>
    <w:rsid w:val="00FF3E2A"/>
    <w:rsid w:val="00FF4FFD"/>
    <w:rsid w:val="00FF6934"/>
    <w:rsid w:val="00FF6AEB"/>
    <w:rsid w:val="00FF6C28"/>
    <w:rsid w:val="00FF6CE7"/>
    <w:rsid w:val="00FF6D9B"/>
    <w:rsid w:val="00FF71E3"/>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Caption Char,Caption Char1 Char,cap Char Char1,Caption Char Char1 Char,cap Char2 Char"/>
    <w:basedOn w:val="Normal"/>
    <w:next w:val="Normal"/>
    <w:link w:val="CaptionChar1"/>
    <w:uiPriority w:val="99"/>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link w:val="FooterChar"/>
    <w:uiPriority w:val="99"/>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customStyle="1" w:styleId="Para0-99">
    <w:name w:val="Para(0-99)"/>
    <w:basedOn w:val="Normal"/>
    <w:link w:val="Para0-99Char"/>
    <w:qFormat/>
    <w:rsid w:val="00AF286F"/>
    <w:pPr>
      <w:numPr>
        <w:numId w:val="36"/>
      </w:numPr>
      <w:spacing w:line="360" w:lineRule="auto"/>
      <w:jc w:val="both"/>
    </w:pPr>
    <w:rPr>
      <w:rFonts w:eastAsia="仿宋"/>
      <w:lang/>
    </w:rPr>
  </w:style>
  <w:style w:type="character" w:customStyle="1" w:styleId="Para0-99Char">
    <w:name w:val="Para(0-99) Char"/>
    <w:link w:val="Para0-99"/>
    <w:locked/>
    <w:rsid w:val="00AF286F"/>
    <w:rPr>
      <w:rFonts w:ascii="Times New Roman" w:eastAsia="仿宋" w:hAnsi="Times New Roman"/>
      <w:sz w:val="24"/>
    </w:rPr>
  </w:style>
  <w:style w:type="paragraph" w:styleId="ListNumber4">
    <w:name w:val="List Number 4"/>
    <w:basedOn w:val="Normal"/>
    <w:rsid w:val="00592B90"/>
    <w:pPr>
      <w:numPr>
        <w:numId w:val="39"/>
      </w:numPr>
      <w:tabs>
        <w:tab w:val="num" w:pos="1209"/>
      </w:tabs>
      <w:overflowPunct w:val="0"/>
      <w:autoSpaceDE w:val="0"/>
      <w:autoSpaceDN w:val="0"/>
      <w:adjustRightInd w:val="0"/>
      <w:spacing w:after="180"/>
      <w:ind w:left="1209"/>
      <w:textAlignment w:val="baseline"/>
    </w:pPr>
    <w:rPr>
      <w:rFonts w:eastAsia="MS Mincho"/>
      <w:sz w:val="20"/>
      <w:lang w:eastAsia="en-GB"/>
    </w:rPr>
  </w:style>
  <w:style w:type="paragraph" w:customStyle="1" w:styleId="NO">
    <w:name w:val="NO"/>
    <w:basedOn w:val="Normal"/>
    <w:link w:val="NOChar"/>
    <w:rsid w:val="000E0606"/>
    <w:pPr>
      <w:keepLines/>
      <w:overflowPunct w:val="0"/>
      <w:autoSpaceDE w:val="0"/>
      <w:autoSpaceDN w:val="0"/>
      <w:adjustRightInd w:val="0"/>
      <w:spacing w:after="180"/>
      <w:ind w:left="1135" w:hanging="851"/>
      <w:textAlignment w:val="baseline"/>
    </w:pPr>
    <w:rPr>
      <w:rFonts w:eastAsia="Times New Roman"/>
      <w:sz w:val="20"/>
      <w:lang/>
    </w:rPr>
  </w:style>
  <w:style w:type="character" w:customStyle="1" w:styleId="NOChar">
    <w:name w:val="NO Char"/>
    <w:link w:val="NO"/>
    <w:rsid w:val="000E0606"/>
    <w:rPr>
      <w:rFonts w:ascii="Times New Roman" w:eastAsia="Times New Roman" w:hAnsi="Times New Roman"/>
      <w:lang w:val="en-GB"/>
    </w:rPr>
  </w:style>
  <w:style w:type="character" w:customStyle="1" w:styleId="TALCar">
    <w:name w:val="TAL Car"/>
    <w:rsid w:val="000E0606"/>
    <w:rPr>
      <w:rFonts w:ascii="Arial" w:hAnsi="Arial" w:cs="Arial"/>
      <w:sz w:val="18"/>
      <w:szCs w:val="18"/>
      <w:lang w:val="en-GB"/>
    </w:rPr>
  </w:style>
  <w:style w:type="paragraph" w:styleId="ListParagraph">
    <w:name w:val="List Paragraph"/>
    <w:basedOn w:val="Normal"/>
    <w:uiPriority w:val="34"/>
    <w:qFormat/>
    <w:rsid w:val="006210B0"/>
    <w:pPr>
      <w:ind w:left="720"/>
    </w:pPr>
  </w:style>
  <w:style w:type="character" w:customStyle="1" w:styleId="Heading2Char">
    <w:name w:val="Heading 2 Char"/>
    <w:aliases w:val="DO NOT USE_h2 Char,h2 Char,h21 Char,H2 Char,Head2A Char,2 Char,UNDERRUBRIK 1-2 Char"/>
    <w:basedOn w:val="DefaultParagraphFont"/>
    <w:link w:val="Heading2"/>
    <w:rsid w:val="00FB6ADF"/>
    <w:rPr>
      <w:rFonts w:ascii="Arial" w:eastAsia="MS Gothic" w:hAnsi="Arial"/>
      <w:sz w:val="24"/>
      <w:lang w:val="en-GB" w:eastAsia="ja-JP"/>
    </w:rPr>
  </w:style>
  <w:style w:type="paragraph" w:styleId="TOC3">
    <w:name w:val="toc 3"/>
    <w:basedOn w:val="Normal"/>
    <w:next w:val="Normal"/>
    <w:autoRedefine/>
    <w:rsid w:val="001A6D3D"/>
    <w:pPr>
      <w:ind w:left="480"/>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387172"/>
    <w:rPr>
      <w:rFonts w:ascii="Times New Roman" w:eastAsia="MS Gothic" w:hAnsi="Times New Roman"/>
      <w:b/>
      <w:sz w:val="24"/>
      <w:lang w:val="en-GB" w:eastAsia="ja-JP"/>
    </w:rPr>
  </w:style>
  <w:style w:type="paragraph" w:customStyle="1" w:styleId="ZchnZchn">
    <w:name w:val="Zchn Zchn"/>
    <w:semiHidden/>
    <w:rsid w:val="000042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0042A5"/>
    <w:rPr>
      <w:rFonts w:ascii="Arial" w:hAnsi="Arial"/>
      <w:b/>
      <w:noProof/>
      <w:sz w:val="18"/>
      <w:lang w:val="en-GB" w:eastAsia="ja-JP"/>
    </w:rPr>
  </w:style>
  <w:style w:type="character" w:customStyle="1" w:styleId="FooterChar">
    <w:name w:val="Footer Char"/>
    <w:link w:val="Footer"/>
    <w:uiPriority w:val="99"/>
    <w:rsid w:val="000042A5"/>
    <w:rPr>
      <w:rFonts w:ascii="Times New Roman" w:eastAsia="MS Gothic" w:hAnsi="Times New Roman"/>
      <w:sz w:val="24"/>
      <w:lang w:val="de-DE" w:eastAsia="ja-JP"/>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655765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084408">
      <w:bodyDiv w:val="1"/>
      <w:marLeft w:val="0"/>
      <w:marRight w:val="0"/>
      <w:marTop w:val="0"/>
      <w:marBottom w:val="0"/>
      <w:divBdr>
        <w:top w:val="none" w:sz="0" w:space="0" w:color="auto"/>
        <w:left w:val="none" w:sz="0" w:space="0" w:color="auto"/>
        <w:bottom w:val="none" w:sz="0" w:space="0" w:color="auto"/>
        <w:right w:val="none" w:sz="0" w:space="0" w:color="auto"/>
      </w:divBdr>
    </w:div>
    <w:div w:id="70834127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645307722">
          <w:marLeft w:val="360"/>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8945643">
      <w:bodyDiv w:val="1"/>
      <w:marLeft w:val="0"/>
      <w:marRight w:val="0"/>
      <w:marTop w:val="0"/>
      <w:marBottom w:val="0"/>
      <w:divBdr>
        <w:top w:val="none" w:sz="0" w:space="0" w:color="auto"/>
        <w:left w:val="none" w:sz="0" w:space="0" w:color="auto"/>
        <w:bottom w:val="none" w:sz="0" w:space="0" w:color="auto"/>
        <w:right w:val="none" w:sz="0" w:space="0" w:color="auto"/>
      </w:divBdr>
    </w:div>
    <w:div w:id="11264604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913422">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6473098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1755</Words>
  <Characters>10006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11738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2016-02-08T22:26:00Z</dcterms:created>
  <dcterms:modified xsi:type="dcterms:W3CDTF">2016-02-08T22:40:00Z</dcterms:modified>
</cp:coreProperties>
</file>