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8FA" w:rsidRPr="00E501F0" w:rsidRDefault="00F30DA1" w:rsidP="0040252B">
      <w:pPr>
        <w:widowControl w:val="0"/>
        <w:tabs>
          <w:tab w:val="right" w:pos="9639"/>
        </w:tabs>
        <w:spacing w:after="0" w:line="276" w:lineRule="auto"/>
        <w:rPr>
          <w:b/>
          <w:sz w:val="24"/>
          <w:szCs w:val="24"/>
          <w:lang w:val="sv-SE"/>
        </w:rPr>
      </w:pPr>
      <w:r w:rsidRPr="00E501F0">
        <w:rPr>
          <w:b/>
          <w:sz w:val="24"/>
          <w:szCs w:val="24"/>
          <w:lang w:val="sv-SE"/>
        </w:rPr>
        <w:t>3GPP TSG-RAN WG4 #78</w:t>
      </w:r>
      <w:r w:rsidR="00111B08">
        <w:rPr>
          <w:b/>
          <w:sz w:val="24"/>
          <w:szCs w:val="24"/>
          <w:lang w:val="sv-SE"/>
        </w:rPr>
        <w:tab/>
        <w:t>R4-160995</w:t>
      </w:r>
    </w:p>
    <w:p w:rsidR="005E38FA" w:rsidRPr="00E501F0" w:rsidRDefault="00933305" w:rsidP="0040252B">
      <w:pPr>
        <w:pStyle w:val="Header"/>
        <w:spacing w:line="276" w:lineRule="auto"/>
        <w:rPr>
          <w:rFonts w:ascii="Times New Roman" w:hAnsi="Times New Roman"/>
          <w:noProof w:val="0"/>
          <w:lang w:val="en-GB"/>
        </w:rPr>
      </w:pPr>
      <w:r w:rsidRPr="00E501F0">
        <w:rPr>
          <w:rFonts w:ascii="Times New Roman" w:eastAsia="Times New Roman" w:hAnsi="Times New Roman"/>
          <w:bCs/>
          <w:noProof w:val="0"/>
          <w:sz w:val="22"/>
          <w:lang w:val="en-GB" w:eastAsia="ja-JP"/>
        </w:rPr>
        <w:t>Malta</w:t>
      </w:r>
      <w:r w:rsidR="005E38FA" w:rsidRPr="00E501F0">
        <w:rPr>
          <w:rFonts w:ascii="Times New Roman" w:eastAsia="Times New Roman" w:hAnsi="Times New Roman"/>
          <w:bCs/>
          <w:noProof w:val="0"/>
          <w:sz w:val="22"/>
          <w:lang w:val="en-GB" w:eastAsia="ja-JP"/>
        </w:rPr>
        <w:t xml:space="preserve">, </w:t>
      </w:r>
      <w:r w:rsidRPr="00E501F0">
        <w:rPr>
          <w:rFonts w:ascii="Times New Roman" w:eastAsia="Times New Roman" w:hAnsi="Times New Roman"/>
          <w:bCs/>
          <w:noProof w:val="0"/>
          <w:sz w:val="22"/>
          <w:lang w:val="en-GB" w:eastAsia="ja-JP"/>
        </w:rPr>
        <w:t>Malta</w:t>
      </w:r>
      <w:r w:rsidR="005E38FA" w:rsidRPr="00E501F0">
        <w:rPr>
          <w:rFonts w:ascii="Times New Roman" w:eastAsia="Times New Roman" w:hAnsi="Times New Roman"/>
          <w:bCs/>
          <w:noProof w:val="0"/>
          <w:sz w:val="22"/>
          <w:lang w:val="en-GB" w:eastAsia="ja-JP"/>
        </w:rPr>
        <w:t xml:space="preserve">, </w:t>
      </w:r>
      <w:r w:rsidRPr="00E501F0">
        <w:rPr>
          <w:rFonts w:ascii="Times New Roman" w:eastAsia="Times New Roman" w:hAnsi="Times New Roman"/>
          <w:bCs/>
          <w:noProof w:val="0"/>
          <w:sz w:val="22"/>
          <w:lang w:val="en-GB" w:eastAsia="ja-JP"/>
        </w:rPr>
        <w:t>February</w:t>
      </w:r>
      <w:r w:rsidR="005348F3" w:rsidRPr="00E501F0">
        <w:rPr>
          <w:rFonts w:ascii="Times New Roman" w:eastAsia="Times New Roman" w:hAnsi="Times New Roman"/>
          <w:bCs/>
          <w:noProof w:val="0"/>
          <w:sz w:val="22"/>
          <w:lang w:val="en-GB" w:eastAsia="ja-JP"/>
        </w:rPr>
        <w:t xml:space="preserve"> </w:t>
      </w:r>
      <w:r w:rsidRPr="00E501F0">
        <w:rPr>
          <w:rFonts w:ascii="Times New Roman" w:eastAsia="Times New Roman" w:hAnsi="Times New Roman"/>
          <w:bCs/>
          <w:noProof w:val="0"/>
          <w:sz w:val="22"/>
          <w:lang w:val="en-GB" w:eastAsia="ja-JP"/>
        </w:rPr>
        <w:t>15</w:t>
      </w:r>
      <w:r w:rsidR="005E38FA" w:rsidRPr="00E501F0">
        <w:rPr>
          <w:rFonts w:ascii="Times New Roman" w:eastAsia="Times New Roman" w:hAnsi="Times New Roman"/>
          <w:bCs/>
          <w:noProof w:val="0"/>
          <w:sz w:val="22"/>
          <w:vertAlign w:val="superscript"/>
          <w:lang w:val="en-GB" w:eastAsia="ja-JP"/>
        </w:rPr>
        <w:t>th</w:t>
      </w:r>
      <w:r w:rsidRPr="00E501F0">
        <w:rPr>
          <w:rFonts w:ascii="Times New Roman" w:eastAsia="Times New Roman" w:hAnsi="Times New Roman"/>
          <w:bCs/>
          <w:noProof w:val="0"/>
          <w:sz w:val="22"/>
          <w:lang w:val="en-GB" w:eastAsia="ja-JP"/>
        </w:rPr>
        <w:t xml:space="preserve"> – 19</w:t>
      </w:r>
      <w:r w:rsidR="005E38FA" w:rsidRPr="00E501F0">
        <w:rPr>
          <w:rFonts w:ascii="Times New Roman" w:eastAsia="Times New Roman" w:hAnsi="Times New Roman"/>
          <w:bCs/>
          <w:noProof w:val="0"/>
          <w:sz w:val="22"/>
          <w:vertAlign w:val="superscript"/>
          <w:lang w:val="en-GB" w:eastAsia="ja-JP"/>
        </w:rPr>
        <w:t>th</w:t>
      </w:r>
      <w:r w:rsidRPr="00E501F0">
        <w:rPr>
          <w:rFonts w:ascii="Times New Roman" w:eastAsia="Times New Roman" w:hAnsi="Times New Roman"/>
          <w:bCs/>
          <w:noProof w:val="0"/>
          <w:sz w:val="22"/>
          <w:lang w:val="en-GB" w:eastAsia="ja-JP"/>
        </w:rPr>
        <w:t>, 2016</w:t>
      </w:r>
    </w:p>
    <w:p w:rsidR="005E38FA" w:rsidRPr="00E501F0" w:rsidRDefault="005E38FA" w:rsidP="0040252B">
      <w:pPr>
        <w:pStyle w:val="Header"/>
        <w:spacing w:line="276" w:lineRule="auto"/>
        <w:rPr>
          <w:rFonts w:ascii="Times New Roman" w:hAnsi="Times New Roman"/>
          <w:noProof w:val="0"/>
          <w:lang w:val="en-GB"/>
        </w:rPr>
      </w:pPr>
    </w:p>
    <w:p w:rsidR="005E38FA" w:rsidRPr="00E501F0" w:rsidRDefault="005E38FA" w:rsidP="0040252B">
      <w:pPr>
        <w:pStyle w:val="Footer"/>
        <w:spacing w:line="276" w:lineRule="auto"/>
        <w:rPr>
          <w:rFonts w:ascii="Times New Roman" w:hAnsi="Times New Roman"/>
          <w:noProof w:val="0"/>
        </w:rPr>
      </w:pPr>
    </w:p>
    <w:p w:rsidR="005E38FA" w:rsidRPr="00E501F0" w:rsidRDefault="005E38FA" w:rsidP="0040252B">
      <w:pPr>
        <w:tabs>
          <w:tab w:val="left" w:pos="1985"/>
        </w:tabs>
        <w:spacing w:line="276" w:lineRule="auto"/>
        <w:rPr>
          <w:sz w:val="24"/>
          <w:lang w:val="en-US"/>
        </w:rPr>
      </w:pPr>
      <w:r w:rsidRPr="00E501F0">
        <w:rPr>
          <w:b/>
          <w:sz w:val="24"/>
          <w:lang w:val="en-US"/>
        </w:rPr>
        <w:t>Agenda item:</w:t>
      </w:r>
      <w:r w:rsidRPr="00E501F0">
        <w:rPr>
          <w:sz w:val="24"/>
          <w:lang w:val="en-US"/>
        </w:rPr>
        <w:tab/>
      </w:r>
      <w:r w:rsidR="00E05C77">
        <w:rPr>
          <w:sz w:val="24"/>
          <w:lang w:val="en-US"/>
        </w:rPr>
        <w:t>6.4.2</w:t>
      </w:r>
      <w:bookmarkStart w:id="0" w:name="_GoBack"/>
      <w:bookmarkEnd w:id="0"/>
    </w:p>
    <w:p w:rsidR="005E38FA" w:rsidRPr="00E501F0" w:rsidRDefault="005E38FA" w:rsidP="0040252B">
      <w:pPr>
        <w:tabs>
          <w:tab w:val="left" w:pos="1985"/>
        </w:tabs>
        <w:spacing w:line="276" w:lineRule="auto"/>
        <w:rPr>
          <w:sz w:val="24"/>
          <w:lang w:val="en-US"/>
        </w:rPr>
      </w:pPr>
      <w:r w:rsidRPr="00E501F0">
        <w:rPr>
          <w:b/>
          <w:sz w:val="24"/>
          <w:lang w:val="en-US"/>
        </w:rPr>
        <w:t xml:space="preserve">Source: </w:t>
      </w:r>
      <w:r w:rsidRPr="00E501F0">
        <w:rPr>
          <w:b/>
          <w:sz w:val="24"/>
          <w:lang w:val="en-US"/>
        </w:rPr>
        <w:tab/>
      </w:r>
      <w:r w:rsidRPr="00E501F0">
        <w:rPr>
          <w:sz w:val="24"/>
          <w:lang w:val="en-US"/>
        </w:rPr>
        <w:t>Qualcomm Incorporated</w:t>
      </w:r>
    </w:p>
    <w:p w:rsidR="005E38FA" w:rsidRPr="00E501F0" w:rsidRDefault="005E38FA" w:rsidP="0040252B">
      <w:pPr>
        <w:tabs>
          <w:tab w:val="left" w:pos="1985"/>
        </w:tabs>
        <w:spacing w:line="276" w:lineRule="auto"/>
        <w:ind w:left="1980" w:hanging="1980"/>
        <w:rPr>
          <w:sz w:val="24"/>
          <w:lang w:val="en-US"/>
        </w:rPr>
      </w:pPr>
      <w:r w:rsidRPr="00E501F0">
        <w:rPr>
          <w:b/>
          <w:sz w:val="24"/>
          <w:lang w:val="en-US"/>
        </w:rPr>
        <w:t>Title:</w:t>
      </w:r>
      <w:r w:rsidRPr="00E501F0">
        <w:rPr>
          <w:sz w:val="24"/>
          <w:lang w:val="en-US"/>
        </w:rPr>
        <w:t xml:space="preserve"> </w:t>
      </w:r>
      <w:r w:rsidRPr="00E501F0">
        <w:rPr>
          <w:sz w:val="24"/>
          <w:lang w:val="en-US"/>
        </w:rPr>
        <w:tab/>
      </w:r>
      <w:r w:rsidR="00887408">
        <w:rPr>
          <w:sz w:val="24"/>
          <w:szCs w:val="24"/>
        </w:rPr>
        <w:t>Discussion on reference receiver structures for Control Channel Interference Mitigation</w:t>
      </w:r>
    </w:p>
    <w:p w:rsidR="005E38FA" w:rsidRPr="00E501F0" w:rsidRDefault="005E38FA" w:rsidP="0040252B">
      <w:pPr>
        <w:tabs>
          <w:tab w:val="left" w:pos="1985"/>
        </w:tabs>
        <w:spacing w:line="276" w:lineRule="auto"/>
        <w:ind w:left="1980" w:hanging="1980"/>
        <w:rPr>
          <w:sz w:val="24"/>
          <w:lang w:val="en-US"/>
        </w:rPr>
      </w:pPr>
      <w:r w:rsidRPr="00E501F0">
        <w:rPr>
          <w:b/>
          <w:sz w:val="24"/>
          <w:lang w:val="en-US"/>
        </w:rPr>
        <w:t>Document for:</w:t>
      </w:r>
      <w:r w:rsidRPr="00E501F0">
        <w:rPr>
          <w:sz w:val="24"/>
          <w:lang w:val="en-US"/>
        </w:rPr>
        <w:tab/>
        <w:t>Discussion</w:t>
      </w:r>
    </w:p>
    <w:p w:rsidR="005E38FA" w:rsidRPr="008C20D0" w:rsidRDefault="005E38FA" w:rsidP="0040252B">
      <w:pPr>
        <w:pStyle w:val="Heading1"/>
        <w:spacing w:line="276" w:lineRule="auto"/>
        <w:rPr>
          <w:rFonts w:cs="Arial"/>
          <w:lang w:val="en-US"/>
        </w:rPr>
      </w:pPr>
      <w:r w:rsidRPr="008C20D0">
        <w:rPr>
          <w:rFonts w:cs="Arial"/>
          <w:lang w:val="en-US"/>
        </w:rPr>
        <w:t>Introduction</w:t>
      </w:r>
    </w:p>
    <w:p w:rsidR="00A60AD4" w:rsidRPr="00E501F0" w:rsidRDefault="00831A8B" w:rsidP="00831A8B">
      <w:pPr>
        <w:rPr>
          <w:color w:val="000000"/>
          <w:lang w:val="en-US"/>
        </w:rPr>
      </w:pPr>
      <w:r w:rsidRPr="00E501F0">
        <w:rPr>
          <w:color w:val="000000"/>
          <w:lang w:val="en-US"/>
        </w:rPr>
        <w:t xml:space="preserve">In work item </w:t>
      </w:r>
      <w:r w:rsidRPr="00E501F0">
        <w:t>RP-151107</w:t>
      </w:r>
      <w:r w:rsidRPr="00E501F0">
        <w:rPr>
          <w:color w:val="000000"/>
          <w:lang w:val="en-US"/>
        </w:rPr>
        <w:t xml:space="preserve"> [1], it was proposed to use advanced receiver architectures for control channel interference mitigation.</w:t>
      </w:r>
      <w:r w:rsidR="00A60AD4" w:rsidRPr="00E501F0">
        <w:rPr>
          <w:color w:val="000000"/>
          <w:lang w:val="en-US"/>
        </w:rPr>
        <w:t xml:space="preserve"> </w:t>
      </w:r>
      <w:r w:rsidR="00EF7671" w:rsidRPr="00E501F0">
        <w:rPr>
          <w:color w:val="000000"/>
          <w:lang w:val="en-US"/>
        </w:rPr>
        <w:t xml:space="preserve">So far, most of the discussion has been around the choice </w:t>
      </w:r>
      <w:r w:rsidR="004D64E2" w:rsidRPr="00E501F0">
        <w:rPr>
          <w:color w:val="000000"/>
          <w:lang w:val="en-US"/>
        </w:rPr>
        <w:t xml:space="preserve">of </w:t>
      </w:r>
      <w:r w:rsidR="00EF7671" w:rsidRPr="00E501F0">
        <w:rPr>
          <w:color w:val="000000"/>
          <w:lang w:val="en-US"/>
        </w:rPr>
        <w:t>advance</w:t>
      </w:r>
      <w:r w:rsidR="004D64E2" w:rsidRPr="00E501F0">
        <w:rPr>
          <w:color w:val="000000"/>
          <w:lang w:val="en-US"/>
        </w:rPr>
        <w:t>d</w:t>
      </w:r>
      <w:r w:rsidR="00EF7671" w:rsidRPr="00E501F0">
        <w:rPr>
          <w:color w:val="000000"/>
          <w:lang w:val="en-US"/>
        </w:rPr>
        <w:t xml:space="preserve"> reference receiver for PDCCH/PCFICH/PHICH in synchronous network scenarios. The </w:t>
      </w:r>
      <w:r w:rsidR="00A60AD4" w:rsidRPr="00E501F0">
        <w:rPr>
          <w:color w:val="000000"/>
          <w:lang w:val="en-US"/>
        </w:rPr>
        <w:t xml:space="preserve">following reference receivers </w:t>
      </w:r>
      <w:r w:rsidR="00EF7671" w:rsidRPr="00E501F0">
        <w:rPr>
          <w:color w:val="000000"/>
          <w:lang w:val="en-US"/>
        </w:rPr>
        <w:t xml:space="preserve">have </w:t>
      </w:r>
      <w:r w:rsidR="00A60AD4" w:rsidRPr="00E501F0">
        <w:rPr>
          <w:color w:val="000000"/>
          <w:lang w:val="en-US"/>
        </w:rPr>
        <w:t xml:space="preserve">emerged as possible candidates </w:t>
      </w:r>
      <w:r w:rsidR="006D1E01" w:rsidRPr="00E501F0">
        <w:rPr>
          <w:color w:val="000000"/>
          <w:lang w:val="en-US"/>
        </w:rPr>
        <w:t>[2]</w:t>
      </w:r>
    </w:p>
    <w:p w:rsidR="00A60AD4" w:rsidRPr="00E501F0" w:rsidRDefault="00A60AD4" w:rsidP="00A60AD4">
      <w:pPr>
        <w:pStyle w:val="ListParagraph"/>
        <w:numPr>
          <w:ilvl w:val="0"/>
          <w:numId w:val="16"/>
        </w:numPr>
        <w:rPr>
          <w:color w:val="000000"/>
          <w:lang w:val="en-US"/>
        </w:rPr>
      </w:pPr>
      <w:r w:rsidRPr="00E501F0">
        <w:rPr>
          <w:color w:val="000000"/>
          <w:lang w:val="en-US"/>
        </w:rPr>
        <w:t xml:space="preserve">MMSE-IRC </w:t>
      </w:r>
      <w:r w:rsidR="00EF7671" w:rsidRPr="00E501F0">
        <w:rPr>
          <w:color w:val="000000"/>
          <w:lang w:val="en-US"/>
        </w:rPr>
        <w:t>+ CRS-IC</w:t>
      </w:r>
    </w:p>
    <w:p w:rsidR="00A60AD4" w:rsidRPr="00E501F0" w:rsidRDefault="00EF7671" w:rsidP="00A60AD4">
      <w:pPr>
        <w:pStyle w:val="ListParagraph"/>
        <w:numPr>
          <w:ilvl w:val="0"/>
          <w:numId w:val="16"/>
        </w:numPr>
        <w:rPr>
          <w:color w:val="000000"/>
          <w:lang w:val="en-US"/>
        </w:rPr>
      </w:pPr>
      <w:r w:rsidRPr="00E501F0">
        <w:rPr>
          <w:color w:val="000000"/>
          <w:lang w:val="en-US"/>
        </w:rPr>
        <w:t>E-</w:t>
      </w:r>
      <w:r w:rsidR="00A60AD4" w:rsidRPr="00E501F0">
        <w:rPr>
          <w:color w:val="000000"/>
          <w:lang w:val="en-US"/>
        </w:rPr>
        <w:t xml:space="preserve">MMSE-IRC </w:t>
      </w:r>
    </w:p>
    <w:p w:rsidR="00EF7671" w:rsidRPr="00E501F0" w:rsidRDefault="00EF7671" w:rsidP="00A60AD4">
      <w:pPr>
        <w:pStyle w:val="ListParagraph"/>
        <w:numPr>
          <w:ilvl w:val="0"/>
          <w:numId w:val="16"/>
        </w:numPr>
        <w:rPr>
          <w:color w:val="000000"/>
          <w:lang w:val="en-US"/>
        </w:rPr>
      </w:pPr>
      <w:r w:rsidRPr="00E501F0">
        <w:rPr>
          <w:color w:val="000000"/>
          <w:lang w:val="en-US"/>
        </w:rPr>
        <w:t>E-MMSE-IRC + CRS-IC</w:t>
      </w:r>
    </w:p>
    <w:p w:rsidR="00831A8B" w:rsidRPr="00E501F0" w:rsidRDefault="0046591D" w:rsidP="00831A8B">
      <w:pPr>
        <w:rPr>
          <w:lang w:val="en-US"/>
        </w:rPr>
      </w:pPr>
      <w:r w:rsidRPr="00E501F0">
        <w:rPr>
          <w:color w:val="000000"/>
          <w:lang w:val="en-US"/>
        </w:rPr>
        <w:t xml:space="preserve">In this contribution, we provide </w:t>
      </w:r>
      <w:r w:rsidR="00A60AD4" w:rsidRPr="00E501F0">
        <w:rPr>
          <w:color w:val="000000"/>
          <w:lang w:val="en-US"/>
        </w:rPr>
        <w:t>views on the choice of reference receiver</w:t>
      </w:r>
      <w:r w:rsidRPr="00E501F0">
        <w:rPr>
          <w:color w:val="000000"/>
          <w:lang w:val="en-US"/>
        </w:rPr>
        <w:t>s</w:t>
      </w:r>
      <w:r w:rsidR="006D1E01" w:rsidRPr="00E501F0">
        <w:rPr>
          <w:color w:val="000000"/>
          <w:lang w:val="en-US"/>
        </w:rPr>
        <w:t xml:space="preserve"> based on simulation results and complexity.</w:t>
      </w:r>
    </w:p>
    <w:p w:rsidR="005E38FA" w:rsidRPr="008C20D0" w:rsidRDefault="005E38FA" w:rsidP="0040252B">
      <w:pPr>
        <w:pStyle w:val="Heading1"/>
        <w:spacing w:line="276" w:lineRule="auto"/>
        <w:rPr>
          <w:rFonts w:cs="Arial"/>
          <w:lang w:val="en-US"/>
        </w:rPr>
      </w:pPr>
      <w:r w:rsidRPr="008C20D0">
        <w:rPr>
          <w:rFonts w:cs="Arial"/>
          <w:lang w:val="en-US"/>
        </w:rPr>
        <w:t>Discussion</w:t>
      </w:r>
    </w:p>
    <w:p w:rsidR="008C20D0" w:rsidRPr="008C20D0" w:rsidRDefault="008C20D0" w:rsidP="005F080A">
      <w:pPr>
        <w:pStyle w:val="Heading2"/>
        <w:numPr>
          <w:ilvl w:val="1"/>
          <w:numId w:val="18"/>
        </w:numPr>
        <w:spacing w:line="276" w:lineRule="auto"/>
        <w:rPr>
          <w:rFonts w:cs="Arial"/>
          <w:lang w:val="en-US"/>
        </w:rPr>
      </w:pPr>
      <w:r w:rsidRPr="008C20D0">
        <w:rPr>
          <w:rFonts w:cs="Arial"/>
        </w:rPr>
        <w:t>Non colliding CRS scenario</w:t>
      </w:r>
    </w:p>
    <w:p w:rsidR="00936BFB" w:rsidRPr="00E501F0" w:rsidRDefault="00936BFB" w:rsidP="00E501F0">
      <w:pPr>
        <w:spacing w:line="276" w:lineRule="auto"/>
      </w:pPr>
      <w:r w:rsidRPr="00E501F0">
        <w:rPr>
          <w:lang w:val="en-US"/>
        </w:rPr>
        <w:t xml:space="preserve">First of all, we note that for a given SNR, INR condition, among the control channels (PDCCH, PCFICH and PHICH), the BLER of PDCCH will be the highest. Hence, while comparing advanced receivers for control channel, </w:t>
      </w:r>
      <w:r w:rsidR="003B3303">
        <w:rPr>
          <w:lang w:val="en-US"/>
        </w:rPr>
        <w:t xml:space="preserve">we will consider </w:t>
      </w:r>
      <w:r w:rsidRPr="00E501F0">
        <w:rPr>
          <w:lang w:val="en-US"/>
        </w:rPr>
        <w:t>PDCCH BLER as evaluation metric</w:t>
      </w:r>
      <w:r w:rsidR="003B3303">
        <w:rPr>
          <w:lang w:val="en-US"/>
        </w:rPr>
        <w:t xml:space="preserve"> with</w:t>
      </w:r>
      <w:r w:rsidRPr="00E501F0">
        <w:rPr>
          <w:lang w:val="en-US"/>
        </w:rPr>
        <w:t xml:space="preserve"> higher precedence. In the following discussion, we use PDDCH performance as a metric of evaluation.</w:t>
      </w:r>
    </w:p>
    <w:p w:rsidR="00206EF7" w:rsidRPr="00E501F0" w:rsidRDefault="00206EF7" w:rsidP="00E501F0">
      <w:pPr>
        <w:spacing w:line="276" w:lineRule="auto"/>
      </w:pPr>
      <w:r w:rsidRPr="00E501F0">
        <w:rPr>
          <w:u w:val="single"/>
        </w:rPr>
        <w:t>MMSE-IRC + CRS-IC vs. E-MMSE-IRC + CRS-IC</w:t>
      </w:r>
      <w:r w:rsidRPr="00E501F0">
        <w:t xml:space="preserve">: </w:t>
      </w:r>
      <w:r w:rsidR="006D1E01" w:rsidRPr="00E501F0">
        <w:t>To compare MMSE-IRC + CRS-IC receiver with E-MMSE-IRC + CRS-IC receiver</w:t>
      </w:r>
      <w:r w:rsidRPr="00E501F0">
        <w:t xml:space="preserve"> for non-colliding CRS scenario</w:t>
      </w:r>
      <w:r w:rsidR="006D1E01" w:rsidRPr="00E501F0">
        <w:t xml:space="preserve">, we allude to results submitted by </w:t>
      </w:r>
      <w:r w:rsidR="004D64E2" w:rsidRPr="00E501F0">
        <w:t>various companies in RAN4 #77 [</w:t>
      </w:r>
      <w:r w:rsidR="002B00CB" w:rsidRPr="00E501F0">
        <w:t>4</w:t>
      </w:r>
      <w:r w:rsidRPr="00E501F0">
        <w:t>,</w:t>
      </w:r>
      <w:r w:rsidR="00A13B94" w:rsidRPr="00E501F0">
        <w:t xml:space="preserve"> </w:t>
      </w:r>
      <w:r w:rsidRPr="00E501F0">
        <w:t>5</w:t>
      </w:r>
      <w:r w:rsidR="004D64E2" w:rsidRPr="00E501F0">
        <w:t>]</w:t>
      </w:r>
      <w:r w:rsidRPr="00E501F0">
        <w:t>. From the results, it easy to conclude that in</w:t>
      </w:r>
      <w:r w:rsidR="00A60AD4" w:rsidRPr="00E501F0">
        <w:t xml:space="preserve"> non-colliding CRS scenario, MMSE-IRC + CRS-IC receiver’s performance is as good as E-MMSE-IRC + CRS-IC receiver. </w:t>
      </w:r>
      <w:r w:rsidRPr="00E501F0">
        <w:t>There are multiple factors contributing to this phenomenon</w:t>
      </w:r>
    </w:p>
    <w:p w:rsidR="00A13B94" w:rsidRPr="00E501F0" w:rsidRDefault="00EC0930" w:rsidP="00E501F0">
      <w:pPr>
        <w:pStyle w:val="ListParagraph"/>
        <w:numPr>
          <w:ilvl w:val="0"/>
          <w:numId w:val="17"/>
        </w:numPr>
        <w:spacing w:line="276" w:lineRule="auto"/>
      </w:pPr>
      <w:r w:rsidRPr="00E501F0">
        <w:rPr>
          <w:b/>
        </w:rPr>
        <w:t>No gain for symbol 0</w:t>
      </w:r>
      <w:r w:rsidRPr="00E501F0">
        <w:t xml:space="preserve">: </w:t>
      </w:r>
      <w:r w:rsidR="00A13B94" w:rsidRPr="00E501F0">
        <w:t xml:space="preserve">The gains for E-MMSE-IRC (type 2) receiver hinge on eliminating the Rank2 interference by jointly processing serving </w:t>
      </w:r>
      <w:r w:rsidR="003B3303">
        <w:t xml:space="preserve">tones </w:t>
      </w:r>
      <w:r w:rsidR="00A13B94" w:rsidRPr="00E501F0">
        <w:t xml:space="preserve">and interference </w:t>
      </w:r>
      <w:r w:rsidR="003B3303">
        <w:t xml:space="preserve">tones </w:t>
      </w:r>
      <w:r w:rsidR="00A13B94" w:rsidRPr="00E501F0">
        <w:t>after RE pairing. However, such joint proce</w:t>
      </w:r>
      <w:r w:rsidRPr="00E501F0">
        <w:t>ssing gain is not available to s</w:t>
      </w:r>
      <w:r w:rsidR="003B3303">
        <w:t xml:space="preserve">ymbol 0, </w:t>
      </w:r>
      <w:r w:rsidR="00A13B94" w:rsidRPr="00E501F0">
        <w:t xml:space="preserve">if the dominant </w:t>
      </w:r>
      <w:r w:rsidR="003B3303">
        <w:t xml:space="preserve">interferer is non-colliding. In fact whenever the </w:t>
      </w:r>
      <w:r w:rsidR="00206EF7" w:rsidRPr="00E501F0">
        <w:t xml:space="preserve">CFI of the interferer is 1, then </w:t>
      </w:r>
      <w:r w:rsidR="00A13B94" w:rsidRPr="00E501F0">
        <w:t xml:space="preserve">in non-colliding CRS scenarios, E-MMSE-IRC is receiver should have little or no gain over MMSE-IRC receiver. </w:t>
      </w:r>
    </w:p>
    <w:p w:rsidR="005050C4" w:rsidRPr="00E501F0" w:rsidRDefault="00EC0930" w:rsidP="00E501F0">
      <w:pPr>
        <w:pStyle w:val="ListParagraph"/>
        <w:numPr>
          <w:ilvl w:val="0"/>
          <w:numId w:val="17"/>
        </w:numPr>
        <w:spacing w:line="276" w:lineRule="auto"/>
      </w:pPr>
      <w:r w:rsidRPr="00E501F0">
        <w:rPr>
          <w:b/>
        </w:rPr>
        <w:t>Poor quality interfering cell channel</w:t>
      </w:r>
      <w:r w:rsidRPr="00E501F0">
        <w:t xml:space="preserve">:  </w:t>
      </w:r>
      <w:r w:rsidR="00A13B94" w:rsidRPr="00E501F0">
        <w:t xml:space="preserve">In order to jointly process and eliminate Rank2 interference, E-MMSE-IRC receiver </w:t>
      </w:r>
      <w:r w:rsidR="003B3303">
        <w:t xml:space="preserve">requires </w:t>
      </w:r>
      <w:r w:rsidR="00A13B94" w:rsidRPr="00E501F0">
        <w:t xml:space="preserve">interfering cell channel estimate. For non-colliding CRS scenario, interfering </w:t>
      </w:r>
      <w:r w:rsidR="00A13B94" w:rsidRPr="00E501F0">
        <w:lastRenderedPageBreak/>
        <w:t xml:space="preserve">cell channel estimate </w:t>
      </w:r>
      <w:r w:rsidRPr="00E501F0">
        <w:t xml:space="preserve">is significantly corrupted by control channel tones of the serving cell. Hence, even for symbol 1 &amp; 2, where E-MMSE-IRC receiver can possibly provide gains, they are limited by quality of interference channel estimates. </w:t>
      </w:r>
    </w:p>
    <w:p w:rsidR="00936BFB" w:rsidRPr="00E501F0" w:rsidRDefault="00936BFB" w:rsidP="00E501F0">
      <w:pPr>
        <w:spacing w:line="276" w:lineRule="auto"/>
      </w:pPr>
      <w:r w:rsidRPr="00E501F0">
        <w:rPr>
          <w:u w:val="single"/>
        </w:rPr>
        <w:t>Gains from CRS-IC</w:t>
      </w:r>
      <w:r w:rsidRPr="00E501F0">
        <w:t>: The gain from CRS-IC is common to both MMSE-IRC + CRS-IC receiver and E-MMSE-IRC + CRS-IC receiver. In non-colliding CRS scenario, large portion of the performance improvement to control channel will come f</w:t>
      </w:r>
      <w:r w:rsidR="00375B02" w:rsidRPr="00E501F0">
        <w:t xml:space="preserve">rom CRS-IC, especially when either the </w:t>
      </w:r>
      <w:r w:rsidRPr="00E501F0">
        <w:t>serving ce</w:t>
      </w:r>
      <w:r w:rsidR="00375B02" w:rsidRPr="00E501F0">
        <w:t xml:space="preserve">ll or interfering cell CFI is 1 (see Figure 1). </w:t>
      </w:r>
      <w:r w:rsidR="003B3303">
        <w:t>In addition, a</w:t>
      </w:r>
      <w:r w:rsidR="00375B02" w:rsidRPr="00E501F0">
        <w:t xml:space="preserve">s the interference loading level reduces, the proportion of interference to </w:t>
      </w:r>
      <w:r w:rsidR="003B3303">
        <w:t xml:space="preserve">serving cell </w:t>
      </w:r>
      <w:r w:rsidR="00375B02" w:rsidRPr="00E501F0">
        <w:t>control channel tones due to interfering cell’s CRS tone increases.  Hence, the gain from CRS-IC becomes dominant.</w:t>
      </w:r>
    </w:p>
    <w:p w:rsidR="00774481" w:rsidRDefault="000D0A96" w:rsidP="00E501F0">
      <w:pPr>
        <w:spacing w:line="276" w:lineRule="auto"/>
      </w:pPr>
      <w:r w:rsidRPr="00E501F0">
        <w:rPr>
          <w:u w:val="single"/>
        </w:rPr>
        <w:t>Non-colliding CRS scenario can be more common</w:t>
      </w:r>
      <w:r w:rsidRPr="00E501F0">
        <w:t xml:space="preserve">: </w:t>
      </w:r>
      <w:r w:rsidR="00A60AD4" w:rsidRPr="00E501F0">
        <w:t xml:space="preserve">Non-colliding CRS scenario is </w:t>
      </w:r>
      <w:r w:rsidRPr="00E501F0">
        <w:t>likely to be more common.</w:t>
      </w:r>
      <w:r w:rsidR="003B3303">
        <w:t xml:space="preserve"> This is so, </w:t>
      </w:r>
      <w:r w:rsidRPr="00E501F0">
        <w:t xml:space="preserve">because </w:t>
      </w:r>
      <w:r w:rsidR="00A60AD4" w:rsidRPr="00E501F0">
        <w:t xml:space="preserve">even with random cell IDs, </w:t>
      </w:r>
      <w:r w:rsidRPr="00E501F0">
        <w:t xml:space="preserve">the likelihood of </w:t>
      </w:r>
      <w:r w:rsidR="00A60AD4" w:rsidRPr="00E501F0">
        <w:t>non-colliding CRS scenarios is 2 out of 3.</w:t>
      </w:r>
      <w:r w:rsidR="00774481">
        <w:t xml:space="preserve"> </w:t>
      </w:r>
      <w:r w:rsidR="008C0F6E">
        <w:t>Considering that non-colliding CRS scenario can be more common, we should pay special attention towards defining reference receivers for non-colliding CRS scenario.</w:t>
      </w:r>
    </w:p>
    <w:p w:rsidR="00774481" w:rsidRDefault="00774481" w:rsidP="00774481">
      <w:pPr>
        <w:spacing w:line="276" w:lineRule="auto"/>
      </w:pPr>
      <w:r w:rsidRPr="00E501F0">
        <w:rPr>
          <w:u w:val="single"/>
        </w:rPr>
        <w:t>Improvements over baseline receiver</w:t>
      </w:r>
      <w:r w:rsidRPr="00E501F0">
        <w:t xml:space="preserve">: </w:t>
      </w:r>
      <w:r w:rsidR="003B3303">
        <w:t>Rel8-12</w:t>
      </w:r>
      <w:r w:rsidRPr="00E501F0">
        <w:t xml:space="preserve"> baseline receiver for control channels is MMSE-MRC receiver. The performance of MMSE-IRC + CRS-IC receiver is significantly better </w:t>
      </w:r>
      <w:r>
        <w:t>than MMSE-M</w:t>
      </w:r>
      <w:r w:rsidRPr="00E501F0">
        <w:t xml:space="preserve">RC </w:t>
      </w:r>
      <w:r>
        <w:t>receiver (see Figure 1). Since MMSE-IRC + CRS-IC receiver bring in sufficient performance improvement over the baseline receiver, and since its performance (for non-colliding CRS scenario) is as good as E-MMSE-IRC + CRS-IC receiver, while its complexity is significantly lower, we propose that the MMSE-IRC + CRS-IC receiver should be considered as the reference receiver for non-colliding CRS scenario.</w:t>
      </w:r>
    </w:p>
    <w:p w:rsidR="00774481" w:rsidRDefault="00774481" w:rsidP="00774481">
      <w:pPr>
        <w:spacing w:line="276" w:lineRule="auto"/>
        <w:rPr>
          <w:b/>
        </w:rPr>
      </w:pPr>
      <w:r>
        <w:rPr>
          <w:b/>
        </w:rPr>
        <w:t>Proposal 1: MMSE-IRC + CRS-IC should be considered as the reference receiver</w:t>
      </w:r>
      <w:r w:rsidR="00B31771">
        <w:rPr>
          <w:b/>
        </w:rPr>
        <w:t xml:space="preserve"> for </w:t>
      </w:r>
      <w:r w:rsidR="008C0F6E">
        <w:rPr>
          <w:b/>
        </w:rPr>
        <w:t xml:space="preserve">PDCCH/PCFICH/PHICH for </w:t>
      </w:r>
      <w:r w:rsidR="00B31771">
        <w:rPr>
          <w:b/>
        </w:rPr>
        <w:t>non-colliding CRS scenario. Performance requirement should be accordingly set.</w:t>
      </w:r>
    </w:p>
    <w:p w:rsidR="008C20D0" w:rsidRPr="008C0F6E" w:rsidRDefault="008C20D0" w:rsidP="008C20D0">
      <w:pPr>
        <w:pStyle w:val="Heading2"/>
        <w:numPr>
          <w:ilvl w:val="1"/>
          <w:numId w:val="18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Colliding CRS scenario</w:t>
      </w:r>
    </w:p>
    <w:p w:rsidR="00E501F0" w:rsidRDefault="00E501F0" w:rsidP="00E501F0">
      <w:pPr>
        <w:spacing w:line="276" w:lineRule="auto"/>
      </w:pPr>
      <w:r w:rsidRPr="00E501F0">
        <w:t>In case of colliding CRS scenario, E-MMSE-IRC receiver</w:t>
      </w:r>
      <w:r w:rsidR="003B3303">
        <w:t xml:space="preserve"> applies to symbol 0, but not always to symbol 1 and 2</w:t>
      </w:r>
      <w:r w:rsidRPr="00E501F0">
        <w:t xml:space="preserve">. E-MMSE-IRC receiver is significantly more complex to implement compared to MMSE-IRC receiver. The increase in complexity is easy to see as E-MMSE-IRC receiver requires a full 4x4 covariance matrix estimation, rather than a block-diagonal 4x4 covariance matrix estimation required for MMSE-IRC implementation. Furthermore, </w:t>
      </w:r>
      <w:r w:rsidR="003B3303">
        <w:t xml:space="preserve">it is important to remember that </w:t>
      </w:r>
      <w:r w:rsidRPr="00E501F0">
        <w:t>UE needs to implement both E-MMSE-IRC and MMSE-IR</w:t>
      </w:r>
      <w:r>
        <w:t>C receiver to handle the case of serving cell CFI being higher than interfering cell CFI</w:t>
      </w:r>
      <w:r w:rsidR="003B3303">
        <w:t xml:space="preserve"> (even with neighbour cell PCFICH detection)</w:t>
      </w:r>
      <w:r>
        <w:t xml:space="preserve">. In fact, in the absence of PCFICH detection of dominant neighbour, UE has to use MMSE-IRC receiver as long as serving cell CFI &gt; 1 (captured as </w:t>
      </w:r>
      <w:r w:rsidRPr="00E501F0">
        <w:t>“conservative processing” in the way-forward [</w:t>
      </w:r>
      <w:r>
        <w:t xml:space="preserve">2]). </w:t>
      </w:r>
      <w:r w:rsidR="003B3303">
        <w:t xml:space="preserve"> </w:t>
      </w:r>
      <w:r w:rsidR="00B31771">
        <w:t>Implementing two rece</w:t>
      </w:r>
      <w:r w:rsidR="008C0F6E">
        <w:t>ivers for control channel adds to hardware costs (as processing blocks of E-MMSE-IRC cannot be reused for MMSE-IRC)</w:t>
      </w:r>
      <w:r w:rsidR="003B3303">
        <w:t xml:space="preserve"> at the UE, and is not preferred</w:t>
      </w:r>
      <w:r w:rsidR="008C0F6E">
        <w:t>.  Finally, since MMSE-IRC + CRS-IC is sufficient for non-colliding CRS scenario, we favour reusing MMSE-IRC + CRS-IC as baseline receiver even for colliding CRS scenario.</w:t>
      </w:r>
    </w:p>
    <w:p w:rsidR="008C0F6E" w:rsidRPr="008C0F6E" w:rsidRDefault="008C0F6E" w:rsidP="00E501F0">
      <w:pPr>
        <w:spacing w:line="276" w:lineRule="auto"/>
        <w:rPr>
          <w:b/>
        </w:rPr>
      </w:pPr>
      <w:r w:rsidRPr="008C0F6E">
        <w:rPr>
          <w:b/>
        </w:rPr>
        <w:t xml:space="preserve">Proposal 2: MMSE-IRC + CRS-IC should be considered as the reference receiver for </w:t>
      </w:r>
      <w:r>
        <w:rPr>
          <w:b/>
        </w:rPr>
        <w:t xml:space="preserve">PDCCH/PCFICH/PHICH for </w:t>
      </w:r>
      <w:r w:rsidRPr="008C0F6E">
        <w:rPr>
          <w:b/>
        </w:rPr>
        <w:t xml:space="preserve">colliding CRS scenario. Performance requirement should be accordingly set. </w:t>
      </w:r>
    </w:p>
    <w:p w:rsidR="008C0F6E" w:rsidRPr="00774481" w:rsidRDefault="008C0F6E" w:rsidP="008C0F6E">
      <w:pPr>
        <w:spacing w:line="276" w:lineRule="auto"/>
        <w:rPr>
          <w:b/>
        </w:rPr>
      </w:pPr>
    </w:p>
    <w:p w:rsidR="008C0F6E" w:rsidRDefault="008C20D0" w:rsidP="008C0F6E">
      <w:pPr>
        <w:pStyle w:val="Heading2"/>
        <w:numPr>
          <w:ilvl w:val="1"/>
          <w:numId w:val="18"/>
        </w:numPr>
        <w:rPr>
          <w:rFonts w:ascii="Times New Roman" w:hAnsi="Times New Roman"/>
        </w:rPr>
      </w:pPr>
      <w:r>
        <w:rPr>
          <w:rFonts w:ascii="Times New Roman" w:hAnsi="Times New Roman"/>
        </w:rPr>
        <w:t>EPDCCH</w:t>
      </w:r>
    </w:p>
    <w:p w:rsidR="008C20D0" w:rsidRDefault="008C20D0" w:rsidP="003B3303">
      <w:pPr>
        <w:spacing w:line="276" w:lineRule="auto"/>
        <w:rPr>
          <w:lang w:val="en-US"/>
        </w:rPr>
      </w:pPr>
      <w:r>
        <w:rPr>
          <w:lang w:val="en-US"/>
        </w:rPr>
        <w:t xml:space="preserve">In Figure 2, we compare the performance of MMSE-IRC and MMSE-IRC + CRS-IC receiver against baseline MMSE-MRC receiver for EPDDCH. We note that, while MMSE-IRC receiver provides reasonable improvement over MMSE-MRC receiver, additional gain from CRS-IC is limited. This is understandable as most of interference is not due to CRS tones of the interfering neighbor. Since CRS-IC gain is limited, we propose to </w:t>
      </w:r>
      <w:r w:rsidR="001C46FA">
        <w:rPr>
          <w:lang w:val="en-US"/>
        </w:rPr>
        <w:t>define</w:t>
      </w:r>
      <w:r>
        <w:rPr>
          <w:lang w:val="en-US"/>
        </w:rPr>
        <w:t xml:space="preserve"> MMSE-IRC </w:t>
      </w:r>
      <w:r>
        <w:rPr>
          <w:lang w:val="en-US"/>
        </w:rPr>
        <w:lastRenderedPageBreak/>
        <w:t xml:space="preserve">receiver as the reference receiver for EPDCCH. Note that, if MMSE-IRC receiver </w:t>
      </w:r>
      <w:r w:rsidR="001C46FA">
        <w:rPr>
          <w:lang w:val="en-US"/>
        </w:rPr>
        <w:t xml:space="preserve">is </w:t>
      </w:r>
      <w:r>
        <w:rPr>
          <w:lang w:val="en-US"/>
        </w:rPr>
        <w:t>used as a reference receiver for EPDCCH, we will not need to define additional tests for EPDCCH in asynchronous network scenarios.</w:t>
      </w:r>
    </w:p>
    <w:p w:rsidR="008C20D0" w:rsidRDefault="008C20D0" w:rsidP="008C20D0">
      <w:pPr>
        <w:rPr>
          <w:b/>
          <w:lang w:val="en-US"/>
        </w:rPr>
      </w:pPr>
      <w:r w:rsidRPr="008C20D0">
        <w:rPr>
          <w:b/>
          <w:lang w:val="en-US"/>
        </w:rPr>
        <w:t xml:space="preserve">Proposal 3:  </w:t>
      </w:r>
      <w:r>
        <w:rPr>
          <w:b/>
          <w:lang w:val="en-US"/>
        </w:rPr>
        <w:t>MMSE-IRC receiver should be considered as the reference receiver for EPDCCH.</w:t>
      </w:r>
    </w:p>
    <w:p w:rsidR="008C20D0" w:rsidRDefault="008C20D0" w:rsidP="008C20D0">
      <w:pPr>
        <w:rPr>
          <w:b/>
          <w:lang w:val="en-US"/>
        </w:rPr>
      </w:pPr>
    </w:p>
    <w:p w:rsidR="00375B02" w:rsidRDefault="008C20D0" w:rsidP="00384260">
      <w:pPr>
        <w:pStyle w:val="Heading1"/>
        <w:spacing w:line="276" w:lineRule="auto"/>
        <w:rPr>
          <w:rFonts w:cs="Arial"/>
          <w:lang w:val="en-US"/>
        </w:rPr>
      </w:pPr>
      <w:r w:rsidRPr="008C20D0">
        <w:rPr>
          <w:rFonts w:cs="Arial"/>
          <w:lang w:val="en-US"/>
        </w:rPr>
        <w:t>Conclusion</w:t>
      </w:r>
    </w:p>
    <w:p w:rsidR="008C20D0" w:rsidRDefault="008C20D0" w:rsidP="008C20D0">
      <w:pPr>
        <w:rPr>
          <w:lang w:val="en-US"/>
        </w:rPr>
      </w:pPr>
      <w:r>
        <w:rPr>
          <w:lang w:val="en-US"/>
        </w:rPr>
        <w:t>In this contribution, we make the following proposals</w:t>
      </w:r>
    </w:p>
    <w:p w:rsidR="008C20D0" w:rsidRDefault="008C20D0" w:rsidP="008C20D0">
      <w:pPr>
        <w:spacing w:line="276" w:lineRule="auto"/>
        <w:rPr>
          <w:b/>
        </w:rPr>
      </w:pPr>
      <w:r>
        <w:rPr>
          <w:b/>
        </w:rPr>
        <w:t>Proposal 1: MMSE-IRC + CRS-IC should be considered as the reference receiver for PDCCH/PCFICH/PHICH for non-colliding CRS scenario. Performance requirement should be accordingly set.</w:t>
      </w:r>
    </w:p>
    <w:p w:rsidR="008C20D0" w:rsidRPr="008C0F6E" w:rsidRDefault="008C20D0" w:rsidP="008C20D0">
      <w:pPr>
        <w:spacing w:line="276" w:lineRule="auto"/>
        <w:rPr>
          <w:b/>
        </w:rPr>
      </w:pPr>
      <w:r w:rsidRPr="008C0F6E">
        <w:rPr>
          <w:b/>
        </w:rPr>
        <w:t xml:space="preserve">Proposal 2: MMSE-IRC + CRS-IC should be considered as the reference receiver for </w:t>
      </w:r>
      <w:r>
        <w:rPr>
          <w:b/>
        </w:rPr>
        <w:t xml:space="preserve">PDCCH/PCFICH/PHICH for </w:t>
      </w:r>
      <w:r w:rsidRPr="008C0F6E">
        <w:rPr>
          <w:b/>
        </w:rPr>
        <w:t xml:space="preserve">colliding CRS scenario. Performance requirement should be accordingly set. </w:t>
      </w:r>
    </w:p>
    <w:p w:rsidR="008C0F6E" w:rsidRPr="00E501F0" w:rsidRDefault="008C20D0" w:rsidP="00D705F6">
      <w:pPr>
        <w:rPr>
          <w:lang w:val="en-US"/>
        </w:rPr>
      </w:pPr>
      <w:r w:rsidRPr="008C20D0">
        <w:rPr>
          <w:b/>
          <w:lang w:val="en-US"/>
        </w:rPr>
        <w:t xml:space="preserve">Proposal 3:  </w:t>
      </w:r>
      <w:r>
        <w:rPr>
          <w:b/>
          <w:lang w:val="en-US"/>
        </w:rPr>
        <w:t>MMSE-IRC receiver should be considered as the reference receiver for EPDCCH.</w:t>
      </w:r>
    </w:p>
    <w:p w:rsidR="00375B02" w:rsidRPr="00E501F0" w:rsidRDefault="00375B02" w:rsidP="00D705F6">
      <w:pPr>
        <w:rPr>
          <w:lang w:val="en-US"/>
        </w:rPr>
      </w:pPr>
    </w:p>
    <w:p w:rsidR="00375B02" w:rsidRPr="00E501F0" w:rsidRDefault="00375B02" w:rsidP="00D705F6">
      <w:pPr>
        <w:rPr>
          <w:lang w:val="en-US"/>
        </w:rPr>
      </w:pPr>
    </w:p>
    <w:tbl>
      <w:tblPr>
        <w:tblW w:w="55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6"/>
        <w:gridCol w:w="5146"/>
      </w:tblGrid>
      <w:tr w:rsidR="005F2AC5" w:rsidRPr="00E501F0" w:rsidTr="00152EAA">
        <w:trPr>
          <w:trHeight w:val="511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BDD6EE"/>
          </w:tcPr>
          <w:p w:rsidR="005F2AC5" w:rsidRPr="00E501F0" w:rsidRDefault="005F2AC5" w:rsidP="00936BFB">
            <w:pPr>
              <w:keepNext/>
              <w:jc w:val="center"/>
              <w:rPr>
                <w:sz w:val="22"/>
                <w:szCs w:val="22"/>
              </w:rPr>
            </w:pPr>
            <w:r w:rsidRPr="00E501F0">
              <w:rPr>
                <w:sz w:val="22"/>
                <w:szCs w:val="22"/>
              </w:rPr>
              <w:t>Synchronous netwo</w:t>
            </w:r>
            <w:r w:rsidR="002534E4" w:rsidRPr="00E501F0">
              <w:rPr>
                <w:sz w:val="22"/>
                <w:szCs w:val="22"/>
              </w:rPr>
              <w:t>rk</w:t>
            </w:r>
            <w:r w:rsidRPr="00E501F0">
              <w:rPr>
                <w:sz w:val="22"/>
                <w:szCs w:val="22"/>
              </w:rPr>
              <w:t xml:space="preserve">. Non-Colliding CRS scenario </w:t>
            </w:r>
            <w:r w:rsidR="002C4F95" w:rsidRPr="00E501F0">
              <w:rPr>
                <w:sz w:val="22"/>
                <w:szCs w:val="22"/>
              </w:rPr>
              <w:t xml:space="preserve">in High INR </w:t>
            </w:r>
          </w:p>
        </w:tc>
      </w:tr>
      <w:tr w:rsidR="005F2AC5" w:rsidRPr="00E501F0" w:rsidTr="00152EAA">
        <w:trPr>
          <w:trHeight w:val="4371"/>
          <w:jc w:val="center"/>
        </w:trPr>
        <w:tc>
          <w:tcPr>
            <w:tcW w:w="2500" w:type="pct"/>
            <w:tcBorders>
              <w:bottom w:val="nil"/>
            </w:tcBorders>
            <w:shd w:val="clear" w:color="auto" w:fill="auto"/>
          </w:tcPr>
          <w:p w:rsidR="005F2AC5" w:rsidRPr="00E501F0" w:rsidRDefault="005F2AC5" w:rsidP="005F2AC5">
            <w:pPr>
              <w:pStyle w:val="Caption"/>
              <w:spacing w:before="120" w:after="0"/>
              <w:jc w:val="center"/>
              <w:rPr>
                <w:i/>
              </w:rPr>
            </w:pPr>
            <w:r w:rsidRPr="00E501F0">
              <w:rPr>
                <w:i/>
              </w:rPr>
              <w:t>High INR, CFI</w:t>
            </w:r>
            <w:r w:rsidRPr="00E501F0">
              <w:rPr>
                <w:i/>
                <w:vertAlign w:val="subscript"/>
              </w:rPr>
              <w:t xml:space="preserve">S </w:t>
            </w:r>
            <w:r w:rsidRPr="00E501F0">
              <w:rPr>
                <w:i/>
              </w:rPr>
              <w:t>=1, CFI</w:t>
            </w:r>
            <w:r w:rsidRPr="00E501F0">
              <w:rPr>
                <w:i/>
                <w:vertAlign w:val="subscript"/>
              </w:rPr>
              <w:t xml:space="preserve">I </w:t>
            </w:r>
            <w:r w:rsidRPr="00E501F0">
              <w:rPr>
                <w:i/>
              </w:rPr>
              <w:t>=1, AL2</w:t>
            </w:r>
            <w:r w:rsidR="00C3210E" w:rsidRPr="00E501F0">
              <w:rPr>
                <w:i/>
              </w:rPr>
              <w:t>, 100% loading</w:t>
            </w:r>
          </w:p>
          <w:p w:rsidR="005F2AC5" w:rsidRPr="00E501F0" w:rsidRDefault="00FA58E9" w:rsidP="005F2AC5">
            <w:r w:rsidRPr="00E501F0">
              <w:rPr>
                <w:noProof/>
                <w:lang w:val="en-US"/>
              </w:rPr>
              <w:drawing>
                <wp:inline distT="0" distB="0" distL="0" distR="0">
                  <wp:extent cx="3130550" cy="2347595"/>
                  <wp:effectExtent l="0" t="0" r="0" b="0"/>
                  <wp:docPr id="99" name="Picture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LL1Non-collidingHighINRCFI1AL2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550" cy="2347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tcBorders>
              <w:bottom w:val="nil"/>
            </w:tcBorders>
            <w:shd w:val="clear" w:color="auto" w:fill="auto"/>
          </w:tcPr>
          <w:p w:rsidR="00C3210E" w:rsidRPr="00E501F0" w:rsidRDefault="00C3210E" w:rsidP="005F2AC5">
            <w:pPr>
              <w:pStyle w:val="Caption"/>
              <w:spacing w:before="120" w:after="0"/>
              <w:jc w:val="center"/>
              <w:rPr>
                <w:i/>
                <w:noProof/>
                <w:lang w:val="en-US"/>
              </w:rPr>
            </w:pPr>
            <w:r w:rsidRPr="00E501F0">
              <w:rPr>
                <w:i/>
              </w:rPr>
              <w:t>High INR, CFI</w:t>
            </w:r>
            <w:r w:rsidRPr="00E501F0">
              <w:rPr>
                <w:i/>
                <w:vertAlign w:val="subscript"/>
              </w:rPr>
              <w:t xml:space="preserve">S </w:t>
            </w:r>
            <w:r w:rsidRPr="00E501F0">
              <w:rPr>
                <w:i/>
              </w:rPr>
              <w:t>=1, CFI</w:t>
            </w:r>
            <w:r w:rsidRPr="00E501F0">
              <w:rPr>
                <w:i/>
                <w:vertAlign w:val="subscript"/>
              </w:rPr>
              <w:t xml:space="preserve">I </w:t>
            </w:r>
            <w:r w:rsidRPr="00E501F0">
              <w:rPr>
                <w:i/>
              </w:rPr>
              <w:t>=1, AL2, 50% loading</w:t>
            </w:r>
          </w:p>
          <w:p w:rsidR="005F2AC5" w:rsidRPr="00E501F0" w:rsidRDefault="00C3210E" w:rsidP="00C3210E">
            <w:pPr>
              <w:pStyle w:val="Caption"/>
              <w:spacing w:before="120" w:after="0"/>
              <w:rPr>
                <w:i/>
              </w:rPr>
            </w:pPr>
            <w:r w:rsidRPr="00E501F0">
              <w:rPr>
                <w:i/>
                <w:noProof/>
                <w:lang w:val="en-US"/>
              </w:rPr>
              <w:drawing>
                <wp:inline distT="0" distB="0" distL="0" distR="0" wp14:anchorId="5048F4A3" wp14:editId="19DDF519">
                  <wp:extent cx="3130550" cy="2347595"/>
                  <wp:effectExtent l="0" t="0" r="0" b="0"/>
                  <wp:docPr id="82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LL05Non-collidingHighINRCFI1AL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550" cy="2347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2AC5" w:rsidRPr="00E501F0" w:rsidTr="00152EAA">
        <w:trPr>
          <w:trHeight w:val="245"/>
          <w:jc w:val="center"/>
        </w:trPr>
        <w:tc>
          <w:tcPr>
            <w:tcW w:w="25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F2AC5" w:rsidRPr="00E501F0" w:rsidRDefault="005F2AC5" w:rsidP="003E5382">
            <w:pPr>
              <w:spacing w:after="0"/>
              <w:jc w:val="center"/>
            </w:pPr>
          </w:p>
        </w:tc>
        <w:tc>
          <w:tcPr>
            <w:tcW w:w="25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F2AC5" w:rsidRPr="00E501F0" w:rsidRDefault="005F2AC5" w:rsidP="003E5382">
            <w:pPr>
              <w:spacing w:after="0"/>
              <w:jc w:val="center"/>
            </w:pPr>
          </w:p>
        </w:tc>
      </w:tr>
      <w:tr w:rsidR="005F2AC5" w:rsidRPr="00E501F0" w:rsidTr="00152EAA">
        <w:trPr>
          <w:trHeight w:val="4315"/>
          <w:jc w:val="center"/>
        </w:trPr>
        <w:tc>
          <w:tcPr>
            <w:tcW w:w="2500" w:type="pct"/>
            <w:tcBorders>
              <w:bottom w:val="nil"/>
            </w:tcBorders>
            <w:shd w:val="clear" w:color="auto" w:fill="auto"/>
          </w:tcPr>
          <w:p w:rsidR="002534E4" w:rsidRPr="00E501F0" w:rsidRDefault="002534E4" w:rsidP="002534E4">
            <w:pPr>
              <w:pStyle w:val="Caption"/>
              <w:spacing w:before="120" w:after="0"/>
              <w:jc w:val="center"/>
              <w:rPr>
                <w:i/>
              </w:rPr>
            </w:pPr>
            <w:r w:rsidRPr="00E501F0">
              <w:rPr>
                <w:i/>
              </w:rPr>
              <w:lastRenderedPageBreak/>
              <w:t>High INR, CFI</w:t>
            </w:r>
            <w:r w:rsidRPr="00E501F0">
              <w:rPr>
                <w:i/>
                <w:vertAlign w:val="subscript"/>
              </w:rPr>
              <w:t xml:space="preserve">S </w:t>
            </w:r>
            <w:r w:rsidRPr="00E501F0">
              <w:rPr>
                <w:i/>
              </w:rPr>
              <w:t>=3, CFI</w:t>
            </w:r>
            <w:r w:rsidRPr="00E501F0">
              <w:rPr>
                <w:i/>
                <w:vertAlign w:val="subscript"/>
              </w:rPr>
              <w:t xml:space="preserve">I </w:t>
            </w:r>
            <w:r w:rsidRPr="00E501F0">
              <w:rPr>
                <w:i/>
              </w:rPr>
              <w:t>=3, AL2</w:t>
            </w:r>
            <w:r w:rsidR="00C3210E" w:rsidRPr="00E501F0">
              <w:rPr>
                <w:i/>
              </w:rPr>
              <w:t>, 100% loading</w:t>
            </w:r>
          </w:p>
          <w:p w:rsidR="005F2AC5" w:rsidRPr="00E501F0" w:rsidRDefault="00C3210E" w:rsidP="003E5382">
            <w:pPr>
              <w:pStyle w:val="Caption"/>
              <w:spacing w:before="120" w:after="0"/>
              <w:jc w:val="center"/>
            </w:pPr>
            <w:r w:rsidRPr="00E501F0">
              <w:rPr>
                <w:noProof/>
                <w:lang w:val="en-US"/>
              </w:rPr>
              <w:drawing>
                <wp:inline distT="0" distB="0" distL="0" distR="0">
                  <wp:extent cx="3130550" cy="23475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L1Non-collidingHighINRCFI3AL2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550" cy="2347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tcBorders>
              <w:bottom w:val="nil"/>
            </w:tcBorders>
            <w:shd w:val="clear" w:color="auto" w:fill="auto"/>
          </w:tcPr>
          <w:p w:rsidR="002534E4" w:rsidRPr="00E501F0" w:rsidRDefault="002534E4" w:rsidP="002534E4">
            <w:pPr>
              <w:pStyle w:val="Caption"/>
              <w:spacing w:before="120" w:after="0"/>
              <w:jc w:val="center"/>
              <w:rPr>
                <w:i/>
              </w:rPr>
            </w:pPr>
            <w:r w:rsidRPr="00E501F0">
              <w:rPr>
                <w:i/>
              </w:rPr>
              <w:t>High INR, CFI</w:t>
            </w:r>
            <w:r w:rsidRPr="00E501F0">
              <w:rPr>
                <w:i/>
                <w:vertAlign w:val="subscript"/>
              </w:rPr>
              <w:t xml:space="preserve">S </w:t>
            </w:r>
            <w:r w:rsidRPr="00E501F0">
              <w:rPr>
                <w:i/>
              </w:rPr>
              <w:t>=3, CFI</w:t>
            </w:r>
            <w:r w:rsidRPr="00E501F0">
              <w:rPr>
                <w:i/>
                <w:vertAlign w:val="subscript"/>
              </w:rPr>
              <w:t xml:space="preserve">I </w:t>
            </w:r>
            <w:r w:rsidRPr="00E501F0">
              <w:rPr>
                <w:i/>
              </w:rPr>
              <w:t xml:space="preserve">=3, </w:t>
            </w:r>
            <w:r w:rsidR="005050C4" w:rsidRPr="00E501F0">
              <w:rPr>
                <w:i/>
              </w:rPr>
              <w:t>AL2</w:t>
            </w:r>
            <w:r w:rsidR="00C3210E" w:rsidRPr="00E501F0">
              <w:rPr>
                <w:i/>
              </w:rPr>
              <w:t>, 50% loading</w:t>
            </w:r>
          </w:p>
          <w:p w:rsidR="005F2AC5" w:rsidRPr="00E501F0" w:rsidRDefault="005050C4" w:rsidP="003E5382">
            <w:pPr>
              <w:pStyle w:val="Caption"/>
              <w:spacing w:before="120" w:after="0"/>
              <w:jc w:val="center"/>
              <w:rPr>
                <w:i/>
              </w:rPr>
            </w:pPr>
            <w:r w:rsidRPr="00E501F0">
              <w:rPr>
                <w:i/>
                <w:noProof/>
                <w:lang w:val="en-US"/>
              </w:rPr>
              <w:drawing>
                <wp:inline distT="0" distB="0" distL="0" distR="0">
                  <wp:extent cx="3130550" cy="23475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L05Non-collidingHighINRCFI3AL2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550" cy="2347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2AC5" w:rsidRPr="00E501F0" w:rsidTr="00152EAA">
        <w:trPr>
          <w:trHeight w:val="265"/>
          <w:jc w:val="center"/>
        </w:trPr>
        <w:tc>
          <w:tcPr>
            <w:tcW w:w="25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F2AC5" w:rsidRPr="00E501F0" w:rsidRDefault="005F2AC5" w:rsidP="003E5382">
            <w:pPr>
              <w:spacing w:after="0"/>
              <w:jc w:val="center"/>
            </w:pPr>
          </w:p>
        </w:tc>
        <w:tc>
          <w:tcPr>
            <w:tcW w:w="25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F2AC5" w:rsidRPr="00E501F0" w:rsidRDefault="005F2AC5" w:rsidP="003E5382">
            <w:pPr>
              <w:spacing w:after="0"/>
              <w:jc w:val="center"/>
            </w:pPr>
          </w:p>
        </w:tc>
      </w:tr>
      <w:tr w:rsidR="005F2AC5" w:rsidRPr="00E501F0" w:rsidTr="00152EAA">
        <w:trPr>
          <w:trHeight w:val="130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AA" w:rsidRPr="00E501F0" w:rsidRDefault="00152EAA" w:rsidP="001127FC">
            <w:pPr>
              <w:spacing w:line="276" w:lineRule="auto"/>
              <w:jc w:val="center"/>
              <w:rPr>
                <w:b/>
              </w:rPr>
            </w:pPr>
            <w:bookmarkStart w:id="1" w:name="_Ref431301832"/>
          </w:p>
          <w:p w:rsidR="005F2AC5" w:rsidRPr="00E501F0" w:rsidRDefault="005F2AC5" w:rsidP="00C3210E">
            <w:pPr>
              <w:spacing w:line="276" w:lineRule="auto"/>
              <w:jc w:val="center"/>
            </w:pPr>
            <w:r w:rsidRPr="00E501F0">
              <w:rPr>
                <w:b/>
              </w:rPr>
              <w:t xml:space="preserve">Figure </w:t>
            </w:r>
            <w:bookmarkEnd w:id="1"/>
            <w:r w:rsidR="002534E4" w:rsidRPr="00E501F0">
              <w:rPr>
                <w:b/>
              </w:rPr>
              <w:t>1</w:t>
            </w:r>
            <w:r w:rsidRPr="00E501F0">
              <w:t xml:space="preserve">. </w:t>
            </w:r>
            <w:r w:rsidR="002534E4" w:rsidRPr="00E501F0">
              <w:rPr>
                <w:lang w:val="en-US"/>
              </w:rPr>
              <w:t xml:space="preserve">PDCCH BLER in Non-colliding CRS scenario, High INR scenario, INR1 = 13.94dB, INR2 = 3.34dB, </w:t>
            </w:r>
            <w:r w:rsidR="001127FC" w:rsidRPr="00E501F0">
              <w:rPr>
                <w:lang w:val="en-US"/>
              </w:rPr>
              <w:t xml:space="preserve">with </w:t>
            </w:r>
            <w:r w:rsidR="00C3210E" w:rsidRPr="00E501F0">
              <w:rPr>
                <w:lang w:val="en-US"/>
              </w:rPr>
              <w:t>various i</w:t>
            </w:r>
            <w:r w:rsidR="002534E4" w:rsidRPr="00E501F0">
              <w:rPr>
                <w:lang w:val="en-US"/>
              </w:rPr>
              <w:t>nterference loading level</w:t>
            </w:r>
            <w:r w:rsidR="00C3210E" w:rsidRPr="00E501F0">
              <w:rPr>
                <w:lang w:val="en-US"/>
              </w:rPr>
              <w:t>s</w:t>
            </w:r>
            <w:r w:rsidR="002534E4" w:rsidRPr="00E501F0">
              <w:rPr>
                <w:lang w:val="en-US"/>
              </w:rPr>
              <w:t xml:space="preserve"> </w:t>
            </w:r>
            <w:r w:rsidR="001127FC" w:rsidRPr="00E501F0">
              <w:rPr>
                <w:lang w:val="en-US"/>
              </w:rPr>
              <w:t>w</w:t>
            </w:r>
            <w:r w:rsidR="002534E4" w:rsidRPr="00E501F0">
              <w:rPr>
                <w:lang w:val="en-US"/>
              </w:rPr>
              <w:t>ith uniform power distribution</w:t>
            </w:r>
          </w:p>
        </w:tc>
      </w:tr>
    </w:tbl>
    <w:p w:rsidR="004310C3" w:rsidRPr="00E501F0" w:rsidRDefault="004310C3" w:rsidP="0040252B">
      <w:pPr>
        <w:spacing w:line="276" w:lineRule="auto"/>
        <w:rPr>
          <w:lang w:val="en-US"/>
        </w:rPr>
      </w:pPr>
    </w:p>
    <w:p w:rsidR="002534E4" w:rsidRPr="00E501F0" w:rsidRDefault="002534E4" w:rsidP="00EC2684">
      <w:pPr>
        <w:spacing w:line="276" w:lineRule="auto"/>
        <w:jc w:val="center"/>
        <w:rPr>
          <w:b/>
          <w:lang w:val="en-US"/>
        </w:rPr>
      </w:pPr>
    </w:p>
    <w:tbl>
      <w:tblPr>
        <w:tblW w:w="58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5"/>
        <w:gridCol w:w="5490"/>
      </w:tblGrid>
      <w:tr w:rsidR="00385123" w:rsidRPr="00E501F0" w:rsidTr="00385123">
        <w:trPr>
          <w:trHeight w:val="511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BDD6EE"/>
          </w:tcPr>
          <w:p w:rsidR="00385123" w:rsidRPr="00E501F0" w:rsidRDefault="00385123" w:rsidP="00385123">
            <w:pPr>
              <w:keepNext/>
              <w:jc w:val="center"/>
              <w:rPr>
                <w:sz w:val="22"/>
                <w:szCs w:val="22"/>
              </w:rPr>
            </w:pPr>
            <w:r w:rsidRPr="00E501F0">
              <w:rPr>
                <w:sz w:val="22"/>
                <w:szCs w:val="22"/>
              </w:rPr>
              <w:t>Synchronous network, localized and distributed EPDCCH</w:t>
            </w:r>
          </w:p>
        </w:tc>
      </w:tr>
      <w:tr w:rsidR="00385123" w:rsidRPr="00E501F0" w:rsidTr="00385123">
        <w:trPr>
          <w:trHeight w:val="4371"/>
          <w:jc w:val="center"/>
        </w:trPr>
        <w:tc>
          <w:tcPr>
            <w:tcW w:w="2478" w:type="pct"/>
            <w:tcBorders>
              <w:bottom w:val="nil"/>
            </w:tcBorders>
            <w:shd w:val="clear" w:color="auto" w:fill="auto"/>
          </w:tcPr>
          <w:p w:rsidR="00385123" w:rsidRPr="00E501F0" w:rsidRDefault="00385123" w:rsidP="00385123">
            <w:pPr>
              <w:jc w:val="center"/>
              <w:rPr>
                <w:b/>
                <w:noProof/>
                <w:lang w:val="en-US"/>
              </w:rPr>
            </w:pPr>
            <w:r w:rsidRPr="00E501F0">
              <w:rPr>
                <w:b/>
                <w:i/>
              </w:rPr>
              <w:t>High INR, AL=2, localized</w:t>
            </w:r>
          </w:p>
          <w:p w:rsidR="00385123" w:rsidRPr="00E501F0" w:rsidRDefault="00385123" w:rsidP="003E5382">
            <w:r w:rsidRPr="00E501F0">
              <w:rPr>
                <w:noProof/>
                <w:lang w:val="en-US"/>
              </w:rPr>
              <w:drawing>
                <wp:inline distT="0" distB="0" distL="0" distR="0" wp14:anchorId="12A1429C" wp14:editId="4F85035B">
                  <wp:extent cx="3450131" cy="2587598"/>
                  <wp:effectExtent l="0" t="0" r="0" b="3810"/>
                  <wp:docPr id="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0131" cy="2587598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2" w:type="pct"/>
            <w:tcBorders>
              <w:bottom w:val="nil"/>
            </w:tcBorders>
            <w:shd w:val="clear" w:color="auto" w:fill="auto"/>
          </w:tcPr>
          <w:p w:rsidR="00385123" w:rsidRPr="00E501F0" w:rsidRDefault="00385123" w:rsidP="00385123">
            <w:pPr>
              <w:jc w:val="center"/>
              <w:rPr>
                <w:b/>
                <w:i/>
              </w:rPr>
            </w:pPr>
            <w:r w:rsidRPr="00E501F0">
              <w:rPr>
                <w:b/>
                <w:i/>
              </w:rPr>
              <w:t xml:space="preserve">High INR, AL=4, distributed </w:t>
            </w:r>
          </w:p>
          <w:p w:rsidR="00385123" w:rsidRPr="00E501F0" w:rsidRDefault="00385123" w:rsidP="00385123">
            <w:pPr>
              <w:jc w:val="center"/>
              <w:rPr>
                <w:i/>
              </w:rPr>
            </w:pPr>
            <w:r w:rsidRPr="00E501F0">
              <w:rPr>
                <w:noProof/>
                <w:lang w:val="en-US"/>
              </w:rPr>
              <w:drawing>
                <wp:inline distT="0" distB="0" distL="0" distR="0" wp14:anchorId="0B9F8004" wp14:editId="00FEC657">
                  <wp:extent cx="3432200" cy="2574151"/>
                  <wp:effectExtent l="0" t="0" r="0" b="0"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395" cy="2600547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5123" w:rsidRPr="00E501F0" w:rsidTr="00385123">
        <w:trPr>
          <w:trHeight w:val="245"/>
          <w:jc w:val="center"/>
        </w:trPr>
        <w:tc>
          <w:tcPr>
            <w:tcW w:w="247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85123" w:rsidRPr="00E501F0" w:rsidRDefault="00385123" w:rsidP="003E5382">
            <w:pPr>
              <w:spacing w:after="0"/>
              <w:jc w:val="center"/>
            </w:pPr>
          </w:p>
        </w:tc>
        <w:tc>
          <w:tcPr>
            <w:tcW w:w="252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85123" w:rsidRPr="00E501F0" w:rsidRDefault="00385123" w:rsidP="003E5382">
            <w:pPr>
              <w:spacing w:after="0"/>
              <w:jc w:val="center"/>
            </w:pPr>
          </w:p>
        </w:tc>
      </w:tr>
      <w:tr w:rsidR="00385123" w:rsidRPr="00E501F0" w:rsidTr="00385123">
        <w:trPr>
          <w:trHeight w:val="4315"/>
          <w:jc w:val="center"/>
        </w:trPr>
        <w:tc>
          <w:tcPr>
            <w:tcW w:w="2478" w:type="pct"/>
            <w:tcBorders>
              <w:bottom w:val="nil"/>
            </w:tcBorders>
            <w:shd w:val="clear" w:color="auto" w:fill="auto"/>
          </w:tcPr>
          <w:p w:rsidR="00385123" w:rsidRPr="00E501F0" w:rsidRDefault="00385123" w:rsidP="00385123">
            <w:pPr>
              <w:jc w:val="center"/>
              <w:rPr>
                <w:b/>
                <w:noProof/>
                <w:lang w:val="en-US"/>
              </w:rPr>
            </w:pPr>
            <w:r w:rsidRPr="00E501F0">
              <w:rPr>
                <w:b/>
                <w:i/>
              </w:rPr>
              <w:lastRenderedPageBreak/>
              <w:t>Medium INR, AL=2, localized</w:t>
            </w:r>
          </w:p>
          <w:p w:rsidR="00385123" w:rsidRPr="00E501F0" w:rsidRDefault="00385123" w:rsidP="003E5382">
            <w:pPr>
              <w:pStyle w:val="Caption"/>
              <w:spacing w:before="120" w:after="0"/>
              <w:jc w:val="center"/>
            </w:pPr>
            <w:r w:rsidRPr="00E501F0">
              <w:rPr>
                <w:noProof/>
                <w:lang w:val="en-US"/>
              </w:rPr>
              <w:drawing>
                <wp:inline distT="0" distB="0" distL="0" distR="0" wp14:anchorId="592FA5DE" wp14:editId="13FB22BF">
                  <wp:extent cx="3380974" cy="2535731"/>
                  <wp:effectExtent l="0" t="0" r="0" b="0"/>
                  <wp:docPr id="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7404" cy="2555553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2" w:type="pct"/>
            <w:tcBorders>
              <w:bottom w:val="nil"/>
            </w:tcBorders>
            <w:shd w:val="clear" w:color="auto" w:fill="auto"/>
          </w:tcPr>
          <w:p w:rsidR="00385123" w:rsidRPr="00E501F0" w:rsidRDefault="00385123" w:rsidP="00385123">
            <w:pPr>
              <w:jc w:val="center"/>
              <w:rPr>
                <w:b/>
                <w:noProof/>
                <w:lang w:val="en-US"/>
              </w:rPr>
            </w:pPr>
            <w:r w:rsidRPr="00E501F0">
              <w:rPr>
                <w:b/>
                <w:i/>
              </w:rPr>
              <w:t>Medium INR, AL=4, distributed</w:t>
            </w:r>
          </w:p>
          <w:p w:rsidR="00385123" w:rsidRPr="00E501F0" w:rsidRDefault="00385123" w:rsidP="003E5382">
            <w:pPr>
              <w:pStyle w:val="Caption"/>
              <w:spacing w:before="120" w:after="0"/>
              <w:jc w:val="center"/>
              <w:rPr>
                <w:i/>
              </w:rPr>
            </w:pPr>
            <w:r w:rsidRPr="00E501F0">
              <w:rPr>
                <w:noProof/>
                <w:lang w:val="en-US"/>
              </w:rPr>
              <w:drawing>
                <wp:inline distT="0" distB="0" distL="0" distR="0" wp14:anchorId="158CAA67" wp14:editId="3779F2C1">
                  <wp:extent cx="3348990" cy="2512060"/>
                  <wp:effectExtent l="0" t="0" r="3810" b="254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8990" cy="251206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385123" w:rsidRPr="00E501F0" w:rsidRDefault="00385123" w:rsidP="003E5382">
            <w:pPr>
              <w:pStyle w:val="Caption"/>
              <w:spacing w:before="120" w:after="0"/>
              <w:jc w:val="center"/>
              <w:rPr>
                <w:i/>
              </w:rPr>
            </w:pPr>
          </w:p>
        </w:tc>
      </w:tr>
      <w:tr w:rsidR="00385123" w:rsidRPr="00E501F0" w:rsidTr="00385123">
        <w:trPr>
          <w:trHeight w:val="265"/>
          <w:jc w:val="center"/>
        </w:trPr>
        <w:tc>
          <w:tcPr>
            <w:tcW w:w="247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85123" w:rsidRPr="00E501F0" w:rsidRDefault="00385123" w:rsidP="003E5382">
            <w:pPr>
              <w:spacing w:after="0"/>
              <w:jc w:val="center"/>
            </w:pPr>
          </w:p>
        </w:tc>
        <w:tc>
          <w:tcPr>
            <w:tcW w:w="252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85123" w:rsidRPr="00E501F0" w:rsidRDefault="00385123" w:rsidP="003E5382">
            <w:pPr>
              <w:spacing w:after="0"/>
              <w:jc w:val="center"/>
            </w:pPr>
          </w:p>
        </w:tc>
      </w:tr>
      <w:tr w:rsidR="00385123" w:rsidRPr="00E501F0" w:rsidTr="00385123">
        <w:trPr>
          <w:trHeight w:val="130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123" w:rsidRPr="00E501F0" w:rsidRDefault="00385123" w:rsidP="003E5382">
            <w:pPr>
              <w:spacing w:line="276" w:lineRule="auto"/>
              <w:jc w:val="center"/>
              <w:rPr>
                <w:b/>
              </w:rPr>
            </w:pPr>
          </w:p>
          <w:p w:rsidR="00385123" w:rsidRPr="00E501F0" w:rsidRDefault="00385123" w:rsidP="003E5382">
            <w:pPr>
              <w:spacing w:line="276" w:lineRule="auto"/>
              <w:jc w:val="center"/>
            </w:pPr>
            <w:r w:rsidRPr="00E501F0">
              <w:rPr>
                <w:b/>
              </w:rPr>
              <w:t>Figure 5</w:t>
            </w:r>
            <w:r w:rsidRPr="00E501F0">
              <w:t xml:space="preserve">. </w:t>
            </w:r>
            <w:r w:rsidRPr="00E501F0">
              <w:rPr>
                <w:lang w:val="en-US"/>
              </w:rPr>
              <w:t>EPDCCH BLER for AL = 2, 4 in high and medium INR conditions with various receivers</w:t>
            </w:r>
          </w:p>
        </w:tc>
      </w:tr>
    </w:tbl>
    <w:p w:rsidR="00152EAA" w:rsidRPr="00E501F0" w:rsidRDefault="00152EAA" w:rsidP="00EC2684">
      <w:pPr>
        <w:spacing w:line="276" w:lineRule="auto"/>
        <w:jc w:val="center"/>
        <w:rPr>
          <w:b/>
          <w:lang w:val="en-US"/>
        </w:rPr>
      </w:pPr>
    </w:p>
    <w:p w:rsidR="004310C3" w:rsidRPr="00E501F0" w:rsidRDefault="004310C3" w:rsidP="0040252B">
      <w:pPr>
        <w:spacing w:line="276" w:lineRule="auto"/>
        <w:rPr>
          <w:lang w:val="en-US"/>
        </w:rPr>
      </w:pPr>
    </w:p>
    <w:p w:rsidR="004310C3" w:rsidRPr="008C0F6E" w:rsidRDefault="008C0F6E" w:rsidP="008C0F6E">
      <w:pPr>
        <w:spacing w:line="276" w:lineRule="auto"/>
        <w:jc w:val="center"/>
        <w:rPr>
          <w:i/>
          <w:color w:val="0070C0"/>
          <w:lang w:val="en-US"/>
        </w:rPr>
      </w:pPr>
      <w:r w:rsidRPr="008C0F6E">
        <w:rPr>
          <w:i/>
          <w:color w:val="0070C0"/>
          <w:lang w:val="en-US"/>
        </w:rPr>
        <w:t>&lt;more simulation results will be added later&gt;</w:t>
      </w:r>
    </w:p>
    <w:p w:rsidR="00877352" w:rsidRPr="00E501F0" w:rsidRDefault="00877352" w:rsidP="00877352">
      <w:pPr>
        <w:pStyle w:val="Heading1"/>
        <w:numPr>
          <w:ilvl w:val="0"/>
          <w:numId w:val="0"/>
        </w:numPr>
        <w:rPr>
          <w:rFonts w:ascii="Times New Roman" w:hAnsi="Times New Roman"/>
        </w:rPr>
      </w:pPr>
      <w:r w:rsidRPr="00E501F0">
        <w:rPr>
          <w:rFonts w:ascii="Times New Roman" w:hAnsi="Times New Roman"/>
        </w:rPr>
        <w:t>References</w:t>
      </w:r>
    </w:p>
    <w:p w:rsidR="00877352" w:rsidRPr="00E501F0" w:rsidRDefault="00877352" w:rsidP="00877352">
      <w:pPr>
        <w:widowControl w:val="0"/>
        <w:numPr>
          <w:ilvl w:val="0"/>
          <w:numId w:val="15"/>
        </w:numPr>
        <w:spacing w:before="120" w:after="120"/>
        <w:jc w:val="both"/>
        <w:rPr>
          <w:lang w:bidi="hi-IN"/>
        </w:rPr>
      </w:pPr>
      <w:r w:rsidRPr="00E501F0">
        <w:rPr>
          <w:lang w:bidi="hi-IN"/>
        </w:rPr>
        <w:t>RP-151107, “New WI proposal: Interference mitigation for downlink control channels of LTE”, Intel Corporation, ZTE, RAN #68, June 2015</w:t>
      </w:r>
    </w:p>
    <w:p w:rsidR="00373B71" w:rsidRPr="00E501F0" w:rsidRDefault="00EF7671" w:rsidP="003B3E35">
      <w:pPr>
        <w:widowControl w:val="0"/>
        <w:numPr>
          <w:ilvl w:val="0"/>
          <w:numId w:val="15"/>
        </w:numPr>
        <w:spacing w:before="120" w:after="120" w:line="276" w:lineRule="auto"/>
        <w:jc w:val="both"/>
        <w:rPr>
          <w:lang w:val="en-US"/>
        </w:rPr>
      </w:pPr>
      <w:r w:rsidRPr="00E501F0">
        <w:t>R4-158134</w:t>
      </w:r>
      <w:r w:rsidR="00683D5B" w:rsidRPr="00E501F0">
        <w:t>, “</w:t>
      </w:r>
      <w:r w:rsidRPr="00E501F0">
        <w:t>WF on Reference IM Receivers for DL Control Channel IM</w:t>
      </w:r>
      <w:r w:rsidR="00683D5B" w:rsidRPr="00E501F0">
        <w:t xml:space="preserve">”, </w:t>
      </w:r>
      <w:r w:rsidRPr="00E501F0">
        <w:t xml:space="preserve"> </w:t>
      </w:r>
      <w:r w:rsidRPr="00E501F0">
        <w:rPr>
          <w:lang w:val="en-US"/>
        </w:rPr>
        <w:t>Intel Corporation, ZTE,</w:t>
      </w:r>
      <w:r w:rsidR="00683D5B" w:rsidRPr="00E501F0">
        <w:rPr>
          <w:lang w:val="en-US"/>
        </w:rPr>
        <w:t xml:space="preserve"> </w:t>
      </w:r>
      <w:r w:rsidR="00683D5B" w:rsidRPr="00E501F0">
        <w:t>Anaheim</w:t>
      </w:r>
      <w:r w:rsidR="00683D5B" w:rsidRPr="00E501F0">
        <w:rPr>
          <w:lang w:bidi="hi-IN"/>
        </w:rPr>
        <w:t>, RAN4 #77, Nov. 2015</w:t>
      </w:r>
    </w:p>
    <w:p w:rsidR="00373B71" w:rsidRPr="00E501F0" w:rsidRDefault="00683D5B" w:rsidP="00082BB5">
      <w:pPr>
        <w:widowControl w:val="0"/>
        <w:numPr>
          <w:ilvl w:val="0"/>
          <w:numId w:val="15"/>
        </w:numPr>
        <w:spacing w:before="120" w:after="120" w:line="276" w:lineRule="auto"/>
        <w:jc w:val="both"/>
        <w:rPr>
          <w:lang w:val="en-US"/>
        </w:rPr>
      </w:pPr>
      <w:r w:rsidRPr="00E501F0">
        <w:rPr>
          <w:lang w:bidi="hi-IN"/>
        </w:rPr>
        <w:t xml:space="preserve">R4-158135, “WF on DL Control Channel IM Interference models”, </w:t>
      </w:r>
      <w:r w:rsidRPr="00E501F0">
        <w:rPr>
          <w:lang w:val="en-US" w:bidi="hi-IN"/>
        </w:rPr>
        <w:t xml:space="preserve">Intel Corporation, ZTE, Ericsson, LGE, </w:t>
      </w:r>
      <w:r w:rsidRPr="00E501F0">
        <w:rPr>
          <w:lang w:val="en-US" w:bidi="hi-IN"/>
        </w:rPr>
        <w:br/>
        <w:t>Huawei, HiSilicon, Anaheim, RAN4 #77, Nov. 2015</w:t>
      </w:r>
    </w:p>
    <w:p w:rsidR="002B00CB" w:rsidRPr="00E501F0" w:rsidRDefault="002B00CB" w:rsidP="00082BB5">
      <w:pPr>
        <w:widowControl w:val="0"/>
        <w:numPr>
          <w:ilvl w:val="0"/>
          <w:numId w:val="15"/>
        </w:numPr>
        <w:spacing w:before="120" w:after="120" w:line="276" w:lineRule="auto"/>
        <w:jc w:val="both"/>
        <w:rPr>
          <w:lang w:val="en-US"/>
        </w:rPr>
      </w:pPr>
      <w:r w:rsidRPr="00E501F0">
        <w:rPr>
          <w:lang w:val="en-US"/>
        </w:rPr>
        <w:t>R4-156986, “</w:t>
      </w:r>
      <w:r w:rsidRPr="00E501F0">
        <w:t>Simulation results for LTE DL Control Channels IM</w:t>
      </w:r>
      <w:r w:rsidRPr="00E501F0">
        <w:rPr>
          <w:lang w:val="en-US"/>
        </w:rPr>
        <w:t>”, Intel Corporation, Anaheim, RAN4 #77, Nov. 2015</w:t>
      </w:r>
    </w:p>
    <w:p w:rsidR="00206EF7" w:rsidRPr="00E501F0" w:rsidRDefault="00206EF7" w:rsidP="00082BB5">
      <w:pPr>
        <w:widowControl w:val="0"/>
        <w:numPr>
          <w:ilvl w:val="0"/>
          <w:numId w:val="15"/>
        </w:numPr>
        <w:spacing w:before="120" w:after="120" w:line="276" w:lineRule="auto"/>
        <w:jc w:val="both"/>
        <w:rPr>
          <w:lang w:val="en-US"/>
        </w:rPr>
      </w:pPr>
      <w:r w:rsidRPr="00E501F0">
        <w:rPr>
          <w:lang w:val="en-US"/>
        </w:rPr>
        <w:t>RA-157552, “Discussions on candidate receivers using EIRC for synchronous network for PDCHH/PCFICH/PHICH”, Ericsson, Anaheim, RAN4 #77, Nov. 2015</w:t>
      </w:r>
    </w:p>
    <w:p w:rsidR="00206EF7" w:rsidRPr="00E501F0" w:rsidRDefault="00206EF7" w:rsidP="00206EF7">
      <w:pPr>
        <w:tabs>
          <w:tab w:val="left" w:pos="1985"/>
        </w:tabs>
        <w:spacing w:after="0"/>
        <w:ind w:left="1988" w:hanging="1980"/>
        <w:jc w:val="both"/>
        <w:rPr>
          <w:lang w:val="en-US"/>
        </w:rPr>
      </w:pPr>
      <w:r w:rsidRPr="00E501F0">
        <w:rPr>
          <w:lang w:val="en-US"/>
        </w:rPr>
        <w:t xml:space="preserve"> </w:t>
      </w:r>
    </w:p>
    <w:p w:rsidR="00373B71" w:rsidRPr="00E501F0" w:rsidRDefault="00373B71" w:rsidP="0040252B">
      <w:pPr>
        <w:spacing w:line="276" w:lineRule="auto"/>
        <w:rPr>
          <w:lang w:val="en-US"/>
        </w:rPr>
      </w:pPr>
    </w:p>
    <w:p w:rsidR="00373B71" w:rsidRPr="00E501F0" w:rsidRDefault="00373B71" w:rsidP="0040252B">
      <w:pPr>
        <w:spacing w:line="276" w:lineRule="auto"/>
        <w:rPr>
          <w:lang w:val="en-US"/>
        </w:rPr>
      </w:pPr>
    </w:p>
    <w:p w:rsidR="00373B71" w:rsidRPr="00E501F0" w:rsidRDefault="00373B71" w:rsidP="0040252B">
      <w:pPr>
        <w:spacing w:line="276" w:lineRule="auto"/>
        <w:rPr>
          <w:lang w:val="en-US"/>
        </w:rPr>
      </w:pPr>
    </w:p>
    <w:p w:rsidR="00373B71" w:rsidRPr="00E501F0" w:rsidRDefault="00373B71" w:rsidP="0040252B">
      <w:pPr>
        <w:spacing w:line="276" w:lineRule="auto"/>
        <w:rPr>
          <w:lang w:val="en-US"/>
        </w:rPr>
      </w:pPr>
    </w:p>
    <w:p w:rsidR="00630820" w:rsidRPr="00E501F0" w:rsidRDefault="00630820" w:rsidP="0006585F">
      <w:pPr>
        <w:spacing w:line="276" w:lineRule="auto"/>
      </w:pPr>
    </w:p>
    <w:sectPr w:rsidR="00630820" w:rsidRPr="00E501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AD1" w:rsidRDefault="00513AD1" w:rsidP="00152EAA">
      <w:pPr>
        <w:spacing w:after="0"/>
      </w:pPr>
      <w:r>
        <w:separator/>
      </w:r>
    </w:p>
  </w:endnote>
  <w:endnote w:type="continuationSeparator" w:id="0">
    <w:p w:rsidR="00513AD1" w:rsidRDefault="00513AD1" w:rsidP="00152E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AD1" w:rsidRDefault="00513AD1" w:rsidP="00152EAA">
      <w:pPr>
        <w:spacing w:after="0"/>
      </w:pPr>
      <w:r>
        <w:separator/>
      </w:r>
    </w:p>
  </w:footnote>
  <w:footnote w:type="continuationSeparator" w:id="0">
    <w:p w:rsidR="00513AD1" w:rsidRDefault="00513AD1" w:rsidP="00152E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D1BC8"/>
    <w:multiLevelType w:val="hybridMultilevel"/>
    <w:tmpl w:val="0792D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6348F"/>
    <w:multiLevelType w:val="hybridMultilevel"/>
    <w:tmpl w:val="14B85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A133A"/>
    <w:multiLevelType w:val="hybridMultilevel"/>
    <w:tmpl w:val="8542A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1C515B"/>
    <w:multiLevelType w:val="hybridMultilevel"/>
    <w:tmpl w:val="C69AA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ACB26F7"/>
    <w:multiLevelType w:val="hybridMultilevel"/>
    <w:tmpl w:val="24D0B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F152A"/>
    <w:multiLevelType w:val="hybridMultilevel"/>
    <w:tmpl w:val="2012C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3970F8A"/>
    <w:multiLevelType w:val="hybridMultilevel"/>
    <w:tmpl w:val="46D4BE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33532"/>
    <w:multiLevelType w:val="hybridMultilevel"/>
    <w:tmpl w:val="1684444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48565D1A"/>
    <w:multiLevelType w:val="hybridMultilevel"/>
    <w:tmpl w:val="1402E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43D7B"/>
    <w:multiLevelType w:val="hybridMultilevel"/>
    <w:tmpl w:val="BDFAA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6202E10"/>
    <w:multiLevelType w:val="hybridMultilevel"/>
    <w:tmpl w:val="C6BCB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14"/>
  </w:num>
  <w:num w:numId="5">
    <w:abstractNumId w:val="3"/>
  </w:num>
  <w:num w:numId="6">
    <w:abstractNumId w:val="12"/>
  </w:num>
  <w:num w:numId="7">
    <w:abstractNumId w:val="16"/>
  </w:num>
  <w:num w:numId="8">
    <w:abstractNumId w:val="15"/>
  </w:num>
  <w:num w:numId="9">
    <w:abstractNumId w:val="2"/>
  </w:num>
  <w:num w:numId="10">
    <w:abstractNumId w:val="10"/>
  </w:num>
  <w:num w:numId="11">
    <w:abstractNumId w:val="9"/>
  </w:num>
  <w:num w:numId="12">
    <w:abstractNumId w:val="4"/>
  </w:num>
  <w:num w:numId="13">
    <w:abstractNumId w:val="13"/>
  </w:num>
  <w:num w:numId="14">
    <w:abstractNumId w:val="1"/>
  </w:num>
  <w:num w:numId="15">
    <w:abstractNumId w:val="8"/>
  </w:num>
  <w:num w:numId="16">
    <w:abstractNumId w:val="7"/>
  </w:num>
  <w:num w:numId="17">
    <w:abstractNumId w:val="6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515"/>
    <w:rsid w:val="00013559"/>
    <w:rsid w:val="00053515"/>
    <w:rsid w:val="000536D7"/>
    <w:rsid w:val="0006585F"/>
    <w:rsid w:val="00074A01"/>
    <w:rsid w:val="0009023B"/>
    <w:rsid w:val="00092418"/>
    <w:rsid w:val="00093A85"/>
    <w:rsid w:val="000A438B"/>
    <w:rsid w:val="000D0A96"/>
    <w:rsid w:val="00107458"/>
    <w:rsid w:val="00111B08"/>
    <w:rsid w:val="001127FC"/>
    <w:rsid w:val="00152EAA"/>
    <w:rsid w:val="00167D5E"/>
    <w:rsid w:val="001C46FA"/>
    <w:rsid w:val="001C6E10"/>
    <w:rsid w:val="00206EF7"/>
    <w:rsid w:val="002534E4"/>
    <w:rsid w:val="00253D6A"/>
    <w:rsid w:val="002552AA"/>
    <w:rsid w:val="002714E1"/>
    <w:rsid w:val="00272A38"/>
    <w:rsid w:val="002B00CB"/>
    <w:rsid w:val="002C2FC4"/>
    <w:rsid w:val="002C4F95"/>
    <w:rsid w:val="002D26FA"/>
    <w:rsid w:val="002D5A3E"/>
    <w:rsid w:val="002D6A34"/>
    <w:rsid w:val="002F1EF9"/>
    <w:rsid w:val="00307BAD"/>
    <w:rsid w:val="003218C5"/>
    <w:rsid w:val="003251F7"/>
    <w:rsid w:val="003279A0"/>
    <w:rsid w:val="003451F5"/>
    <w:rsid w:val="00357354"/>
    <w:rsid w:val="00361BC0"/>
    <w:rsid w:val="00373B71"/>
    <w:rsid w:val="00375B02"/>
    <w:rsid w:val="00385123"/>
    <w:rsid w:val="00396BDD"/>
    <w:rsid w:val="003A0805"/>
    <w:rsid w:val="003A0943"/>
    <w:rsid w:val="003B3303"/>
    <w:rsid w:val="003D40E1"/>
    <w:rsid w:val="0040252B"/>
    <w:rsid w:val="00405063"/>
    <w:rsid w:val="00405E53"/>
    <w:rsid w:val="00406EF5"/>
    <w:rsid w:val="004143C4"/>
    <w:rsid w:val="004177AB"/>
    <w:rsid w:val="004310C3"/>
    <w:rsid w:val="0046591D"/>
    <w:rsid w:val="00472E7E"/>
    <w:rsid w:val="004842C0"/>
    <w:rsid w:val="00497F00"/>
    <w:rsid w:val="004A1A09"/>
    <w:rsid w:val="004B6776"/>
    <w:rsid w:val="004D64E2"/>
    <w:rsid w:val="004D6890"/>
    <w:rsid w:val="005050C4"/>
    <w:rsid w:val="00513AD1"/>
    <w:rsid w:val="005348F3"/>
    <w:rsid w:val="005401A8"/>
    <w:rsid w:val="005556C6"/>
    <w:rsid w:val="005602A4"/>
    <w:rsid w:val="00575564"/>
    <w:rsid w:val="005A46EA"/>
    <w:rsid w:val="005D4ECF"/>
    <w:rsid w:val="005E38FA"/>
    <w:rsid w:val="005E5A5A"/>
    <w:rsid w:val="005E63CB"/>
    <w:rsid w:val="005E725D"/>
    <w:rsid w:val="005F2AC5"/>
    <w:rsid w:val="00630820"/>
    <w:rsid w:val="00683D5B"/>
    <w:rsid w:val="006C5517"/>
    <w:rsid w:val="006D1E01"/>
    <w:rsid w:val="006F21F0"/>
    <w:rsid w:val="00740C16"/>
    <w:rsid w:val="00757D5C"/>
    <w:rsid w:val="00774481"/>
    <w:rsid w:val="0079163F"/>
    <w:rsid w:val="007A0C35"/>
    <w:rsid w:val="007A0FF6"/>
    <w:rsid w:val="007A3EEE"/>
    <w:rsid w:val="007A5EBE"/>
    <w:rsid w:val="007B5337"/>
    <w:rsid w:val="00826A09"/>
    <w:rsid w:val="00831A8B"/>
    <w:rsid w:val="00833FB9"/>
    <w:rsid w:val="0083620D"/>
    <w:rsid w:val="00836A0E"/>
    <w:rsid w:val="00877352"/>
    <w:rsid w:val="00887408"/>
    <w:rsid w:val="008916B6"/>
    <w:rsid w:val="008C0F6E"/>
    <w:rsid w:val="008C20D0"/>
    <w:rsid w:val="008C6F7B"/>
    <w:rsid w:val="008E1C25"/>
    <w:rsid w:val="00922E1D"/>
    <w:rsid w:val="00933305"/>
    <w:rsid w:val="00936BFB"/>
    <w:rsid w:val="00946DAE"/>
    <w:rsid w:val="00980544"/>
    <w:rsid w:val="00981710"/>
    <w:rsid w:val="009A4828"/>
    <w:rsid w:val="009A7D4E"/>
    <w:rsid w:val="009D7BF9"/>
    <w:rsid w:val="009E77EC"/>
    <w:rsid w:val="00A13B94"/>
    <w:rsid w:val="00A5150A"/>
    <w:rsid w:val="00A57BBA"/>
    <w:rsid w:val="00A60AD4"/>
    <w:rsid w:val="00A62F0C"/>
    <w:rsid w:val="00AA7860"/>
    <w:rsid w:val="00AE562F"/>
    <w:rsid w:val="00AE64A0"/>
    <w:rsid w:val="00B21EAB"/>
    <w:rsid w:val="00B31771"/>
    <w:rsid w:val="00B61F20"/>
    <w:rsid w:val="00B64183"/>
    <w:rsid w:val="00B65F49"/>
    <w:rsid w:val="00B717DB"/>
    <w:rsid w:val="00BB24D3"/>
    <w:rsid w:val="00BB7C24"/>
    <w:rsid w:val="00BD4AE0"/>
    <w:rsid w:val="00C00A49"/>
    <w:rsid w:val="00C067F6"/>
    <w:rsid w:val="00C126E0"/>
    <w:rsid w:val="00C14255"/>
    <w:rsid w:val="00C3210E"/>
    <w:rsid w:val="00C44130"/>
    <w:rsid w:val="00C924C4"/>
    <w:rsid w:val="00C95FFC"/>
    <w:rsid w:val="00D07EBD"/>
    <w:rsid w:val="00D441BD"/>
    <w:rsid w:val="00D61FFF"/>
    <w:rsid w:val="00D657C0"/>
    <w:rsid w:val="00D705F6"/>
    <w:rsid w:val="00D949EE"/>
    <w:rsid w:val="00DF3066"/>
    <w:rsid w:val="00E05C77"/>
    <w:rsid w:val="00E107A1"/>
    <w:rsid w:val="00E2342C"/>
    <w:rsid w:val="00E24F55"/>
    <w:rsid w:val="00E501F0"/>
    <w:rsid w:val="00E6455A"/>
    <w:rsid w:val="00E731F1"/>
    <w:rsid w:val="00E73768"/>
    <w:rsid w:val="00E93C6E"/>
    <w:rsid w:val="00EC0930"/>
    <w:rsid w:val="00EC1BC8"/>
    <w:rsid w:val="00EC2684"/>
    <w:rsid w:val="00ED2F98"/>
    <w:rsid w:val="00EE03A9"/>
    <w:rsid w:val="00EF3AD8"/>
    <w:rsid w:val="00EF7671"/>
    <w:rsid w:val="00F00192"/>
    <w:rsid w:val="00F217D9"/>
    <w:rsid w:val="00F30DA1"/>
    <w:rsid w:val="00F3150E"/>
    <w:rsid w:val="00F468E9"/>
    <w:rsid w:val="00F5112C"/>
    <w:rsid w:val="00FA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0A392A-B4C8-43C3-830B-4AF1180F0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38FA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Char,h1,Heading 1 3GPP,Memo Heading 1,NMP Heading 1,app heading 1,l1,h11,h12,h13,h14,h15,h16,h17,h111,h121,h131,h141,h151,h161,h18,h112,h122,h132,h142,h152,h162,h19,h113,h123,h133,h143,h153,h163,1,Section of paper,Heading 1_a,heading 1"/>
    <w:next w:val="Normal"/>
    <w:link w:val="Heading1Char"/>
    <w:qFormat/>
    <w:rsid w:val="005E38FA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Char Char,H2,h2,DO NOT USE_h2,h21,Heading 2 3GPP,Head2A,2,UNDERRUBRIK 1-2,Head 2,l2,TitreProp,Header 2,ITT t2,PA Major Section,Livello 2,R2,H21,Heading 2 Hidden,Head1,2nd level,heading 2,I2,Section Title,Heading2,list2,H2-Heading 2,Header&#10;2"/>
    <w:basedOn w:val="Heading1"/>
    <w:next w:val="Normal"/>
    <w:link w:val="Heading2Char"/>
    <w:qFormat/>
    <w:rsid w:val="005E38FA"/>
    <w:pPr>
      <w:numPr>
        <w:ilvl w:val="1"/>
      </w:numPr>
      <w:pBdr>
        <w:top w:val="none" w:sz="0" w:space="0" w:color="auto"/>
      </w:pBdr>
      <w:tabs>
        <w:tab w:val="clear" w:pos="576"/>
        <w:tab w:val="num" w:pos="1116"/>
      </w:tabs>
      <w:spacing w:before="180"/>
      <w:ind w:left="1116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5E38F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E38FA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E38FA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E03A9"/>
    <w:pPr>
      <w:tabs>
        <w:tab w:val="num" w:pos="1499"/>
      </w:tabs>
      <w:spacing w:before="120" w:beforeAutospacing="1" w:afterLines="100"/>
      <w:ind w:left="1985" w:hanging="1985"/>
      <w:outlineLvl w:val="5"/>
    </w:pPr>
    <w:rPr>
      <w:rFonts w:ascii="Arial" w:eastAsia="Arial" w:hAnsi="Arial"/>
    </w:rPr>
  </w:style>
  <w:style w:type="paragraph" w:styleId="Heading7">
    <w:name w:val="heading 7"/>
    <w:basedOn w:val="Normal"/>
    <w:next w:val="Normal"/>
    <w:link w:val="Heading7Char"/>
    <w:qFormat/>
    <w:rsid w:val="005E38FA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E38F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38F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Char Char1,h1 Char,Heading 1 3GPP Char,Memo Heading 1 Char,NMP Heading 1 Char,app heading 1 Char,l1 Char,h11 Char,h12 Char,h13 Char,h14 Char,h15 Char,h16 Char,h17 Char,h111 Char,h121 Char,h131 Char,h141 Char,h151 Char,h161 Char"/>
    <w:basedOn w:val="DefaultParagraphFont"/>
    <w:link w:val="Heading1"/>
    <w:rsid w:val="005E38FA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Char Char Char,H2 Char,h2 Char,DO NOT USE_h2 Char,h21 Char,Heading 2 3GPP Char,Head2A Char,2 Char,UNDERRUBRIK 1-2 Char,Head 2 Char,l2 Char,TitreProp Char,Header 2 Char,ITT t2 Char,PA Major Section Char,Livello 2 Char,R2 Char,H21 Char"/>
    <w:basedOn w:val="DefaultParagraphFont"/>
    <w:link w:val="Heading2"/>
    <w:rsid w:val="005E38FA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5E38FA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E38FA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5E38FA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E38FA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5E38FA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E38FA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E38FA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E38FA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5E38F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E38FA"/>
    <w:rPr>
      <w:rFonts w:ascii="Arial" w:eastAsia="MS Mincho" w:hAnsi="Arial" w:cs="Times New Roman"/>
      <w:b/>
      <w:i/>
      <w:noProof/>
      <w:sz w:val="18"/>
      <w:szCs w:val="20"/>
    </w:rPr>
  </w:style>
  <w:style w:type="character" w:customStyle="1" w:styleId="Heading6Char">
    <w:name w:val="Heading 6 Char"/>
    <w:basedOn w:val="DefaultParagraphFont"/>
    <w:link w:val="Heading6"/>
    <w:rsid w:val="00EE03A9"/>
    <w:rPr>
      <w:rFonts w:ascii="Arial" w:eastAsia="Arial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396BDD"/>
    <w:pPr>
      <w:ind w:left="720"/>
      <w:contextualSpacing/>
    </w:pPr>
  </w:style>
  <w:style w:type="paragraph" w:customStyle="1" w:styleId="TAC">
    <w:name w:val="TAC"/>
    <w:basedOn w:val="Normal"/>
    <w:link w:val="TACChar"/>
    <w:rsid w:val="00396BD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TACChar">
    <w:name w:val="TAC Char"/>
    <w:link w:val="TAC"/>
    <w:rsid w:val="00396BDD"/>
    <w:rPr>
      <w:rFonts w:ascii="Arial" w:eastAsia="SimSu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396BDD"/>
    <w:rPr>
      <w:b/>
    </w:rPr>
  </w:style>
  <w:style w:type="character" w:customStyle="1" w:styleId="TAHCar">
    <w:name w:val="TAH Car"/>
    <w:link w:val="TAH"/>
    <w:rsid w:val="00396BDD"/>
    <w:rPr>
      <w:rFonts w:ascii="Arial" w:eastAsia="SimSun" w:hAnsi="Arial" w:cs="Times New Roman"/>
      <w:b/>
      <w:sz w:val="18"/>
      <w:szCs w:val="20"/>
      <w:lang w:val="en-GB" w:eastAsia="en-GB"/>
    </w:rPr>
  </w:style>
  <w:style w:type="table" w:styleId="TableGrid">
    <w:name w:val="Table Grid"/>
    <w:basedOn w:val="TableNormal"/>
    <w:uiPriority w:val="39"/>
    <w:rsid w:val="00555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C1425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  <w:style w:type="paragraph" w:customStyle="1" w:styleId="TH">
    <w:name w:val="TH"/>
    <w:basedOn w:val="Normal"/>
    <w:link w:val="THChar"/>
    <w:rsid w:val="00092418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basedOn w:val="DefaultParagraphFont"/>
    <w:link w:val="TH"/>
    <w:rsid w:val="00092418"/>
    <w:rPr>
      <w:rFonts w:ascii="Arial" w:eastAsia="SimSun" w:hAnsi="Arial" w:cs="Times New Roman"/>
      <w:b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E73768"/>
    <w:rPr>
      <w:color w:val="808080"/>
    </w:rPr>
  </w:style>
  <w:style w:type="paragraph" w:styleId="Caption">
    <w:name w:val="caption"/>
    <w:aliases w:val="cap,cap Char,Caption Char1 Char,cap Char Char1,Caption Char Char1 Char,cap Char2,3GPP Caption Table,cap Char2 Char Char"/>
    <w:basedOn w:val="Normal"/>
    <w:next w:val="Normal"/>
    <w:link w:val="CaptionChar"/>
    <w:qFormat/>
    <w:rsid w:val="00AE64A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 Char2 Char Char Char"/>
    <w:link w:val="Caption"/>
    <w:locked/>
    <w:rsid w:val="00AE64A0"/>
    <w:rPr>
      <w:rFonts w:ascii="Times New Roman" w:eastAsia="SimSun" w:hAnsi="Times New Roman" w:cs="Times New Roman"/>
      <w:b/>
      <w:bCs/>
      <w:sz w:val="16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83D5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1454</TotalTime>
  <Pages>6</Pages>
  <Words>1241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8305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Sahai, Achaleshwar</dc:creator>
  <cp:keywords/>
  <dc:description/>
  <cp:lastModifiedBy>Sahai, Achaleshwar</cp:lastModifiedBy>
  <cp:revision>52</cp:revision>
  <dcterms:created xsi:type="dcterms:W3CDTF">2015-11-09T21:38:00Z</dcterms:created>
  <dcterms:modified xsi:type="dcterms:W3CDTF">2016-02-08T23:32:00Z</dcterms:modified>
</cp:coreProperties>
</file>