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8FA" w:rsidRPr="00093A85" w:rsidRDefault="005E38FA" w:rsidP="0040252B">
      <w:pPr>
        <w:widowControl w:val="0"/>
        <w:tabs>
          <w:tab w:val="right" w:pos="9639"/>
        </w:tabs>
        <w:spacing w:after="0" w:line="276" w:lineRule="auto"/>
        <w:rPr>
          <w:b/>
          <w:sz w:val="24"/>
          <w:szCs w:val="24"/>
          <w:lang w:val="sv-SE"/>
        </w:rPr>
      </w:pPr>
      <w:r w:rsidRPr="00093A85">
        <w:rPr>
          <w:b/>
          <w:sz w:val="24"/>
          <w:szCs w:val="24"/>
          <w:lang w:val="sv-SE"/>
        </w:rPr>
        <w:t>3GPP TSG-RAN WG4 #7</w:t>
      </w:r>
      <w:r w:rsidR="0086709B">
        <w:rPr>
          <w:b/>
          <w:sz w:val="24"/>
          <w:szCs w:val="24"/>
          <w:lang w:val="sv-SE"/>
        </w:rPr>
        <w:t>8</w:t>
      </w:r>
      <w:r w:rsidR="00933305">
        <w:rPr>
          <w:b/>
          <w:sz w:val="24"/>
          <w:szCs w:val="24"/>
          <w:lang w:val="sv-SE"/>
        </w:rPr>
        <w:tab/>
        <w:t>R4-160992</w:t>
      </w:r>
    </w:p>
    <w:p w:rsidR="005E38FA" w:rsidRPr="00093A85" w:rsidRDefault="00933305" w:rsidP="0040252B">
      <w:pPr>
        <w:pStyle w:val="Header"/>
        <w:spacing w:line="276" w:lineRule="auto"/>
        <w:rPr>
          <w:rFonts w:ascii="Times New Roman" w:hAnsi="Times New Roman"/>
          <w:noProof w:val="0"/>
          <w:lang w:val="en-GB"/>
        </w:rPr>
      </w:pPr>
      <w:r>
        <w:rPr>
          <w:rFonts w:ascii="Times New Roman" w:eastAsia="Times New Roman" w:hAnsi="Times New Roman"/>
          <w:bCs/>
          <w:noProof w:val="0"/>
          <w:sz w:val="22"/>
          <w:lang w:val="en-GB" w:eastAsia="ja-JP"/>
        </w:rPr>
        <w:t>Malta</w:t>
      </w:r>
      <w:r w:rsidR="005E38FA" w:rsidRPr="00093A85">
        <w:rPr>
          <w:rFonts w:ascii="Times New Roman" w:eastAsia="Times New Roman" w:hAnsi="Times New Roman"/>
          <w:bCs/>
          <w:noProof w:val="0"/>
          <w:sz w:val="22"/>
          <w:lang w:val="en-GB" w:eastAsia="ja-JP"/>
        </w:rPr>
        <w:t xml:space="preserve">, </w:t>
      </w:r>
      <w:r>
        <w:rPr>
          <w:rFonts w:ascii="Times New Roman" w:eastAsia="Times New Roman" w:hAnsi="Times New Roman"/>
          <w:bCs/>
          <w:noProof w:val="0"/>
          <w:sz w:val="22"/>
          <w:lang w:val="en-GB" w:eastAsia="ja-JP"/>
        </w:rPr>
        <w:t>Malta</w:t>
      </w:r>
      <w:r w:rsidR="005E38FA" w:rsidRPr="00093A85">
        <w:rPr>
          <w:rFonts w:ascii="Times New Roman" w:eastAsia="Times New Roman" w:hAnsi="Times New Roman"/>
          <w:bCs/>
          <w:noProof w:val="0"/>
          <w:sz w:val="22"/>
          <w:lang w:val="en-GB" w:eastAsia="ja-JP"/>
        </w:rPr>
        <w:t xml:space="preserve">, </w:t>
      </w:r>
      <w:r>
        <w:rPr>
          <w:rFonts w:ascii="Times New Roman" w:eastAsia="Times New Roman" w:hAnsi="Times New Roman"/>
          <w:bCs/>
          <w:noProof w:val="0"/>
          <w:sz w:val="22"/>
          <w:lang w:val="en-GB" w:eastAsia="ja-JP"/>
        </w:rPr>
        <w:t>February</w:t>
      </w:r>
      <w:r w:rsidR="005348F3">
        <w:rPr>
          <w:rFonts w:ascii="Times New Roman" w:eastAsia="Times New Roman" w:hAnsi="Times New Roman"/>
          <w:bCs/>
          <w:noProof w:val="0"/>
          <w:sz w:val="22"/>
          <w:lang w:val="en-GB" w:eastAsia="ja-JP"/>
        </w:rPr>
        <w:t xml:space="preserve"> </w:t>
      </w:r>
      <w:r>
        <w:rPr>
          <w:rFonts w:ascii="Times New Roman" w:eastAsia="Times New Roman" w:hAnsi="Times New Roman"/>
          <w:bCs/>
          <w:noProof w:val="0"/>
          <w:sz w:val="22"/>
          <w:lang w:val="en-GB" w:eastAsia="ja-JP"/>
        </w:rPr>
        <w:t>15</w:t>
      </w:r>
      <w:r w:rsidR="005E38FA" w:rsidRPr="00093A85">
        <w:rPr>
          <w:rFonts w:ascii="Times New Roman" w:eastAsia="Times New Roman" w:hAnsi="Times New Roman"/>
          <w:bCs/>
          <w:noProof w:val="0"/>
          <w:sz w:val="22"/>
          <w:vertAlign w:val="superscript"/>
          <w:lang w:val="en-GB" w:eastAsia="ja-JP"/>
        </w:rPr>
        <w:t>th</w:t>
      </w:r>
      <w:r>
        <w:rPr>
          <w:rFonts w:ascii="Times New Roman" w:eastAsia="Times New Roman" w:hAnsi="Times New Roman"/>
          <w:bCs/>
          <w:noProof w:val="0"/>
          <w:sz w:val="22"/>
          <w:lang w:val="en-GB" w:eastAsia="ja-JP"/>
        </w:rPr>
        <w:t xml:space="preserve"> – 19</w:t>
      </w:r>
      <w:r w:rsidR="005E38FA" w:rsidRPr="00093A85">
        <w:rPr>
          <w:rFonts w:ascii="Times New Roman" w:eastAsia="Times New Roman" w:hAnsi="Times New Roman"/>
          <w:bCs/>
          <w:noProof w:val="0"/>
          <w:sz w:val="22"/>
          <w:vertAlign w:val="superscript"/>
          <w:lang w:val="en-GB" w:eastAsia="ja-JP"/>
        </w:rPr>
        <w:t>th</w:t>
      </w:r>
      <w:r>
        <w:rPr>
          <w:rFonts w:ascii="Times New Roman" w:eastAsia="Times New Roman" w:hAnsi="Times New Roman"/>
          <w:bCs/>
          <w:noProof w:val="0"/>
          <w:sz w:val="22"/>
          <w:lang w:val="en-GB" w:eastAsia="ja-JP"/>
        </w:rPr>
        <w:t>, 2016</w:t>
      </w:r>
    </w:p>
    <w:p w:rsidR="005E38FA" w:rsidRPr="00093A85" w:rsidRDefault="005E38FA" w:rsidP="0040252B">
      <w:pPr>
        <w:pStyle w:val="Header"/>
        <w:spacing w:line="276" w:lineRule="auto"/>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933305">
        <w:rPr>
          <w:sz w:val="24"/>
          <w:lang w:val="en-US"/>
        </w:rPr>
        <w:t>8.12.3</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933305">
        <w:rPr>
          <w:sz w:val="24"/>
          <w:lang w:val="en-US"/>
        </w:rPr>
        <w:t>UE demodulation performance in high speed scenarios in SFN deployment</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252B">
      <w:pPr>
        <w:pStyle w:val="Heading1"/>
        <w:spacing w:line="276" w:lineRule="auto"/>
        <w:rPr>
          <w:rFonts w:cs="Arial"/>
          <w:lang w:val="en-US"/>
        </w:rPr>
      </w:pPr>
      <w:r w:rsidRPr="00D61FFF">
        <w:rPr>
          <w:rFonts w:cs="Arial"/>
          <w:lang w:val="en-US"/>
        </w:rPr>
        <w:t>Introduction</w:t>
      </w:r>
    </w:p>
    <w:p w:rsidR="005E38FA" w:rsidRPr="00093A85" w:rsidRDefault="008E1C25" w:rsidP="0040252B">
      <w:pPr>
        <w:spacing w:line="276" w:lineRule="auto"/>
        <w:rPr>
          <w:lang w:val="en-US"/>
        </w:rPr>
      </w:pPr>
      <w:r>
        <w:rPr>
          <w:lang w:val="en-US"/>
        </w:rPr>
        <w:t>In RAN #70</w:t>
      </w:r>
      <w:r w:rsidR="005E38FA" w:rsidRPr="00093A85">
        <w:rPr>
          <w:lang w:val="en-US"/>
        </w:rPr>
        <w:t xml:space="preserve">, </w:t>
      </w:r>
      <w:r>
        <w:rPr>
          <w:lang w:val="en-US"/>
        </w:rPr>
        <w:t>new WI titled “</w:t>
      </w:r>
      <w:r w:rsidRPr="008E1C25">
        <w:rPr>
          <w:rFonts w:eastAsia="Batang"/>
          <w:lang w:eastAsia="zh-CN"/>
        </w:rPr>
        <w:t>Performance enhancements for high speed scenario</w:t>
      </w:r>
      <w:r>
        <w:rPr>
          <w:lang w:val="en-US"/>
        </w:rPr>
        <w:t>” [1</w:t>
      </w:r>
      <w:r w:rsidR="00253D6A">
        <w:rPr>
          <w:lang w:val="en-US"/>
        </w:rPr>
        <w:t>] has been approved.</w:t>
      </w:r>
      <w:r>
        <w:rPr>
          <w:lang w:val="en-US"/>
        </w:rPr>
        <w:t xml:space="preserve"> The WI proposal </w:t>
      </w:r>
      <w:r w:rsidR="00406EF5">
        <w:rPr>
          <w:lang w:val="en-US"/>
        </w:rPr>
        <w:t>is</w:t>
      </w:r>
      <w:r>
        <w:rPr>
          <w:lang w:val="en-US"/>
        </w:rPr>
        <w:t xml:space="preserve"> based on the study item “</w:t>
      </w:r>
      <w:r w:rsidRPr="0079163F">
        <w:rPr>
          <w:bCs/>
          <w:color w:val="000000" w:themeColor="text1"/>
          <w:shd w:val="clear" w:color="auto" w:fill="FFFFFF"/>
        </w:rPr>
        <w:t>Study on performance enhancements for high speed scenario in LTE</w:t>
      </w:r>
      <w:r>
        <w:rPr>
          <w:lang w:val="en-US"/>
        </w:rPr>
        <w:t>” [2]. One of the objectives of the WI is to specify demodulation performance requirements, if needed, for high speed scenarios.</w:t>
      </w:r>
      <w:r w:rsidR="005E38FA" w:rsidRPr="00093A85">
        <w:rPr>
          <w:lang w:val="en-US"/>
        </w:rPr>
        <w:t xml:space="preserve"> </w:t>
      </w:r>
      <w:r w:rsidR="00093A85">
        <w:rPr>
          <w:lang w:val="en-US"/>
        </w:rPr>
        <w:t xml:space="preserve">In this contribution, we </w:t>
      </w:r>
      <w:r w:rsidR="00013559">
        <w:rPr>
          <w:lang w:val="en-US"/>
        </w:rPr>
        <w:t>pr</w:t>
      </w:r>
      <w:r w:rsidR="00074A01">
        <w:rPr>
          <w:lang w:val="en-US"/>
        </w:rPr>
        <w:t>ovide simulation results</w:t>
      </w:r>
      <w:r w:rsidR="00ED2F98">
        <w:rPr>
          <w:lang w:val="en-US"/>
        </w:rPr>
        <w:t xml:space="preserve">, </w:t>
      </w:r>
      <w:r w:rsidR="003D40E1">
        <w:rPr>
          <w:lang w:val="en-US"/>
        </w:rPr>
        <w:t>for a bidirectional SFN channel</w:t>
      </w:r>
      <w:r w:rsidR="00ED2F98">
        <w:rPr>
          <w:lang w:val="en-US"/>
        </w:rPr>
        <w:t>,</w:t>
      </w:r>
      <w:r w:rsidR="00074A01">
        <w:rPr>
          <w:lang w:val="en-US"/>
        </w:rPr>
        <w:t xml:space="preserve"> from a modified </w:t>
      </w:r>
      <w:r w:rsidR="00EC1BC8">
        <w:rPr>
          <w:lang w:val="en-US"/>
        </w:rPr>
        <w:t>legacy UE</w:t>
      </w:r>
      <w:r w:rsidR="00933305">
        <w:rPr>
          <w:lang w:val="en-US"/>
        </w:rPr>
        <w:t xml:space="preserve"> whose </w:t>
      </w:r>
      <w:r w:rsidR="00013559">
        <w:rPr>
          <w:lang w:val="en-US"/>
        </w:rPr>
        <w:t xml:space="preserve">demodulation performance </w:t>
      </w:r>
      <w:r w:rsidR="00933305">
        <w:rPr>
          <w:lang w:val="en-US"/>
        </w:rPr>
        <w:t xml:space="preserve">is improved </w:t>
      </w:r>
      <w:r w:rsidR="00ED2F98">
        <w:rPr>
          <w:lang w:val="en-US"/>
        </w:rPr>
        <w:t xml:space="preserve">compared to the legacy UE. </w:t>
      </w:r>
      <w:r w:rsidR="003D40E1">
        <w:rPr>
          <w:lang w:val="en-US"/>
        </w:rPr>
        <w:t>We also comment on (a) receiver structure and (b) parameters for SFN scenarios which are used for evaluating</w:t>
      </w:r>
      <w:r w:rsidR="00E2342C">
        <w:rPr>
          <w:lang w:val="en-US"/>
        </w:rPr>
        <w:t xml:space="preserve"> receiver performance.</w:t>
      </w:r>
    </w:p>
    <w:p w:rsidR="005E38FA" w:rsidRPr="00D61FFF" w:rsidRDefault="005E38FA" w:rsidP="0040252B">
      <w:pPr>
        <w:pStyle w:val="Heading1"/>
        <w:spacing w:line="276" w:lineRule="auto"/>
        <w:rPr>
          <w:rFonts w:cs="Arial"/>
          <w:lang w:val="en-US"/>
        </w:rPr>
      </w:pPr>
      <w:r w:rsidRPr="00D61FFF">
        <w:rPr>
          <w:rFonts w:cs="Arial"/>
          <w:lang w:val="en-US"/>
        </w:rPr>
        <w:t>Discussion</w:t>
      </w:r>
    </w:p>
    <w:p w:rsidR="00ED2F98" w:rsidRPr="003D40E1" w:rsidRDefault="00C00A49" w:rsidP="00E42254">
      <w:pPr>
        <w:pStyle w:val="Heading2"/>
        <w:spacing w:line="276" w:lineRule="auto"/>
        <w:rPr>
          <w:lang w:val="en-US"/>
        </w:rPr>
      </w:pPr>
      <w:r>
        <w:rPr>
          <w:lang w:val="en-US"/>
        </w:rPr>
        <w:t>Receiver structure</w:t>
      </w:r>
      <w:r w:rsidR="00373B71">
        <w:rPr>
          <w:lang w:val="en-US"/>
        </w:rPr>
        <w:t xml:space="preserve"> and deployment</w:t>
      </w:r>
      <w:r>
        <w:rPr>
          <w:lang w:val="en-US"/>
        </w:rPr>
        <w:t xml:space="preserve"> assumptions</w:t>
      </w:r>
    </w:p>
    <w:p w:rsidR="00946DAE" w:rsidRDefault="00946DAE" w:rsidP="0040252B">
      <w:pPr>
        <w:spacing w:line="276" w:lineRule="auto"/>
        <w:rPr>
          <w:rFonts w:cs="Arial"/>
          <w:snapToGrid w:val="0"/>
          <w:szCs w:val="18"/>
        </w:rPr>
      </w:pPr>
      <w:r>
        <w:rPr>
          <w:lang w:val="en-US"/>
        </w:rPr>
        <w:t xml:space="preserve">Our modified legacy UE differs from the legacy UE in the sense that it can better handle higher </w:t>
      </w:r>
      <w:proofErr w:type="spellStart"/>
      <w:proofErr w:type="gramStart"/>
      <w:r>
        <w:rPr>
          <w:lang w:val="en-US"/>
        </w:rPr>
        <w:t>doppler</w:t>
      </w:r>
      <w:proofErr w:type="spellEnd"/>
      <w:proofErr w:type="gramEnd"/>
      <w:r>
        <w:rPr>
          <w:lang w:val="en-US"/>
        </w:rPr>
        <w:t xml:space="preserve"> spreads.</w:t>
      </w:r>
      <w:r w:rsidR="005D4ECF">
        <w:rPr>
          <w:lang w:val="en-US"/>
        </w:rPr>
        <w:t xml:space="preserve"> By doing so, it is able to recover some of the performance loss that is experienced by </w:t>
      </w:r>
      <w:r w:rsidR="003218C5">
        <w:rPr>
          <w:lang w:val="en-US"/>
        </w:rPr>
        <w:t xml:space="preserve">the </w:t>
      </w:r>
      <w:r w:rsidR="005D4ECF">
        <w:rPr>
          <w:lang w:val="en-US"/>
        </w:rPr>
        <w:t>legacy UE. We would like to note that the modified legac</w:t>
      </w:r>
      <w:r w:rsidR="00107458">
        <w:rPr>
          <w:lang w:val="en-US"/>
        </w:rPr>
        <w:t>y UE’s design does not</w:t>
      </w:r>
      <w:r w:rsidR="005D4ECF">
        <w:rPr>
          <w:lang w:val="en-US"/>
        </w:rPr>
        <w:t xml:space="preserve"> fine-</w:t>
      </w:r>
      <w:r w:rsidR="00107458">
        <w:rPr>
          <w:lang w:val="en-US"/>
        </w:rPr>
        <w:t>tune its estimation and interpolation parameters</w:t>
      </w:r>
      <w:r w:rsidR="005D4ECF">
        <w:rPr>
          <w:lang w:val="en-US"/>
        </w:rPr>
        <w:t xml:space="preserve"> </w:t>
      </w:r>
      <w:r w:rsidR="00107458">
        <w:rPr>
          <w:lang w:val="en-US"/>
        </w:rPr>
        <w:t xml:space="preserve">assuming </w:t>
      </w:r>
      <w:r w:rsidR="005D4ECF">
        <w:rPr>
          <w:lang w:val="en-US"/>
        </w:rPr>
        <w:t xml:space="preserve">RAN4 channel model, i.e., two paths rotating with approximately opposite </w:t>
      </w:r>
      <w:proofErr w:type="spellStart"/>
      <w:r w:rsidR="005D4ECF">
        <w:rPr>
          <w:lang w:val="en-US"/>
        </w:rPr>
        <w:t>doppler</w:t>
      </w:r>
      <w:proofErr w:type="spellEnd"/>
      <w:r w:rsidR="005D4ECF">
        <w:rPr>
          <w:lang w:val="en-US"/>
        </w:rPr>
        <w:t xml:space="preserve"> shifts. </w:t>
      </w:r>
      <w:r w:rsidR="00405E53">
        <w:rPr>
          <w:lang w:val="en-US"/>
        </w:rPr>
        <w:t xml:space="preserve">In realistic scenarios, it is </w:t>
      </w:r>
      <w:r w:rsidR="00497F00">
        <w:rPr>
          <w:lang w:val="en-US"/>
        </w:rPr>
        <w:t>possible</w:t>
      </w:r>
      <w:r w:rsidR="00405E53">
        <w:rPr>
          <w:lang w:val="en-US"/>
        </w:rPr>
        <w:t xml:space="preserve"> that more than two paths of reasonable strength are visible to the UE. </w:t>
      </w:r>
      <w:r w:rsidR="00E24F55">
        <w:rPr>
          <w:lang w:val="en-US"/>
        </w:rPr>
        <w:t xml:space="preserve">In particular, </w:t>
      </w:r>
      <w:r w:rsidR="00C00A49">
        <w:rPr>
          <w:lang w:val="en-US"/>
        </w:rPr>
        <w:t xml:space="preserve">consider a </w:t>
      </w:r>
      <w:r w:rsidR="00497F00">
        <w:rPr>
          <w:lang w:val="en-US"/>
        </w:rPr>
        <w:t xml:space="preserve">deployment with Ds = 850m and </w:t>
      </w:r>
      <w:proofErr w:type="spellStart"/>
      <w:r w:rsidR="00497F00">
        <w:rPr>
          <w:lang w:val="en-US"/>
        </w:rPr>
        <w:t>Dmin</w:t>
      </w:r>
      <w:proofErr w:type="spellEnd"/>
      <w:r w:rsidR="00497F00">
        <w:rPr>
          <w:lang w:val="en-US"/>
        </w:rPr>
        <w:t xml:space="preserve"> = </w:t>
      </w:r>
      <w:r w:rsidR="00E24F55">
        <w:rPr>
          <w:lang w:val="en-US"/>
        </w:rPr>
        <w:t xml:space="preserve">100m, where </w:t>
      </w:r>
      <w:r w:rsidR="00E24F55" w:rsidRPr="00DB07E7">
        <w:rPr>
          <w:rFonts w:cs="Arial"/>
          <w:snapToGrid w:val="0"/>
          <w:position w:val="-10"/>
          <w:szCs w:val="18"/>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5" o:title=""/>
          </v:shape>
          <o:OLEObject Type="Embed" ProgID="Equation.3" ShapeID="_x0000_i1025" DrawAspect="Content" ObjectID="_1516445968" r:id="rId6"/>
        </w:object>
      </w:r>
      <w:r w:rsidR="00836A0E">
        <w:rPr>
          <w:rFonts w:cs="Arial"/>
          <w:snapToGrid w:val="0"/>
          <w:szCs w:val="18"/>
        </w:rPr>
        <w:t xml:space="preserve">= 750Hz. For such a deployment, with three repeaters sharing the same cell ID, Figure 1 shows the relative strength of the three paths and their </w:t>
      </w:r>
      <w:proofErr w:type="spellStart"/>
      <w:r w:rsidR="00107458">
        <w:rPr>
          <w:rFonts w:cs="Arial"/>
          <w:snapToGrid w:val="0"/>
          <w:szCs w:val="18"/>
        </w:rPr>
        <w:t>d</w:t>
      </w:r>
      <w:r w:rsidR="00836A0E">
        <w:rPr>
          <w:rFonts w:cs="Arial"/>
          <w:snapToGrid w:val="0"/>
          <w:szCs w:val="18"/>
        </w:rPr>
        <w:t>opplers</w:t>
      </w:r>
      <w:proofErr w:type="spellEnd"/>
      <w:r w:rsidR="00836A0E">
        <w:rPr>
          <w:rFonts w:cs="Arial"/>
          <w:snapToGrid w:val="0"/>
          <w:szCs w:val="18"/>
        </w:rPr>
        <w:t xml:space="preserve"> as observed at the UE (as a function of the location of the UE). From Figure 1, we can note that </w:t>
      </w:r>
      <w:r w:rsidR="00107458">
        <w:rPr>
          <w:rFonts w:cs="Arial"/>
          <w:snapToGrid w:val="0"/>
          <w:szCs w:val="18"/>
        </w:rPr>
        <w:t>there is a significant duration where the UE ob</w:t>
      </w:r>
      <w:r w:rsidR="003218C5">
        <w:rPr>
          <w:rFonts w:cs="Arial"/>
          <w:snapToGrid w:val="0"/>
          <w:szCs w:val="18"/>
        </w:rPr>
        <w:t>serves three</w:t>
      </w:r>
      <w:r w:rsidR="00107458">
        <w:rPr>
          <w:rFonts w:cs="Arial"/>
          <w:snapToGrid w:val="0"/>
          <w:szCs w:val="18"/>
        </w:rPr>
        <w:t xml:space="preserve"> paths of reasonable strength, whose spectrum is not concentrated at two opposite </w:t>
      </w:r>
      <w:proofErr w:type="spellStart"/>
      <w:proofErr w:type="gramStart"/>
      <w:r w:rsidR="001C6E10">
        <w:rPr>
          <w:rFonts w:cs="Arial"/>
          <w:snapToGrid w:val="0"/>
          <w:szCs w:val="18"/>
        </w:rPr>
        <w:t>doppler</w:t>
      </w:r>
      <w:proofErr w:type="spellEnd"/>
      <w:proofErr w:type="gramEnd"/>
      <w:r w:rsidR="001C6E10">
        <w:rPr>
          <w:rFonts w:cs="Arial"/>
          <w:snapToGrid w:val="0"/>
          <w:szCs w:val="18"/>
        </w:rPr>
        <w:t xml:space="preserve"> shift</w:t>
      </w:r>
      <w:r w:rsidR="00107458">
        <w:rPr>
          <w:rFonts w:cs="Arial"/>
          <w:snapToGrid w:val="0"/>
          <w:szCs w:val="18"/>
        </w:rPr>
        <w:t xml:space="preserve">. Recognizing that in realistic deployments, the spectrum of channel can be different from the simplistic RAN4 channel model, our modified legacy UE implementation does not attempt </w:t>
      </w:r>
      <w:r w:rsidR="00E731F1">
        <w:rPr>
          <w:rFonts w:cs="Arial"/>
          <w:snapToGrid w:val="0"/>
          <w:szCs w:val="18"/>
        </w:rPr>
        <w:t xml:space="preserve">to fine tune to the RAN4 model, and only considers improving </w:t>
      </w:r>
      <w:r w:rsidR="00BB7C24">
        <w:rPr>
          <w:rFonts w:cs="Arial"/>
          <w:snapToGrid w:val="0"/>
          <w:szCs w:val="18"/>
        </w:rPr>
        <w:t xml:space="preserve">channel </w:t>
      </w:r>
      <w:r w:rsidR="00E731F1">
        <w:rPr>
          <w:rFonts w:cs="Arial"/>
          <w:snapToGrid w:val="0"/>
          <w:szCs w:val="18"/>
        </w:rPr>
        <w:t xml:space="preserve">estimation for large </w:t>
      </w:r>
      <w:proofErr w:type="spellStart"/>
      <w:proofErr w:type="gramStart"/>
      <w:r w:rsidR="00E731F1">
        <w:rPr>
          <w:rFonts w:cs="Arial"/>
          <w:snapToGrid w:val="0"/>
          <w:szCs w:val="18"/>
        </w:rPr>
        <w:t>doppler</w:t>
      </w:r>
      <w:proofErr w:type="spellEnd"/>
      <w:proofErr w:type="gramEnd"/>
      <w:r w:rsidR="00E731F1">
        <w:rPr>
          <w:rFonts w:cs="Arial"/>
          <w:snapToGrid w:val="0"/>
          <w:szCs w:val="18"/>
        </w:rPr>
        <w:t xml:space="preserve"> spread</w:t>
      </w:r>
      <w:r w:rsidR="00BB7C24">
        <w:rPr>
          <w:rFonts w:cs="Arial"/>
          <w:snapToGrid w:val="0"/>
          <w:szCs w:val="18"/>
        </w:rPr>
        <w:t>s</w:t>
      </w:r>
      <w:r w:rsidR="00E731F1">
        <w:rPr>
          <w:rFonts w:cs="Arial"/>
          <w:snapToGrid w:val="0"/>
          <w:szCs w:val="18"/>
        </w:rPr>
        <w:t>.</w:t>
      </w:r>
      <w:r w:rsidR="004B6776">
        <w:rPr>
          <w:rFonts w:cs="Arial"/>
          <w:snapToGrid w:val="0"/>
          <w:szCs w:val="18"/>
        </w:rPr>
        <w:t xml:space="preserve"> Such an implementation will be robust to change of SFN channel parameters. We believe that robustness of the advanced receiver is an important criterion and while </w:t>
      </w:r>
      <w:r w:rsidR="003218C5">
        <w:rPr>
          <w:rFonts w:cs="Arial"/>
          <w:snapToGrid w:val="0"/>
          <w:szCs w:val="18"/>
        </w:rPr>
        <w:t>setting performance requirements for high speed SFN scenarios, only those advanced receivers should be considered which robustly provide gains in realistic scenarios.</w:t>
      </w:r>
    </w:p>
    <w:p w:rsidR="003218C5" w:rsidRDefault="003218C5" w:rsidP="0040252B">
      <w:pPr>
        <w:spacing w:line="276" w:lineRule="auto"/>
        <w:rPr>
          <w:rFonts w:cs="Arial"/>
          <w:b/>
          <w:snapToGrid w:val="0"/>
          <w:szCs w:val="18"/>
        </w:rPr>
      </w:pPr>
      <w:r w:rsidRPr="003218C5">
        <w:rPr>
          <w:rFonts w:cs="Arial"/>
          <w:b/>
          <w:snapToGrid w:val="0"/>
          <w:szCs w:val="18"/>
        </w:rPr>
        <w:t>Proposal 1:</w:t>
      </w:r>
      <w:r>
        <w:rPr>
          <w:rFonts w:cs="Arial"/>
          <w:b/>
          <w:snapToGrid w:val="0"/>
          <w:szCs w:val="18"/>
        </w:rPr>
        <w:t xml:space="preserve"> </w:t>
      </w:r>
      <w:r w:rsidR="00A5150A">
        <w:rPr>
          <w:rFonts w:cs="Arial"/>
          <w:b/>
          <w:snapToGrid w:val="0"/>
          <w:szCs w:val="18"/>
        </w:rPr>
        <w:t>Demodulation p</w:t>
      </w:r>
      <w:r w:rsidR="0079163F">
        <w:rPr>
          <w:rFonts w:cs="Arial"/>
          <w:b/>
          <w:snapToGrid w:val="0"/>
          <w:szCs w:val="18"/>
        </w:rPr>
        <w:t>erformance requirement, i</w:t>
      </w:r>
      <w:r w:rsidR="00A5150A">
        <w:rPr>
          <w:rFonts w:cs="Arial"/>
          <w:b/>
          <w:snapToGrid w:val="0"/>
          <w:szCs w:val="18"/>
        </w:rPr>
        <w:t>f needed, should be set with only those advanced receivers, wh</w:t>
      </w:r>
      <w:r w:rsidR="002552AA">
        <w:rPr>
          <w:rFonts w:cs="Arial"/>
          <w:b/>
          <w:snapToGrid w:val="0"/>
          <w:szCs w:val="18"/>
        </w:rPr>
        <w:t xml:space="preserve">ich provide </w:t>
      </w:r>
      <w:r w:rsidR="00A5150A">
        <w:rPr>
          <w:rFonts w:cs="Arial"/>
          <w:b/>
          <w:snapToGrid w:val="0"/>
          <w:szCs w:val="18"/>
        </w:rPr>
        <w:t xml:space="preserve">robust </w:t>
      </w:r>
      <w:r w:rsidR="002552AA">
        <w:rPr>
          <w:rFonts w:cs="Arial"/>
          <w:b/>
          <w:snapToGrid w:val="0"/>
          <w:szCs w:val="18"/>
        </w:rPr>
        <w:t>gains in r</w:t>
      </w:r>
      <w:r w:rsidR="00A5150A">
        <w:rPr>
          <w:rFonts w:cs="Arial"/>
          <w:b/>
          <w:snapToGrid w:val="0"/>
          <w:szCs w:val="18"/>
        </w:rPr>
        <w:t xml:space="preserve">ealistic </w:t>
      </w:r>
      <w:r w:rsidR="002552AA">
        <w:rPr>
          <w:rFonts w:cs="Arial"/>
          <w:b/>
          <w:snapToGrid w:val="0"/>
          <w:szCs w:val="18"/>
        </w:rPr>
        <w:t xml:space="preserve">SFN </w:t>
      </w:r>
      <w:r w:rsidR="00A5150A">
        <w:rPr>
          <w:rFonts w:cs="Arial"/>
          <w:b/>
          <w:snapToGrid w:val="0"/>
          <w:szCs w:val="18"/>
        </w:rPr>
        <w:t xml:space="preserve">scenarios </w:t>
      </w:r>
      <w:r w:rsidR="002D6A34">
        <w:rPr>
          <w:rFonts w:cs="Arial"/>
          <w:b/>
          <w:snapToGrid w:val="0"/>
          <w:szCs w:val="18"/>
        </w:rPr>
        <w:t xml:space="preserve">(where more than two paths of reasonable strength are </w:t>
      </w:r>
      <w:r w:rsidR="00A5150A">
        <w:rPr>
          <w:rFonts w:cs="Arial"/>
          <w:b/>
          <w:snapToGrid w:val="0"/>
          <w:szCs w:val="18"/>
        </w:rPr>
        <w:t>possible).</w:t>
      </w:r>
    </w:p>
    <w:p w:rsidR="00307BAD" w:rsidRDefault="00307BAD" w:rsidP="0040252B">
      <w:pPr>
        <w:spacing w:line="276" w:lineRule="auto"/>
        <w:rPr>
          <w:rFonts w:cs="Arial"/>
          <w:snapToGrid w:val="0"/>
          <w:szCs w:val="18"/>
        </w:rPr>
      </w:pPr>
    </w:p>
    <w:p w:rsidR="00307BAD" w:rsidRDefault="00307BAD" w:rsidP="0040252B">
      <w:pPr>
        <w:spacing w:line="276" w:lineRule="auto"/>
        <w:rPr>
          <w:rFonts w:cs="Arial"/>
          <w:snapToGrid w:val="0"/>
          <w:szCs w:val="18"/>
        </w:rPr>
      </w:pPr>
    </w:p>
    <w:p w:rsidR="00373B71" w:rsidRPr="00373B71" w:rsidRDefault="00373B71" w:rsidP="0040252B">
      <w:pPr>
        <w:spacing w:line="276" w:lineRule="auto"/>
        <w:rPr>
          <w:rFonts w:cs="Arial"/>
          <w:snapToGrid w:val="0"/>
          <w:szCs w:val="18"/>
        </w:rPr>
      </w:pPr>
      <w:r w:rsidRPr="00373B71">
        <w:rPr>
          <w:rFonts w:cs="Arial"/>
          <w:snapToGrid w:val="0"/>
          <w:szCs w:val="18"/>
        </w:rPr>
        <w:lastRenderedPageBreak/>
        <w:t>In [3], input regarding RRH spacing parameters from different companies</w:t>
      </w:r>
      <w:r>
        <w:rPr>
          <w:rFonts w:cs="Arial"/>
          <w:snapToGrid w:val="0"/>
          <w:szCs w:val="18"/>
        </w:rPr>
        <w:t xml:space="preserve"> have been captured, and several companies have indicated that minimum spacing of the RRH from the railway track can be of the order of 100s of meters. Since different deployments result in different </w:t>
      </w:r>
      <w:r w:rsidR="00307BAD">
        <w:rPr>
          <w:rFonts w:cs="Arial"/>
          <w:snapToGrid w:val="0"/>
          <w:szCs w:val="18"/>
        </w:rPr>
        <w:t xml:space="preserve">power profile and </w:t>
      </w:r>
      <w:proofErr w:type="spellStart"/>
      <w:proofErr w:type="gramStart"/>
      <w:r>
        <w:rPr>
          <w:rFonts w:cs="Arial"/>
          <w:snapToGrid w:val="0"/>
          <w:szCs w:val="18"/>
        </w:rPr>
        <w:t>doppler</w:t>
      </w:r>
      <w:proofErr w:type="spellEnd"/>
      <w:proofErr w:type="gramEnd"/>
      <w:r>
        <w:rPr>
          <w:rFonts w:cs="Arial"/>
          <w:snapToGrid w:val="0"/>
          <w:szCs w:val="18"/>
        </w:rPr>
        <w:t xml:space="preserve"> spectr</w:t>
      </w:r>
      <w:r w:rsidR="00307BAD">
        <w:rPr>
          <w:rFonts w:cs="Arial"/>
          <w:snapToGrid w:val="0"/>
          <w:szCs w:val="18"/>
        </w:rPr>
        <w:t xml:space="preserve">um, it is important to consider scenarios </w:t>
      </w:r>
      <w:r w:rsidR="00EF5917">
        <w:rPr>
          <w:rFonts w:cs="Arial"/>
          <w:snapToGrid w:val="0"/>
          <w:szCs w:val="18"/>
        </w:rPr>
        <w:t xml:space="preserve">with large </w:t>
      </w:r>
      <w:proofErr w:type="spellStart"/>
      <w:r w:rsidR="00EF5917">
        <w:rPr>
          <w:lang w:val="en-US"/>
        </w:rPr>
        <w:t>Dmin</w:t>
      </w:r>
      <w:proofErr w:type="spellEnd"/>
      <w:r w:rsidR="00EF5917">
        <w:rPr>
          <w:rFonts w:cs="Arial"/>
          <w:snapToGrid w:val="0"/>
          <w:szCs w:val="18"/>
        </w:rPr>
        <w:t xml:space="preserve"> </w:t>
      </w:r>
      <w:r w:rsidR="00307BAD">
        <w:rPr>
          <w:rFonts w:cs="Arial"/>
          <w:snapToGrid w:val="0"/>
          <w:szCs w:val="18"/>
        </w:rPr>
        <w:t>so that the advanced receivers provide gains in realistic scenarios.</w:t>
      </w:r>
    </w:p>
    <w:p w:rsidR="00C00A49" w:rsidRDefault="00980544" w:rsidP="0040252B">
      <w:pPr>
        <w:spacing w:line="276" w:lineRule="auto"/>
        <w:rPr>
          <w:rFonts w:cs="Arial"/>
          <w:snapToGrid w:val="0"/>
          <w:szCs w:val="18"/>
        </w:rPr>
      </w:pPr>
      <w:r>
        <w:rPr>
          <w:rFonts w:cs="Arial"/>
          <w:b/>
          <w:snapToGrid w:val="0"/>
          <w:szCs w:val="18"/>
        </w:rPr>
        <w:t>P</w:t>
      </w:r>
      <w:r w:rsidR="00307BAD">
        <w:rPr>
          <w:rFonts w:cs="Arial"/>
          <w:b/>
          <w:snapToGrid w:val="0"/>
          <w:szCs w:val="18"/>
        </w:rPr>
        <w:t xml:space="preserve">roposal 2: RAN4 should evaluate receivers </w:t>
      </w:r>
      <w:r w:rsidR="00224CAC">
        <w:rPr>
          <w:rFonts w:cs="Arial"/>
          <w:b/>
          <w:snapToGrid w:val="0"/>
          <w:szCs w:val="18"/>
        </w:rPr>
        <w:t xml:space="preserve">also </w:t>
      </w:r>
      <w:r w:rsidR="00307BAD">
        <w:rPr>
          <w:rFonts w:cs="Arial"/>
          <w:b/>
          <w:snapToGrid w:val="0"/>
          <w:szCs w:val="18"/>
        </w:rPr>
        <w:t xml:space="preserve">in SFN scenarios </w:t>
      </w:r>
      <w:r w:rsidR="00224CAC">
        <w:rPr>
          <w:rFonts w:cs="Arial"/>
          <w:b/>
          <w:snapToGrid w:val="0"/>
          <w:szCs w:val="18"/>
        </w:rPr>
        <w:t>with large Dmin</w:t>
      </w:r>
      <w:r w:rsidR="00307BAD">
        <w:rPr>
          <w:rFonts w:cs="Arial"/>
          <w:b/>
          <w:snapToGrid w:val="0"/>
          <w:szCs w:val="18"/>
        </w:rPr>
        <w:t>.</w:t>
      </w:r>
    </w:p>
    <w:p w:rsidR="00C00A49" w:rsidRDefault="00C00A49" w:rsidP="0040252B">
      <w:pPr>
        <w:spacing w:line="276" w:lineRule="auto"/>
        <w:rPr>
          <w:rFonts w:cs="Arial"/>
          <w:snapToGrid w:val="0"/>
          <w:szCs w:val="18"/>
        </w:rPr>
      </w:pPr>
    </w:p>
    <w:tbl>
      <w:tblPr>
        <w:tblStyle w:val="TableGrid"/>
        <w:tblW w:w="9450" w:type="dxa"/>
        <w:tblInd w:w="-5" w:type="dxa"/>
        <w:tblBorders>
          <w:insideH w:val="none" w:sz="0" w:space="0" w:color="auto"/>
          <w:insideV w:val="none" w:sz="0" w:space="0" w:color="auto"/>
        </w:tblBorders>
        <w:tblLook w:val="04A0" w:firstRow="1" w:lastRow="0" w:firstColumn="1" w:lastColumn="0" w:noHBand="0" w:noVBand="1"/>
      </w:tblPr>
      <w:tblGrid>
        <w:gridCol w:w="9450"/>
      </w:tblGrid>
      <w:tr w:rsidR="00E24F55" w:rsidTr="00C00A49">
        <w:tc>
          <w:tcPr>
            <w:tcW w:w="9450" w:type="dxa"/>
          </w:tcPr>
          <w:p w:rsidR="00C00A49" w:rsidRDefault="00C00A49" w:rsidP="00C00A49">
            <w:pPr>
              <w:spacing w:line="276" w:lineRule="auto"/>
              <w:rPr>
                <w:rFonts w:cs="Arial"/>
                <w:snapToGrid w:val="0"/>
                <w:szCs w:val="18"/>
              </w:rPr>
            </w:pPr>
            <w:r>
              <w:rPr>
                <w:rFonts w:cs="Arial"/>
                <w:noProof/>
                <w:szCs w:val="18"/>
                <w:lang w:val="en-US"/>
              </w:rPr>
              <w:drawing>
                <wp:inline distT="0" distB="0" distL="0" distR="0" wp14:anchorId="6676F3E5" wp14:editId="7C77928C">
                  <wp:extent cx="2851200" cy="21384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hreePathGains.png"/>
                          <pic:cNvPicPr/>
                        </pic:nvPicPr>
                        <pic:blipFill>
                          <a:blip r:embed="rId7">
                            <a:extLst>
                              <a:ext uri="{28A0092B-C50C-407E-A947-70E740481C1C}">
                                <a14:useLocalDpi xmlns:a14="http://schemas.microsoft.com/office/drawing/2010/main" val="0"/>
                              </a:ext>
                            </a:extLst>
                          </a:blip>
                          <a:stretch>
                            <a:fillRect/>
                          </a:stretch>
                        </pic:blipFill>
                        <pic:spPr>
                          <a:xfrm>
                            <a:off x="0" y="0"/>
                            <a:ext cx="2879826" cy="2159870"/>
                          </a:xfrm>
                          <a:prstGeom prst="rect">
                            <a:avLst/>
                          </a:prstGeom>
                        </pic:spPr>
                      </pic:pic>
                    </a:graphicData>
                  </a:graphic>
                </wp:inline>
              </w:drawing>
            </w:r>
            <w:r>
              <w:rPr>
                <w:rFonts w:cs="Arial"/>
                <w:noProof/>
                <w:szCs w:val="18"/>
                <w:lang w:val="en-US"/>
              </w:rPr>
              <w:drawing>
                <wp:inline distT="0" distB="0" distL="0" distR="0" wp14:anchorId="123DF674" wp14:editId="6E2481B3">
                  <wp:extent cx="2901600" cy="21762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threePathDoppler.png"/>
                          <pic:cNvPicPr/>
                        </pic:nvPicPr>
                        <pic:blipFill>
                          <a:blip r:embed="rId8">
                            <a:extLst>
                              <a:ext uri="{28A0092B-C50C-407E-A947-70E740481C1C}">
                                <a14:useLocalDpi xmlns:a14="http://schemas.microsoft.com/office/drawing/2010/main" val="0"/>
                              </a:ext>
                            </a:extLst>
                          </a:blip>
                          <a:stretch>
                            <a:fillRect/>
                          </a:stretch>
                        </pic:blipFill>
                        <pic:spPr>
                          <a:xfrm>
                            <a:off x="0" y="0"/>
                            <a:ext cx="2933227" cy="2199921"/>
                          </a:xfrm>
                          <a:prstGeom prst="rect">
                            <a:avLst/>
                          </a:prstGeom>
                        </pic:spPr>
                      </pic:pic>
                    </a:graphicData>
                  </a:graphic>
                </wp:inline>
              </w:drawing>
            </w:r>
          </w:p>
          <w:p w:rsidR="00E24F55" w:rsidRDefault="00C00A49" w:rsidP="00272A38">
            <w:pPr>
              <w:spacing w:line="276" w:lineRule="auto"/>
              <w:jc w:val="center"/>
              <w:rPr>
                <w:rFonts w:cs="Arial"/>
                <w:snapToGrid w:val="0"/>
                <w:szCs w:val="18"/>
              </w:rPr>
            </w:pPr>
            <w:r w:rsidRPr="00307BAD">
              <w:rPr>
                <w:rFonts w:cs="Arial"/>
                <w:b/>
                <w:snapToGrid w:val="0"/>
                <w:szCs w:val="18"/>
              </w:rPr>
              <w:t>Figure 1</w:t>
            </w:r>
            <w:r>
              <w:rPr>
                <w:rFonts w:cs="Arial"/>
                <w:snapToGrid w:val="0"/>
                <w:szCs w:val="18"/>
              </w:rPr>
              <w:t>: Relative strength of the 3 paths and their dopplers when spacing between repeaters, Ds = 850m, minimum distance to the track, Dmin = 150m and maximum Doppler = 750Hz.</w:t>
            </w:r>
          </w:p>
        </w:tc>
      </w:tr>
      <w:tr w:rsidR="00C00A49" w:rsidTr="00C00A49">
        <w:tc>
          <w:tcPr>
            <w:tcW w:w="9450" w:type="dxa"/>
          </w:tcPr>
          <w:p w:rsidR="00C00A49" w:rsidRDefault="00C00A49" w:rsidP="0040252B">
            <w:pPr>
              <w:spacing w:line="276" w:lineRule="auto"/>
              <w:rPr>
                <w:rFonts w:cs="Arial"/>
                <w:snapToGrid w:val="0"/>
                <w:szCs w:val="18"/>
              </w:rPr>
            </w:pPr>
          </w:p>
        </w:tc>
      </w:tr>
    </w:tbl>
    <w:p w:rsidR="00E24F55" w:rsidRDefault="00E24F55" w:rsidP="0040252B">
      <w:pPr>
        <w:spacing w:line="276" w:lineRule="auto"/>
        <w:rPr>
          <w:rFonts w:cs="Arial"/>
          <w:snapToGrid w:val="0"/>
          <w:szCs w:val="18"/>
        </w:rPr>
      </w:pPr>
    </w:p>
    <w:p w:rsidR="00E24F55" w:rsidRDefault="00E24F55" w:rsidP="0040252B">
      <w:pPr>
        <w:spacing w:line="276" w:lineRule="auto"/>
        <w:rPr>
          <w:rFonts w:cs="Arial"/>
          <w:snapToGrid w:val="0"/>
          <w:szCs w:val="18"/>
        </w:rPr>
      </w:pPr>
    </w:p>
    <w:p w:rsidR="00107458" w:rsidRPr="003D40E1" w:rsidRDefault="002D6A34" w:rsidP="00107458">
      <w:pPr>
        <w:pStyle w:val="Heading2"/>
        <w:spacing w:line="276" w:lineRule="auto"/>
        <w:rPr>
          <w:lang w:val="en-US"/>
        </w:rPr>
      </w:pPr>
      <w:r>
        <w:rPr>
          <w:lang w:val="en-US"/>
        </w:rPr>
        <w:t>FMCS s</w:t>
      </w:r>
      <w:r w:rsidR="00107458">
        <w:rPr>
          <w:lang w:val="en-US"/>
        </w:rPr>
        <w:t xml:space="preserve">imulation </w:t>
      </w:r>
      <w:r>
        <w:rPr>
          <w:lang w:val="en-US"/>
        </w:rPr>
        <w:t>results</w:t>
      </w:r>
    </w:p>
    <w:p w:rsidR="00C14255" w:rsidRDefault="00C14255" w:rsidP="0040252B">
      <w:pPr>
        <w:spacing w:line="276" w:lineRule="auto"/>
        <w:rPr>
          <w:rFonts w:cs="Arial"/>
          <w:snapToGrid w:val="0"/>
          <w:szCs w:val="18"/>
        </w:rPr>
      </w:pPr>
      <w:r>
        <w:rPr>
          <w:lang w:val="en-US"/>
        </w:rPr>
        <w:t>In this section, we present simulation results</w:t>
      </w:r>
      <w:r w:rsidR="00A62F0C">
        <w:rPr>
          <w:lang w:val="en-US"/>
        </w:rPr>
        <w:t xml:space="preserve"> for PDSCH demodulation</w:t>
      </w:r>
      <w:r w:rsidR="00B61F20">
        <w:rPr>
          <w:lang w:val="en-US"/>
        </w:rPr>
        <w:t xml:space="preserve"> obtain</w:t>
      </w:r>
      <w:r w:rsidR="00F468E9">
        <w:rPr>
          <w:lang w:val="en-US"/>
        </w:rPr>
        <w:t xml:space="preserve">ed </w:t>
      </w:r>
      <w:r w:rsidR="00B61F20">
        <w:rPr>
          <w:lang w:val="en-US"/>
        </w:rPr>
        <w:t>from a modified legacy UE.</w:t>
      </w:r>
      <w:r w:rsidR="00A62F0C">
        <w:rPr>
          <w:lang w:val="en-US"/>
        </w:rPr>
        <w:t xml:space="preserve"> </w:t>
      </w:r>
      <w:r w:rsidR="00B61F20">
        <w:rPr>
          <w:lang w:val="en-US"/>
        </w:rPr>
        <w:t xml:space="preserve">The modified legacy UE </w:t>
      </w:r>
      <w:r w:rsidR="003218C5">
        <w:rPr>
          <w:lang w:val="en-US"/>
        </w:rPr>
        <w:t xml:space="preserve">has better interpolation/estimation for channels with large doppler spreads </w:t>
      </w:r>
      <w:r w:rsidR="00F217D9">
        <w:rPr>
          <w:lang w:val="en-US"/>
        </w:rPr>
        <w:t>compared to the legacy UE</w:t>
      </w:r>
      <w:r w:rsidR="00B61F20">
        <w:rPr>
          <w:lang w:val="en-US"/>
        </w:rPr>
        <w:t xml:space="preserve">. We evaluate the modified legacy UE under </w:t>
      </w:r>
      <w:r>
        <w:rPr>
          <w:lang w:val="en-US"/>
        </w:rPr>
        <w:t xml:space="preserve">the power normalized </w:t>
      </w:r>
      <w:r w:rsidR="00092418">
        <w:rPr>
          <w:lang w:val="en-US"/>
        </w:rPr>
        <w:t xml:space="preserve">high speed train channel model in SFN deployment described </w:t>
      </w:r>
      <w:r>
        <w:rPr>
          <w:lang w:val="en-US"/>
        </w:rPr>
        <w:t xml:space="preserve">in </w:t>
      </w:r>
      <w:r w:rsidR="00092418">
        <w:rPr>
          <w:lang w:val="en-US"/>
        </w:rPr>
        <w:t xml:space="preserve">Chapter </w:t>
      </w:r>
      <w:r w:rsidR="00092418" w:rsidRPr="00EE4F08">
        <w:rPr>
          <w:lang w:eastAsia="zh-CN"/>
        </w:rPr>
        <w:t>6.2.3.1</w:t>
      </w:r>
      <w:r w:rsidR="00092418">
        <w:rPr>
          <w:lang w:val="en-US"/>
        </w:rPr>
        <w:t xml:space="preserve"> of TR</w:t>
      </w:r>
      <w:r w:rsidR="00092418">
        <w:t xml:space="preserve">36.878 </w:t>
      </w:r>
      <w:r>
        <w:rPr>
          <w:lang w:val="en-US"/>
        </w:rPr>
        <w:t>[</w:t>
      </w:r>
      <w:r w:rsidR="003451F5">
        <w:rPr>
          <w:lang w:val="en-US"/>
        </w:rPr>
        <w:t>2</w:t>
      </w:r>
      <w:r>
        <w:rPr>
          <w:lang w:val="en-US"/>
        </w:rPr>
        <w:t>]</w:t>
      </w:r>
      <w:r w:rsidR="00092418">
        <w:rPr>
          <w:lang w:val="en-US"/>
        </w:rPr>
        <w:t>.</w:t>
      </w:r>
      <w:r w:rsidR="00B61F20">
        <w:rPr>
          <w:lang w:val="en-US"/>
        </w:rPr>
        <w:t xml:space="preserve"> </w:t>
      </w:r>
      <w:r w:rsidR="005A46EA">
        <w:rPr>
          <w:lang w:val="en-US"/>
        </w:rPr>
        <w:t xml:space="preserve">In particular, we </w:t>
      </w:r>
      <w:r w:rsidR="00C95FFC">
        <w:rPr>
          <w:lang w:val="en-US"/>
        </w:rPr>
        <w:t xml:space="preserve">provide </w:t>
      </w:r>
      <w:r w:rsidR="005A46EA">
        <w:rPr>
          <w:lang w:val="en-US"/>
        </w:rPr>
        <w:t xml:space="preserve">fixed MCS PDSCH demodulation performance for </w:t>
      </w:r>
      <w:r w:rsidR="003218C5">
        <w:rPr>
          <w:lang w:val="en-US"/>
        </w:rPr>
        <w:t>three</w:t>
      </w:r>
      <w:r w:rsidR="005A46EA">
        <w:rPr>
          <w:lang w:val="en-US"/>
        </w:rPr>
        <w:t xml:space="preserve"> different set</w:t>
      </w:r>
      <w:r w:rsidR="00F5112C">
        <w:rPr>
          <w:lang w:val="en-US"/>
        </w:rPr>
        <w:t>s</w:t>
      </w:r>
      <w:r w:rsidR="005A46EA">
        <w:rPr>
          <w:lang w:val="en-US"/>
        </w:rPr>
        <w:t xml:space="preserve"> of RRH </w:t>
      </w:r>
      <w:r w:rsidR="00B61F20">
        <w:rPr>
          <w:lang w:val="en-US"/>
        </w:rPr>
        <w:t>spacing parameters</w:t>
      </w:r>
      <w:r w:rsidR="00E73768">
        <w:rPr>
          <w:lang w:val="en-US"/>
        </w:rPr>
        <w:t xml:space="preserve"> (described in Table </w:t>
      </w:r>
      <w:r w:rsidR="005A46EA">
        <w:rPr>
          <w:lang w:val="en-US"/>
        </w:rPr>
        <w:t xml:space="preserve">1) and </w:t>
      </w:r>
      <w:r w:rsidR="00E73768">
        <w:rPr>
          <w:lang w:val="en-US"/>
        </w:rPr>
        <w:t>three different set</w:t>
      </w:r>
      <w:r w:rsidR="00F5112C">
        <w:rPr>
          <w:lang w:val="en-US"/>
        </w:rPr>
        <w:t>s</w:t>
      </w:r>
      <w:r w:rsidR="00E73768">
        <w:rPr>
          <w:lang w:val="en-US"/>
        </w:rPr>
        <w:t xml:space="preserve"> of train speed </w:t>
      </w:r>
      <w:r w:rsidR="00B61F20">
        <w:rPr>
          <w:lang w:val="en-US"/>
        </w:rPr>
        <w:t>&amp; maximum D</w:t>
      </w:r>
      <w:r w:rsidR="005A46EA">
        <w:rPr>
          <w:lang w:val="en-US"/>
        </w:rPr>
        <w:t>oppler shift values (described in Table</w:t>
      </w:r>
      <w:r w:rsidR="00E73768">
        <w:rPr>
          <w:lang w:val="en-US"/>
        </w:rPr>
        <w:t xml:space="preserve"> 2</w:t>
      </w:r>
      <w:r w:rsidR="005A46EA">
        <w:rPr>
          <w:lang w:val="en-US"/>
        </w:rPr>
        <w:t xml:space="preserve">). </w:t>
      </w:r>
      <w:r w:rsidR="00E73768">
        <w:rPr>
          <w:lang w:val="en-US"/>
        </w:rPr>
        <w:t xml:space="preserve">For each set of RRH spacing parameters, we treat the scenario with </w:t>
      </w:r>
      <w:r w:rsidR="00E73768" w:rsidRPr="00DB07E7">
        <w:rPr>
          <w:rFonts w:cs="Arial"/>
          <w:snapToGrid w:val="0"/>
          <w:position w:val="-6"/>
          <w:szCs w:val="18"/>
        </w:rPr>
        <w:object w:dxaOrig="180" w:dyaOrig="220">
          <v:shape id="_x0000_i1026" type="#_x0000_t75" style="width:11.25pt;height:12pt" o:ole="">
            <v:imagedata r:id="rId9" o:title=""/>
          </v:shape>
          <o:OLEObject Type="Embed" ProgID="Equation.3" ShapeID="_x0000_i1026" DrawAspect="Content" ObjectID="_1516445969" r:id="rId10"/>
        </w:object>
      </w:r>
      <w:r w:rsidR="00E73768">
        <w:rPr>
          <w:rFonts w:cs="Arial"/>
          <w:snapToGrid w:val="0"/>
          <w:szCs w:val="18"/>
        </w:rPr>
        <w:t xml:space="preserve">= 30km/h and </w:t>
      </w:r>
      <m:oMath>
        <m:sSub>
          <m:sSubPr>
            <m:ctrlPr>
              <w:rPr>
                <w:rFonts w:ascii="Cambria Math" w:hAnsi="Cambria Math" w:cs="Arial"/>
                <w:i/>
                <w:snapToGrid w:val="0"/>
                <w:szCs w:val="18"/>
              </w:rPr>
            </m:ctrlPr>
          </m:sSubPr>
          <m:e>
            <m:r>
              <w:rPr>
                <w:rFonts w:ascii="Cambria Math" w:hAnsi="Cambria Math" w:cs="Arial"/>
                <w:snapToGrid w:val="0"/>
                <w:szCs w:val="18"/>
              </w:rPr>
              <m:t>f</m:t>
            </m:r>
          </m:e>
          <m:sub>
            <m:r>
              <w:rPr>
                <w:rFonts w:ascii="Cambria Math" w:hAnsi="Cambria Math" w:cs="Arial"/>
                <w:snapToGrid w:val="0"/>
                <w:szCs w:val="18"/>
              </w:rPr>
              <m:t>d</m:t>
            </m:r>
          </m:sub>
        </m:sSub>
      </m:oMath>
      <w:r w:rsidR="00C924C4">
        <w:rPr>
          <w:rFonts w:cs="Arial"/>
          <w:snapToGrid w:val="0"/>
          <w:szCs w:val="18"/>
        </w:rPr>
        <w:t xml:space="preserve"> = 75</w:t>
      </w:r>
      <w:r w:rsidR="00E73768">
        <w:rPr>
          <w:rFonts w:cs="Arial"/>
          <w:snapToGrid w:val="0"/>
          <w:szCs w:val="18"/>
        </w:rPr>
        <w:t>Hz as the baseline.</w:t>
      </w:r>
      <w:r w:rsidR="00F217D9">
        <w:rPr>
          <w:rFonts w:cs="Arial"/>
          <w:snapToGrid w:val="0"/>
          <w:szCs w:val="18"/>
        </w:rPr>
        <w:t xml:space="preserve"> </w:t>
      </w:r>
    </w:p>
    <w:p w:rsidR="00E73768" w:rsidRPr="00AF0E60" w:rsidRDefault="00E73768" w:rsidP="0040252B">
      <w:pPr>
        <w:pStyle w:val="TH"/>
        <w:overflowPunct w:val="0"/>
        <w:autoSpaceDE w:val="0"/>
        <w:autoSpaceDN w:val="0"/>
        <w:adjustRightInd w:val="0"/>
        <w:spacing w:line="276" w:lineRule="auto"/>
        <w:textAlignment w:val="baseline"/>
        <w:rPr>
          <w:bCs/>
          <w:lang w:eastAsia="x-none"/>
        </w:rPr>
      </w:pPr>
      <w:r w:rsidRPr="00AF0E60">
        <w:rPr>
          <w:bCs/>
          <w:lang w:eastAsia="x-none"/>
        </w:rPr>
        <w:lastRenderedPageBreak/>
        <w:t>Table</w:t>
      </w:r>
      <w:r>
        <w:rPr>
          <w:bCs/>
          <w:lang w:eastAsia="x-none"/>
        </w:rPr>
        <w:t xml:space="preserve"> 1: RRH parameters for different </w:t>
      </w:r>
      <w:r w:rsidRPr="00AF0E60">
        <w:rPr>
          <w:rFonts w:hint="eastAsia"/>
          <w:bCs/>
          <w:lang w:eastAsia="x-none"/>
        </w:rPr>
        <w:t>SFN scenarios</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69"/>
        <w:gridCol w:w="1969"/>
        <w:gridCol w:w="1969"/>
      </w:tblGrid>
      <w:tr w:rsidR="004177AB" w:rsidRPr="0081049D" w:rsidTr="004177AB">
        <w:trPr>
          <w:trHeight w:val="59"/>
          <w:jc w:val="center"/>
        </w:trPr>
        <w:tc>
          <w:tcPr>
            <w:tcW w:w="1356" w:type="dxa"/>
            <w:vAlign w:val="center"/>
          </w:tcPr>
          <w:p w:rsidR="004177AB" w:rsidRPr="00DB07E7" w:rsidRDefault="004177AB" w:rsidP="0040252B">
            <w:pPr>
              <w:pStyle w:val="TAH"/>
              <w:spacing w:line="276" w:lineRule="auto"/>
              <w:rPr>
                <w:rFonts w:cs="Arial"/>
                <w:szCs w:val="18"/>
              </w:rPr>
            </w:pPr>
            <w:r w:rsidRPr="00DB07E7">
              <w:rPr>
                <w:rFonts w:cs="Arial"/>
                <w:szCs w:val="18"/>
              </w:rPr>
              <w:t>Parameter</w:t>
            </w:r>
          </w:p>
        </w:tc>
        <w:tc>
          <w:tcPr>
            <w:tcW w:w="1969" w:type="dxa"/>
            <w:vAlign w:val="center"/>
          </w:tcPr>
          <w:p w:rsidR="004177AB" w:rsidRPr="00DB07E7" w:rsidRDefault="004177AB" w:rsidP="0040252B">
            <w:pPr>
              <w:pStyle w:val="TAH"/>
              <w:spacing w:line="276" w:lineRule="auto"/>
              <w:rPr>
                <w:rFonts w:cs="Arial"/>
                <w:szCs w:val="18"/>
                <w:lang w:eastAsia="zh-CN"/>
              </w:rPr>
            </w:pPr>
            <w:r>
              <w:rPr>
                <w:rFonts w:cs="Arial"/>
                <w:szCs w:val="18"/>
                <w:lang w:eastAsia="zh-CN"/>
              </w:rPr>
              <w:t>RRH spacing 1</w:t>
            </w:r>
          </w:p>
        </w:tc>
        <w:tc>
          <w:tcPr>
            <w:tcW w:w="1969" w:type="dxa"/>
          </w:tcPr>
          <w:p w:rsidR="004177AB" w:rsidRPr="00DB07E7" w:rsidRDefault="004177AB" w:rsidP="0040252B">
            <w:pPr>
              <w:pStyle w:val="TAH"/>
              <w:spacing w:line="276" w:lineRule="auto"/>
              <w:rPr>
                <w:rFonts w:cs="Arial"/>
                <w:szCs w:val="18"/>
              </w:rPr>
            </w:pPr>
            <w:r>
              <w:rPr>
                <w:rFonts w:cs="Arial"/>
                <w:szCs w:val="18"/>
              </w:rPr>
              <w:t>RRH spacing 2</w:t>
            </w:r>
          </w:p>
        </w:tc>
        <w:tc>
          <w:tcPr>
            <w:tcW w:w="1969" w:type="dxa"/>
          </w:tcPr>
          <w:p w:rsidR="004177AB" w:rsidRDefault="004177AB" w:rsidP="0040252B">
            <w:pPr>
              <w:pStyle w:val="TAH"/>
              <w:spacing w:line="276" w:lineRule="auto"/>
              <w:rPr>
                <w:rFonts w:cs="Arial"/>
                <w:szCs w:val="18"/>
              </w:rPr>
            </w:pPr>
            <w:r>
              <w:rPr>
                <w:rFonts w:cs="Arial"/>
                <w:szCs w:val="18"/>
              </w:rPr>
              <w:t>RRH spacing 3</w:t>
            </w:r>
          </w:p>
        </w:tc>
      </w:tr>
      <w:tr w:rsidR="004177AB" w:rsidRPr="0081049D" w:rsidTr="00875C18">
        <w:trPr>
          <w:trHeight w:val="59"/>
          <w:jc w:val="center"/>
        </w:trPr>
        <w:tc>
          <w:tcPr>
            <w:tcW w:w="1356" w:type="dxa"/>
            <w:vAlign w:val="center"/>
          </w:tcPr>
          <w:p w:rsidR="004177AB" w:rsidRPr="00DB07E7" w:rsidRDefault="004177AB" w:rsidP="004177AB">
            <w:pPr>
              <w:pStyle w:val="TAC"/>
              <w:spacing w:line="276" w:lineRule="auto"/>
              <w:rPr>
                <w:rFonts w:cs="Arial"/>
                <w:szCs w:val="18"/>
              </w:rPr>
            </w:pPr>
            <w:r w:rsidRPr="00DB07E7">
              <w:rPr>
                <w:rFonts w:cs="Arial"/>
                <w:position w:val="-10"/>
                <w:szCs w:val="18"/>
              </w:rPr>
              <w:object w:dxaOrig="300" w:dyaOrig="320">
                <v:shape id="_x0000_i1027" type="#_x0000_t75" style="width:17.25pt;height:18pt" o:ole="">
                  <v:imagedata r:id="rId11" o:title=""/>
                </v:shape>
                <o:OLEObject Type="Embed" ProgID="Equation.3" ShapeID="_x0000_i1027" DrawAspect="Content" ObjectID="_1516445970" r:id="rId12"/>
              </w:object>
            </w:r>
          </w:p>
        </w:tc>
        <w:tc>
          <w:tcPr>
            <w:tcW w:w="1969" w:type="dxa"/>
            <w:vAlign w:val="center"/>
          </w:tcPr>
          <w:p w:rsidR="004177AB" w:rsidRPr="00DB07E7" w:rsidRDefault="004177AB" w:rsidP="004177AB">
            <w:pPr>
              <w:pStyle w:val="TAC"/>
              <w:spacing w:line="276" w:lineRule="auto"/>
              <w:rPr>
                <w:rFonts w:cs="Arial"/>
                <w:szCs w:val="18"/>
              </w:rPr>
            </w:pPr>
            <w:r>
              <w:rPr>
                <w:rFonts w:eastAsia="?? ??" w:cs="Arial"/>
                <w:szCs w:val="18"/>
              </w:rPr>
              <w:t>1000</w:t>
            </w:r>
            <w:r w:rsidRPr="00DB07E7">
              <w:rPr>
                <w:rFonts w:eastAsia="?? ??" w:cs="Arial"/>
                <w:szCs w:val="18"/>
              </w:rPr>
              <w:t xml:space="preserve"> m</w:t>
            </w:r>
          </w:p>
        </w:tc>
        <w:tc>
          <w:tcPr>
            <w:tcW w:w="1969" w:type="dxa"/>
            <w:vAlign w:val="center"/>
          </w:tcPr>
          <w:p w:rsidR="004177AB" w:rsidRPr="00DB07E7" w:rsidRDefault="004177AB" w:rsidP="004177AB">
            <w:pPr>
              <w:pStyle w:val="TAC"/>
              <w:spacing w:line="276" w:lineRule="auto"/>
              <w:rPr>
                <w:rFonts w:cs="Arial"/>
                <w:szCs w:val="18"/>
              </w:rPr>
            </w:pPr>
            <w:r>
              <w:rPr>
                <w:rFonts w:eastAsia="?? ??" w:cs="Arial"/>
                <w:szCs w:val="18"/>
              </w:rPr>
              <w:t>500</w:t>
            </w:r>
            <w:r w:rsidRPr="00DB07E7">
              <w:rPr>
                <w:rFonts w:eastAsia="?? ??" w:cs="Arial"/>
                <w:szCs w:val="18"/>
              </w:rPr>
              <w:t xml:space="preserve"> m</w:t>
            </w:r>
          </w:p>
        </w:tc>
        <w:tc>
          <w:tcPr>
            <w:tcW w:w="1969" w:type="dxa"/>
            <w:vAlign w:val="center"/>
          </w:tcPr>
          <w:p w:rsidR="004177AB" w:rsidRPr="00DB07E7" w:rsidRDefault="004177AB" w:rsidP="004177AB">
            <w:pPr>
              <w:pStyle w:val="TAC"/>
              <w:spacing w:line="276" w:lineRule="auto"/>
              <w:rPr>
                <w:rFonts w:cs="Arial"/>
                <w:szCs w:val="18"/>
              </w:rPr>
            </w:pPr>
            <w:r>
              <w:rPr>
                <w:rFonts w:eastAsia="?? ??" w:cs="Arial"/>
                <w:szCs w:val="18"/>
              </w:rPr>
              <w:t>850</w:t>
            </w:r>
            <w:r w:rsidRPr="00DB07E7">
              <w:rPr>
                <w:rFonts w:eastAsia="?? ??" w:cs="Arial"/>
                <w:szCs w:val="18"/>
              </w:rPr>
              <w:t xml:space="preserve"> m</w:t>
            </w:r>
          </w:p>
        </w:tc>
      </w:tr>
      <w:tr w:rsidR="004177AB" w:rsidRPr="0081049D" w:rsidTr="00875C18">
        <w:trPr>
          <w:trHeight w:val="59"/>
          <w:jc w:val="center"/>
        </w:trPr>
        <w:tc>
          <w:tcPr>
            <w:tcW w:w="1356" w:type="dxa"/>
            <w:vAlign w:val="center"/>
          </w:tcPr>
          <w:p w:rsidR="004177AB" w:rsidRPr="00DB07E7" w:rsidRDefault="004177AB" w:rsidP="004177AB">
            <w:pPr>
              <w:pStyle w:val="TAC"/>
              <w:spacing w:line="276" w:lineRule="auto"/>
              <w:rPr>
                <w:rFonts w:cs="Arial"/>
                <w:szCs w:val="18"/>
              </w:rPr>
            </w:pPr>
            <w:r w:rsidRPr="00DB07E7">
              <w:rPr>
                <w:rFonts w:cs="Arial"/>
                <w:position w:val="-10"/>
                <w:szCs w:val="18"/>
              </w:rPr>
              <w:object w:dxaOrig="460" w:dyaOrig="300">
                <v:shape id="_x0000_i1028" type="#_x0000_t75" style="width:26.25pt;height:17.25pt" o:ole="">
                  <v:imagedata r:id="rId13" o:title=""/>
                </v:shape>
                <o:OLEObject Type="Embed" ProgID="Equation.3" ShapeID="_x0000_i1028" DrawAspect="Content" ObjectID="_1516445971" r:id="rId14"/>
              </w:object>
            </w:r>
          </w:p>
        </w:tc>
        <w:tc>
          <w:tcPr>
            <w:tcW w:w="1969" w:type="dxa"/>
            <w:vAlign w:val="center"/>
          </w:tcPr>
          <w:p w:rsidR="004177AB" w:rsidRPr="00DB07E7" w:rsidRDefault="004177AB" w:rsidP="004177AB">
            <w:pPr>
              <w:pStyle w:val="TAC"/>
              <w:spacing w:line="276" w:lineRule="auto"/>
              <w:rPr>
                <w:rFonts w:cs="Arial"/>
                <w:szCs w:val="18"/>
              </w:rPr>
            </w:pPr>
            <w:r>
              <w:rPr>
                <w:rFonts w:cs="Arial"/>
                <w:szCs w:val="18"/>
                <w:lang w:eastAsia="zh-CN"/>
              </w:rPr>
              <w:t xml:space="preserve">10 </w:t>
            </w:r>
            <w:r w:rsidRPr="00DB07E7">
              <w:rPr>
                <w:rFonts w:eastAsia="?? ??" w:cs="Arial"/>
                <w:szCs w:val="18"/>
              </w:rPr>
              <w:t>m</w:t>
            </w:r>
          </w:p>
        </w:tc>
        <w:tc>
          <w:tcPr>
            <w:tcW w:w="1969" w:type="dxa"/>
            <w:vAlign w:val="center"/>
          </w:tcPr>
          <w:p w:rsidR="004177AB" w:rsidRPr="00DB07E7" w:rsidRDefault="004177AB" w:rsidP="004177AB">
            <w:pPr>
              <w:pStyle w:val="TAC"/>
              <w:spacing w:line="276" w:lineRule="auto"/>
              <w:rPr>
                <w:rFonts w:cs="Arial"/>
                <w:szCs w:val="18"/>
              </w:rPr>
            </w:pPr>
            <w:r>
              <w:rPr>
                <w:rFonts w:cs="Arial"/>
                <w:szCs w:val="18"/>
                <w:lang w:eastAsia="zh-CN"/>
              </w:rPr>
              <w:t xml:space="preserve">5 </w:t>
            </w:r>
            <w:r w:rsidRPr="00DB07E7">
              <w:rPr>
                <w:rFonts w:eastAsia="?? ??" w:cs="Arial"/>
                <w:szCs w:val="18"/>
              </w:rPr>
              <w:t>m</w:t>
            </w:r>
          </w:p>
        </w:tc>
        <w:tc>
          <w:tcPr>
            <w:tcW w:w="1969" w:type="dxa"/>
            <w:vAlign w:val="center"/>
          </w:tcPr>
          <w:p w:rsidR="004177AB" w:rsidRPr="00DB07E7" w:rsidRDefault="004177AB" w:rsidP="004177AB">
            <w:pPr>
              <w:pStyle w:val="TAC"/>
              <w:spacing w:line="276" w:lineRule="auto"/>
              <w:rPr>
                <w:rFonts w:cs="Arial"/>
                <w:szCs w:val="18"/>
              </w:rPr>
            </w:pPr>
            <w:r>
              <w:rPr>
                <w:rFonts w:cs="Arial"/>
                <w:szCs w:val="18"/>
                <w:lang w:eastAsia="zh-CN"/>
              </w:rPr>
              <w:t xml:space="preserve">150 </w:t>
            </w:r>
            <w:r w:rsidRPr="00DB07E7">
              <w:rPr>
                <w:rFonts w:eastAsia="?? ??" w:cs="Arial"/>
                <w:szCs w:val="18"/>
              </w:rPr>
              <w:t>m</w:t>
            </w:r>
          </w:p>
        </w:tc>
      </w:tr>
    </w:tbl>
    <w:p w:rsidR="00E73768" w:rsidRDefault="00E73768" w:rsidP="0040252B">
      <w:pPr>
        <w:pStyle w:val="TH"/>
        <w:overflowPunct w:val="0"/>
        <w:autoSpaceDE w:val="0"/>
        <w:autoSpaceDN w:val="0"/>
        <w:adjustRightInd w:val="0"/>
        <w:spacing w:line="276" w:lineRule="auto"/>
        <w:textAlignment w:val="baseline"/>
        <w:rPr>
          <w:bCs/>
          <w:lang w:eastAsia="x-none"/>
        </w:rPr>
      </w:pPr>
    </w:p>
    <w:p w:rsidR="00E73768" w:rsidRDefault="00E73768" w:rsidP="0040252B">
      <w:pPr>
        <w:pStyle w:val="TH"/>
        <w:overflowPunct w:val="0"/>
        <w:autoSpaceDE w:val="0"/>
        <w:autoSpaceDN w:val="0"/>
        <w:adjustRightInd w:val="0"/>
        <w:spacing w:line="276" w:lineRule="auto"/>
        <w:textAlignment w:val="baseline"/>
        <w:rPr>
          <w:bCs/>
          <w:lang w:eastAsia="x-none"/>
        </w:rPr>
      </w:pPr>
      <w:r w:rsidRPr="00AF0E60">
        <w:rPr>
          <w:bCs/>
          <w:lang w:eastAsia="x-none"/>
        </w:rPr>
        <w:t>Table</w:t>
      </w:r>
      <w:r>
        <w:rPr>
          <w:bCs/>
          <w:lang w:eastAsia="x-none"/>
        </w:rPr>
        <w:t xml:space="preserve"> 2</w:t>
      </w:r>
      <w:r w:rsidRPr="00AF0E60">
        <w:rPr>
          <w:bCs/>
          <w:lang w:eastAsia="x-none"/>
        </w:rPr>
        <w:t xml:space="preserve">: </w:t>
      </w:r>
      <w:r>
        <w:rPr>
          <w:bCs/>
          <w:lang w:eastAsia="x-none"/>
        </w:rPr>
        <w:t xml:space="preserve">Speed and Doppler values different </w:t>
      </w:r>
      <w:r w:rsidRPr="00AF0E60">
        <w:rPr>
          <w:bCs/>
          <w:lang w:eastAsia="x-none"/>
        </w:rPr>
        <w:t xml:space="preserve">for </w:t>
      </w:r>
      <w:r w:rsidRPr="00AF0E60">
        <w:rPr>
          <w:rFonts w:hint="eastAsia"/>
          <w:bCs/>
          <w:lang w:eastAsia="x-none"/>
        </w:rPr>
        <w:t>SFN scenarios</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69"/>
        <w:gridCol w:w="1969"/>
        <w:gridCol w:w="1969"/>
      </w:tblGrid>
      <w:tr w:rsidR="00E73768" w:rsidRPr="00DB07E7" w:rsidTr="00C836DD">
        <w:trPr>
          <w:trHeight w:val="157"/>
          <w:jc w:val="center"/>
        </w:trPr>
        <w:tc>
          <w:tcPr>
            <w:tcW w:w="1356" w:type="dxa"/>
            <w:vAlign w:val="center"/>
          </w:tcPr>
          <w:p w:rsidR="00E73768" w:rsidRPr="00DB07E7" w:rsidRDefault="00E73768" w:rsidP="0040252B">
            <w:pPr>
              <w:pStyle w:val="TAH"/>
              <w:spacing w:line="276" w:lineRule="auto"/>
              <w:rPr>
                <w:rFonts w:cs="Arial"/>
                <w:szCs w:val="18"/>
              </w:rPr>
            </w:pPr>
            <w:r w:rsidRPr="00DB07E7">
              <w:rPr>
                <w:rFonts w:cs="Arial"/>
                <w:szCs w:val="18"/>
              </w:rPr>
              <w:t>Parameter</w:t>
            </w:r>
          </w:p>
        </w:tc>
        <w:tc>
          <w:tcPr>
            <w:tcW w:w="1969" w:type="dxa"/>
            <w:vAlign w:val="center"/>
          </w:tcPr>
          <w:p w:rsidR="00E73768" w:rsidRPr="00DB07E7" w:rsidRDefault="00E73768" w:rsidP="0040252B">
            <w:pPr>
              <w:pStyle w:val="TAH"/>
              <w:spacing w:line="276" w:lineRule="auto"/>
              <w:rPr>
                <w:rFonts w:cs="Arial"/>
                <w:szCs w:val="18"/>
                <w:lang w:eastAsia="zh-CN"/>
              </w:rPr>
            </w:pPr>
            <w:r>
              <w:rPr>
                <w:rFonts w:cs="Arial"/>
                <w:szCs w:val="18"/>
                <w:lang w:eastAsia="zh-CN"/>
              </w:rPr>
              <w:t>Low Speed 1 (baseline)</w:t>
            </w:r>
          </w:p>
        </w:tc>
        <w:tc>
          <w:tcPr>
            <w:tcW w:w="1969" w:type="dxa"/>
          </w:tcPr>
          <w:p w:rsidR="00E73768" w:rsidRPr="00DB07E7" w:rsidRDefault="00E73768" w:rsidP="0040252B">
            <w:pPr>
              <w:pStyle w:val="TAH"/>
              <w:spacing w:line="276" w:lineRule="auto"/>
              <w:rPr>
                <w:rFonts w:cs="Arial"/>
                <w:szCs w:val="18"/>
              </w:rPr>
            </w:pPr>
            <w:r>
              <w:rPr>
                <w:rFonts w:cs="Arial"/>
                <w:szCs w:val="18"/>
              </w:rPr>
              <w:t>High Speed 1</w:t>
            </w:r>
          </w:p>
        </w:tc>
        <w:tc>
          <w:tcPr>
            <w:tcW w:w="1969" w:type="dxa"/>
          </w:tcPr>
          <w:p w:rsidR="00E73768" w:rsidRPr="00DB07E7" w:rsidRDefault="00E73768" w:rsidP="0040252B">
            <w:pPr>
              <w:pStyle w:val="TAH"/>
              <w:spacing w:line="276" w:lineRule="auto"/>
              <w:rPr>
                <w:rFonts w:cs="Arial"/>
                <w:szCs w:val="18"/>
              </w:rPr>
            </w:pPr>
            <w:r>
              <w:rPr>
                <w:rFonts w:cs="Arial"/>
                <w:szCs w:val="18"/>
              </w:rPr>
              <w:t>High Speed 2</w:t>
            </w:r>
          </w:p>
        </w:tc>
      </w:tr>
      <w:tr w:rsidR="00E73768" w:rsidRPr="00DB07E7" w:rsidTr="00C836DD">
        <w:trPr>
          <w:trHeight w:val="157"/>
          <w:jc w:val="center"/>
        </w:trPr>
        <w:tc>
          <w:tcPr>
            <w:tcW w:w="1356" w:type="dxa"/>
            <w:vAlign w:val="center"/>
          </w:tcPr>
          <w:p w:rsidR="00E73768" w:rsidRPr="00DB07E7" w:rsidRDefault="00E73768" w:rsidP="0040252B">
            <w:pPr>
              <w:pStyle w:val="TAC"/>
              <w:spacing w:line="276" w:lineRule="auto"/>
              <w:rPr>
                <w:rFonts w:cs="Arial"/>
                <w:snapToGrid w:val="0"/>
                <w:szCs w:val="18"/>
              </w:rPr>
            </w:pPr>
            <w:r w:rsidRPr="00DB07E7">
              <w:rPr>
                <w:rFonts w:cs="Arial"/>
                <w:snapToGrid w:val="0"/>
                <w:position w:val="-6"/>
                <w:szCs w:val="18"/>
              </w:rPr>
              <w:object w:dxaOrig="180" w:dyaOrig="220">
                <v:shape id="_x0000_i1029" type="#_x0000_t75" style="width:11.25pt;height:12pt" o:ole="">
                  <v:imagedata r:id="rId9" o:title=""/>
                </v:shape>
                <o:OLEObject Type="Embed" ProgID="Equation.3" ShapeID="_x0000_i1029" DrawAspect="Content" ObjectID="_1516445972" r:id="rId15"/>
              </w:objec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30km/h</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350km/h</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350km/h</w:t>
            </w:r>
          </w:p>
        </w:tc>
      </w:tr>
      <w:tr w:rsidR="00E73768" w:rsidRPr="00DB07E7" w:rsidTr="00C836DD">
        <w:trPr>
          <w:trHeight w:val="59"/>
          <w:jc w:val="center"/>
        </w:trPr>
        <w:tc>
          <w:tcPr>
            <w:tcW w:w="1356" w:type="dxa"/>
            <w:vAlign w:val="center"/>
          </w:tcPr>
          <w:p w:rsidR="00E73768" w:rsidRPr="00DB07E7" w:rsidRDefault="00E73768" w:rsidP="0040252B">
            <w:pPr>
              <w:pStyle w:val="TAC"/>
              <w:spacing w:line="276" w:lineRule="auto"/>
              <w:rPr>
                <w:rFonts w:cs="Arial"/>
                <w:szCs w:val="18"/>
              </w:rPr>
            </w:pPr>
            <w:r w:rsidRPr="00DB07E7">
              <w:rPr>
                <w:rFonts w:cs="Arial"/>
                <w:snapToGrid w:val="0"/>
                <w:position w:val="-10"/>
                <w:szCs w:val="18"/>
              </w:rPr>
              <w:object w:dxaOrig="279" w:dyaOrig="300">
                <v:shape id="_x0000_i1030" type="#_x0000_t75" style="width:17.25pt;height:17.25pt" o:ole="">
                  <v:imagedata r:id="rId5" o:title=""/>
                </v:shape>
                <o:OLEObject Type="Embed" ProgID="Equation.3" ShapeID="_x0000_i1030" DrawAspect="Content" ObjectID="_1516445973" r:id="rId16"/>
              </w:objec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75Hz</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750Hz</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850Hz</w:t>
            </w:r>
          </w:p>
        </w:tc>
      </w:tr>
    </w:tbl>
    <w:p w:rsidR="00107458" w:rsidRDefault="00107458" w:rsidP="0040252B">
      <w:pPr>
        <w:spacing w:line="276" w:lineRule="auto"/>
        <w:rPr>
          <w:lang w:val="en-US"/>
        </w:rPr>
      </w:pPr>
    </w:p>
    <w:p w:rsidR="00107458" w:rsidRDefault="00107458" w:rsidP="0040252B">
      <w:pPr>
        <w:spacing w:line="276" w:lineRule="auto"/>
        <w:rPr>
          <w:lang w:val="en-US"/>
        </w:rPr>
      </w:pPr>
    </w:p>
    <w:p w:rsidR="005602A4" w:rsidRDefault="005602A4" w:rsidP="0040252B">
      <w:pPr>
        <w:spacing w:line="276" w:lineRule="auto"/>
        <w:rPr>
          <w:lang w:val="en-US"/>
        </w:rPr>
      </w:pPr>
      <w:r>
        <w:rPr>
          <w:lang w:val="en-US"/>
        </w:rPr>
        <w:t>We evaluated FMCS demodulation performance of the modified legacy UE with the following simulation parameters</w:t>
      </w:r>
    </w:p>
    <w:p w:rsidR="00E93C6E" w:rsidRDefault="00E93C6E" w:rsidP="0040252B">
      <w:pPr>
        <w:pStyle w:val="ListParagraph"/>
        <w:numPr>
          <w:ilvl w:val="0"/>
          <w:numId w:val="7"/>
        </w:numPr>
        <w:spacing w:line="276" w:lineRule="auto"/>
        <w:rPr>
          <w:lang w:val="en-US"/>
        </w:rPr>
      </w:pPr>
      <w:r>
        <w:rPr>
          <w:lang w:val="en-US"/>
        </w:rPr>
        <w:t>System Bandwidth: 10MHz</w:t>
      </w:r>
    </w:p>
    <w:p w:rsidR="00E93C6E" w:rsidRDefault="00E93C6E" w:rsidP="0040252B">
      <w:pPr>
        <w:pStyle w:val="ListParagraph"/>
        <w:numPr>
          <w:ilvl w:val="0"/>
          <w:numId w:val="7"/>
        </w:numPr>
        <w:spacing w:line="276" w:lineRule="auto"/>
        <w:rPr>
          <w:lang w:val="en-US"/>
        </w:rPr>
      </w:pPr>
      <w:r>
        <w:rPr>
          <w:lang w:val="en-US"/>
        </w:rPr>
        <w:t>Duplex mode: FDD</w:t>
      </w:r>
    </w:p>
    <w:p w:rsidR="00E93C6E" w:rsidRDefault="00E93C6E" w:rsidP="0040252B">
      <w:pPr>
        <w:pStyle w:val="ListParagraph"/>
        <w:numPr>
          <w:ilvl w:val="0"/>
          <w:numId w:val="7"/>
        </w:numPr>
        <w:spacing w:line="276" w:lineRule="auto"/>
        <w:rPr>
          <w:lang w:val="en-US"/>
        </w:rPr>
      </w:pPr>
      <w:r>
        <w:rPr>
          <w:lang w:val="en-US"/>
        </w:rPr>
        <w:t>Transmission mode: TM3</w:t>
      </w:r>
    </w:p>
    <w:p w:rsidR="00E93C6E" w:rsidRDefault="00E93C6E" w:rsidP="0040252B">
      <w:pPr>
        <w:pStyle w:val="ListParagraph"/>
        <w:numPr>
          <w:ilvl w:val="0"/>
          <w:numId w:val="7"/>
        </w:numPr>
        <w:spacing w:line="276" w:lineRule="auto"/>
        <w:rPr>
          <w:lang w:val="en-US"/>
        </w:rPr>
      </w:pPr>
      <w:r>
        <w:rPr>
          <w:lang w:val="en-US"/>
        </w:rPr>
        <w:t>Antenna configuration: 2x2</w:t>
      </w:r>
    </w:p>
    <w:p w:rsidR="00E93C6E" w:rsidRPr="00C14255" w:rsidRDefault="00E93C6E" w:rsidP="0040252B">
      <w:pPr>
        <w:pStyle w:val="ListParagraph"/>
        <w:numPr>
          <w:ilvl w:val="0"/>
          <w:numId w:val="7"/>
        </w:numPr>
        <w:spacing w:line="276" w:lineRule="auto"/>
        <w:rPr>
          <w:lang w:val="en-US"/>
        </w:rPr>
      </w:pPr>
      <w:r>
        <w:rPr>
          <w:lang w:val="en-US"/>
        </w:rPr>
        <w:t xml:space="preserve">MCS: MCS #16, MCS #19 </w:t>
      </w:r>
      <w:r w:rsidRPr="007B652B">
        <w:rPr>
          <w:szCs w:val="18"/>
          <w:lang w:eastAsia="zh-CN"/>
        </w:rPr>
        <w:t>(R.35-4 FDD)</w:t>
      </w:r>
      <w:r>
        <w:rPr>
          <w:szCs w:val="18"/>
          <w:lang w:eastAsia="zh-CN"/>
        </w:rPr>
        <w:t>, MCS #</w:t>
      </w:r>
      <w:r w:rsidR="00C14255">
        <w:rPr>
          <w:szCs w:val="18"/>
          <w:lang w:eastAsia="zh-CN"/>
        </w:rPr>
        <w:t>24</w:t>
      </w:r>
    </w:p>
    <w:p w:rsidR="00C14255" w:rsidRPr="007A3EEE" w:rsidRDefault="00C14255" w:rsidP="0040252B">
      <w:pPr>
        <w:pStyle w:val="ListParagraph"/>
        <w:numPr>
          <w:ilvl w:val="0"/>
          <w:numId w:val="7"/>
        </w:numPr>
        <w:spacing w:line="276" w:lineRule="auto"/>
        <w:rPr>
          <w:lang w:val="en-US"/>
        </w:rPr>
      </w:pPr>
      <w:r>
        <w:rPr>
          <w:szCs w:val="18"/>
          <w:lang w:eastAsia="zh-CN"/>
        </w:rPr>
        <w:t>50 PRB allocation in PDSCH SF</w:t>
      </w:r>
    </w:p>
    <w:p w:rsidR="007A3EEE" w:rsidRPr="00C14255" w:rsidRDefault="007A3EEE" w:rsidP="0040252B">
      <w:pPr>
        <w:pStyle w:val="ListParagraph"/>
        <w:numPr>
          <w:ilvl w:val="0"/>
          <w:numId w:val="7"/>
        </w:numPr>
        <w:spacing w:line="276" w:lineRule="auto"/>
        <w:rPr>
          <w:lang w:val="en-US"/>
        </w:rPr>
      </w:pPr>
      <w:r>
        <w:rPr>
          <w:szCs w:val="18"/>
          <w:lang w:eastAsia="zh-CN"/>
        </w:rPr>
        <w:t>PDSCH scheduled in SF 0,1,2,3,4,6,7,8,9</w:t>
      </w:r>
    </w:p>
    <w:p w:rsidR="00C14255" w:rsidRDefault="00C14255" w:rsidP="0040252B">
      <w:pPr>
        <w:pStyle w:val="ListParagraph"/>
        <w:numPr>
          <w:ilvl w:val="0"/>
          <w:numId w:val="7"/>
        </w:numPr>
        <w:spacing w:line="276" w:lineRule="auto"/>
        <w:rPr>
          <w:lang w:val="en-US"/>
        </w:rPr>
      </w:pPr>
      <w:r>
        <w:rPr>
          <w:lang w:val="en-US"/>
        </w:rPr>
        <w:t>CFI: 2</w:t>
      </w:r>
    </w:p>
    <w:p w:rsidR="002D6A34" w:rsidRDefault="00272A38" w:rsidP="0040252B">
      <w:pPr>
        <w:spacing w:line="276" w:lineRule="auto"/>
        <w:rPr>
          <w:lang w:val="en-US"/>
        </w:rPr>
      </w:pPr>
      <w:r>
        <w:rPr>
          <w:lang w:val="en-US"/>
        </w:rPr>
        <w:t xml:space="preserve">The results are shown in Figure 2 and 3. </w:t>
      </w:r>
      <w:r w:rsidR="002D6A34">
        <w:rPr>
          <w:lang w:val="en-US"/>
        </w:rPr>
        <w:t>From the results, we can make the following observations</w:t>
      </w:r>
    </w:p>
    <w:p w:rsidR="002D6A34" w:rsidRDefault="002D6A34" w:rsidP="002D6A34">
      <w:pPr>
        <w:pStyle w:val="ListParagraph"/>
        <w:numPr>
          <w:ilvl w:val="0"/>
          <w:numId w:val="11"/>
        </w:numPr>
        <w:spacing w:line="276" w:lineRule="auto"/>
        <w:rPr>
          <w:lang w:val="en-US"/>
        </w:rPr>
      </w:pPr>
      <w:r w:rsidRPr="00980544">
        <w:rPr>
          <w:u w:val="single"/>
          <w:lang w:val="en-US"/>
        </w:rPr>
        <w:t>Observation 1</w:t>
      </w:r>
      <w:r>
        <w:rPr>
          <w:lang w:val="en-US"/>
        </w:rPr>
        <w:t xml:space="preserve">: For a given maximum doppler shift, the </w:t>
      </w:r>
      <w:r w:rsidR="00980544">
        <w:rPr>
          <w:lang w:val="en-US"/>
        </w:rPr>
        <w:t>throughput</w:t>
      </w:r>
      <w:r>
        <w:rPr>
          <w:lang w:val="en-US"/>
        </w:rPr>
        <w:t xml:space="preserve"> of modified legacy UE is similar for RRH spacing parameters Ds = 1000m, Dmin = 10 &amp; Ds = 500, Dmin = 5</w:t>
      </w:r>
      <w:r w:rsidR="00980544">
        <w:rPr>
          <w:lang w:val="en-US"/>
        </w:rPr>
        <w:t>. However, slightly higher throughput is achievable if the RRH spacing parameter Ds = 850m, Dmin = 150m.</w:t>
      </w:r>
    </w:p>
    <w:p w:rsidR="002D6A34" w:rsidRPr="002D6A34" w:rsidRDefault="002D6A34" w:rsidP="002D6A34">
      <w:pPr>
        <w:pStyle w:val="ListParagraph"/>
        <w:numPr>
          <w:ilvl w:val="0"/>
          <w:numId w:val="11"/>
        </w:numPr>
        <w:spacing w:line="276" w:lineRule="auto"/>
        <w:rPr>
          <w:lang w:val="en-US"/>
        </w:rPr>
      </w:pPr>
      <w:r w:rsidRPr="00980544">
        <w:rPr>
          <w:u w:val="single"/>
          <w:lang w:val="en-US"/>
        </w:rPr>
        <w:t>Observation 2</w:t>
      </w:r>
      <w:r>
        <w:rPr>
          <w:lang w:val="en-US"/>
        </w:rPr>
        <w:t>:</w:t>
      </w:r>
      <w:r w:rsidR="00980544">
        <w:rPr>
          <w:lang w:val="en-US"/>
        </w:rPr>
        <w:t xml:space="preserve"> </w:t>
      </w:r>
      <w:r w:rsidR="007A0C35">
        <w:rPr>
          <w:lang w:val="en-US"/>
        </w:rPr>
        <w:t>As the maximum doppler increases,</w:t>
      </w:r>
      <w:r w:rsidR="00980544">
        <w:rPr>
          <w:lang w:val="en-US"/>
        </w:rPr>
        <w:t xml:space="preserve"> </w:t>
      </w:r>
      <w:r w:rsidR="007A0C35">
        <w:rPr>
          <w:lang w:val="en-US"/>
        </w:rPr>
        <w:t xml:space="preserve">FMCS throughput of modified legacy UE also degrades. </w:t>
      </w:r>
    </w:p>
    <w:p w:rsidR="007A0C35" w:rsidRDefault="00167D5E" w:rsidP="0040252B">
      <w:pPr>
        <w:spacing w:line="276" w:lineRule="auto"/>
        <w:rPr>
          <w:lang w:val="en-US"/>
        </w:rPr>
      </w:pPr>
      <w:r>
        <w:rPr>
          <w:lang w:val="en-US"/>
        </w:rPr>
        <w:t>Ob</w:t>
      </w:r>
      <w:r w:rsidR="007A0C35">
        <w:rPr>
          <w:lang w:val="en-US"/>
        </w:rPr>
        <w:t xml:space="preserve">servation 1 makes sense because SFN parameters Ds = 1000m, Dmin = 10 &amp; Ds = 500, Dmin = 5 result in similar doppler spectrum (as a function of UE location), while Ds = 850, Dmin = 150 effectively results in a smaller doppler spread. With a smaller doppler spread, channel estimation error is smaller and thus higher throughput is feasible. </w:t>
      </w:r>
    </w:p>
    <w:p w:rsidR="00D441BD" w:rsidRDefault="007A0C35" w:rsidP="0040252B">
      <w:pPr>
        <w:spacing w:line="276" w:lineRule="auto"/>
        <w:rPr>
          <w:lang w:val="en-US"/>
        </w:rPr>
      </w:pPr>
      <w:r>
        <w:rPr>
          <w:lang w:val="en-US"/>
        </w:rPr>
        <w:t xml:space="preserve">Observation 2 makes senses because </w:t>
      </w:r>
      <w:r w:rsidR="00D441BD">
        <w:rPr>
          <w:lang w:val="en-US"/>
        </w:rPr>
        <w:t xml:space="preserve">channel estimation error becomes the dominant source of error as the maximum Doppler shift under SFN deployment becomes large. With increasing </w:t>
      </w:r>
      <w:r w:rsidR="0009023B">
        <w:rPr>
          <w:lang w:val="en-US"/>
        </w:rPr>
        <w:t xml:space="preserve">Doppler the overall </w:t>
      </w:r>
      <w:r w:rsidR="00D441BD">
        <w:rPr>
          <w:lang w:val="en-US"/>
        </w:rPr>
        <w:t xml:space="preserve">SNR is capped to a low value making it difficult for higher MCS to be decodable when the UE is in the middle of the two repeaters. </w:t>
      </w:r>
    </w:p>
    <w:p w:rsidR="00D441BD" w:rsidRPr="00373B71" w:rsidRDefault="00D441BD" w:rsidP="0040252B">
      <w:pPr>
        <w:spacing w:line="276" w:lineRule="auto"/>
        <w:rPr>
          <w:b/>
          <w:lang w:val="en-US"/>
        </w:rPr>
      </w:pPr>
      <w:r w:rsidRPr="00373B71">
        <w:rPr>
          <w:b/>
          <w:lang w:val="en-US"/>
        </w:rPr>
        <w:t>Proposal</w:t>
      </w:r>
      <w:r w:rsidR="00307BAD">
        <w:rPr>
          <w:b/>
          <w:lang w:val="en-US"/>
        </w:rPr>
        <w:t xml:space="preserve"> 3:</w:t>
      </w:r>
      <w:r w:rsidRPr="00373B71">
        <w:rPr>
          <w:b/>
          <w:lang w:val="en-US"/>
        </w:rPr>
        <w:t xml:space="preserve"> RAN4 should consider challenge in channel estimation in SFN channel with large Doppler shift when specifying minimum performance requirement. </w:t>
      </w:r>
    </w:p>
    <w:p w:rsidR="00DF3066" w:rsidRDefault="00DF3066" w:rsidP="0040252B">
      <w:pPr>
        <w:pStyle w:val="Heading1"/>
        <w:spacing w:line="276" w:lineRule="auto"/>
        <w:rPr>
          <w:rFonts w:cs="Arial"/>
          <w:lang w:val="en-US"/>
        </w:rPr>
      </w:pPr>
      <w:r w:rsidRPr="00C14255">
        <w:rPr>
          <w:rFonts w:cs="Arial"/>
          <w:lang w:val="en-US"/>
        </w:rPr>
        <w:lastRenderedPageBreak/>
        <w:t>Conclusion</w:t>
      </w:r>
    </w:p>
    <w:p w:rsidR="00980544" w:rsidRDefault="00DF3066" w:rsidP="0040252B">
      <w:pPr>
        <w:spacing w:line="276" w:lineRule="auto"/>
        <w:rPr>
          <w:lang w:val="en-US"/>
        </w:rPr>
      </w:pPr>
      <w:r>
        <w:rPr>
          <w:lang w:val="en-US"/>
        </w:rPr>
        <w:t>In this contribution, we presented simulation results for d</w:t>
      </w:r>
      <w:r w:rsidR="00980544">
        <w:rPr>
          <w:lang w:val="en-US"/>
        </w:rPr>
        <w:t xml:space="preserve">emodulation performance of a modified legacy UE in a bidirectional </w:t>
      </w:r>
      <w:r>
        <w:rPr>
          <w:lang w:val="en-US"/>
        </w:rPr>
        <w:t xml:space="preserve">SFN channel obtained from a modified legacy UE. </w:t>
      </w:r>
      <w:r w:rsidR="00980544">
        <w:rPr>
          <w:lang w:val="en-US"/>
        </w:rPr>
        <w:t xml:space="preserve">The modified legacy UE is able to better handle larger doppler spreads, but is not fine tuning to RAN4 channel model. </w:t>
      </w:r>
      <w:r>
        <w:rPr>
          <w:lang w:val="en-US"/>
        </w:rPr>
        <w:t xml:space="preserve">Even though the throughput achieved by the modified legacy </w:t>
      </w:r>
      <w:r w:rsidR="00F5112C">
        <w:rPr>
          <w:lang w:val="en-US"/>
        </w:rPr>
        <w:t xml:space="preserve">UE </w:t>
      </w:r>
      <w:r>
        <w:rPr>
          <w:lang w:val="en-US"/>
        </w:rPr>
        <w:t>is higher than the legacy UE, it is still significantly degraded compa</w:t>
      </w:r>
      <w:r w:rsidR="00740C16">
        <w:rPr>
          <w:lang w:val="en-US"/>
        </w:rPr>
        <w:t xml:space="preserve">red to baseline, primarily due to the error in estimating/interpolating weaker of the two taps at high Doppler values. </w:t>
      </w:r>
      <w:r w:rsidR="00980544">
        <w:rPr>
          <w:lang w:val="en-US"/>
        </w:rPr>
        <w:t xml:space="preserve">We make the </w:t>
      </w:r>
    </w:p>
    <w:p w:rsidR="009D7BF9" w:rsidRDefault="009D7BF9" w:rsidP="009D7BF9">
      <w:pPr>
        <w:spacing w:line="276" w:lineRule="auto"/>
        <w:rPr>
          <w:rFonts w:cs="Arial"/>
          <w:b/>
          <w:snapToGrid w:val="0"/>
          <w:szCs w:val="18"/>
        </w:rPr>
      </w:pPr>
      <w:r w:rsidRPr="003218C5">
        <w:rPr>
          <w:rFonts w:cs="Arial"/>
          <w:b/>
          <w:snapToGrid w:val="0"/>
          <w:szCs w:val="18"/>
        </w:rPr>
        <w:t>Proposal 1:</w:t>
      </w:r>
      <w:r>
        <w:rPr>
          <w:rFonts w:cs="Arial"/>
          <w:b/>
          <w:snapToGrid w:val="0"/>
          <w:szCs w:val="18"/>
        </w:rPr>
        <w:t xml:space="preserve"> Demodulation performance requirement, if needed, should be set with only those advanced receivers, which provide robust gains in realistic SFN scenarios (where more than two paths of reasonable </w:t>
      </w:r>
      <w:r w:rsidRPr="009D7BF9">
        <w:rPr>
          <w:rFonts w:cs="Arial"/>
          <w:b/>
          <w:snapToGrid w:val="0"/>
          <w:szCs w:val="18"/>
        </w:rPr>
        <w:t>strength are possible).</w:t>
      </w:r>
    </w:p>
    <w:p w:rsidR="001E07EB" w:rsidRDefault="001E07EB" w:rsidP="001E07EB">
      <w:pPr>
        <w:spacing w:line="276" w:lineRule="auto"/>
        <w:rPr>
          <w:rFonts w:cs="Arial"/>
          <w:snapToGrid w:val="0"/>
          <w:szCs w:val="18"/>
        </w:rPr>
      </w:pPr>
      <w:r>
        <w:rPr>
          <w:rFonts w:cs="Arial"/>
          <w:b/>
          <w:snapToGrid w:val="0"/>
          <w:szCs w:val="18"/>
        </w:rPr>
        <w:t>Proposal 2: RAN4 should evalua</w:t>
      </w:r>
      <w:bookmarkStart w:id="0" w:name="_GoBack"/>
      <w:bookmarkEnd w:id="0"/>
      <w:r>
        <w:rPr>
          <w:rFonts w:cs="Arial"/>
          <w:b/>
          <w:snapToGrid w:val="0"/>
          <w:szCs w:val="18"/>
        </w:rPr>
        <w:t xml:space="preserve">te receivers also in SFN scenarios with large </w:t>
      </w:r>
      <w:proofErr w:type="spellStart"/>
      <w:r>
        <w:rPr>
          <w:rFonts w:cs="Arial"/>
          <w:b/>
          <w:snapToGrid w:val="0"/>
          <w:szCs w:val="18"/>
        </w:rPr>
        <w:t>Dmin</w:t>
      </w:r>
      <w:proofErr w:type="spellEnd"/>
      <w:r>
        <w:rPr>
          <w:rFonts w:cs="Arial"/>
          <w:b/>
          <w:snapToGrid w:val="0"/>
          <w:szCs w:val="18"/>
        </w:rPr>
        <w:t>.</w:t>
      </w:r>
    </w:p>
    <w:p w:rsidR="00B21EAB" w:rsidRDefault="00740C16" w:rsidP="0040252B">
      <w:pPr>
        <w:spacing w:line="276" w:lineRule="auto"/>
        <w:rPr>
          <w:lang w:val="en-US"/>
        </w:rPr>
      </w:pPr>
      <w:r w:rsidRPr="009D7BF9">
        <w:rPr>
          <w:b/>
          <w:lang w:val="en-US"/>
        </w:rPr>
        <w:t>Proposal</w:t>
      </w:r>
      <w:r w:rsidR="009D7BF9" w:rsidRPr="009D7BF9">
        <w:rPr>
          <w:b/>
          <w:lang w:val="en-US"/>
        </w:rPr>
        <w:t xml:space="preserve"> 3:</w:t>
      </w:r>
      <w:r w:rsidRPr="009D7BF9">
        <w:rPr>
          <w:b/>
          <w:lang w:val="en-US"/>
        </w:rPr>
        <w:t xml:space="preserve"> RAN4 should consider challenge in channel estimation in SFN channel with large Doppler shift when specifying minimum performance requirement.</w:t>
      </w:r>
    </w:p>
    <w:p w:rsidR="00373B71" w:rsidRDefault="00373B71" w:rsidP="0040252B">
      <w:pPr>
        <w:spacing w:line="276" w:lineRule="auto"/>
        <w:rPr>
          <w:lang w:val="en-US"/>
        </w:rPr>
      </w:pPr>
    </w:p>
    <w:p w:rsidR="00272A38" w:rsidRPr="00884F15" w:rsidRDefault="00272A38" w:rsidP="00272A38">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272A38" w:rsidRPr="00092418" w:rsidRDefault="00272A38" w:rsidP="00272A38">
      <w:pPr>
        <w:numPr>
          <w:ilvl w:val="0"/>
          <w:numId w:val="8"/>
        </w:numPr>
        <w:tabs>
          <w:tab w:val="left" w:pos="1080"/>
        </w:tabs>
        <w:spacing w:line="276" w:lineRule="auto"/>
      </w:pPr>
      <w:r w:rsidRPr="00092418">
        <w:rPr>
          <w:lang w:val="en-US"/>
        </w:rPr>
        <w:t>R4-153822</w:t>
      </w:r>
      <w:r>
        <w:rPr>
          <w:lang w:val="en-US"/>
        </w:rPr>
        <w:t>,</w:t>
      </w:r>
      <w:r w:rsidRPr="00092418">
        <w:rPr>
          <w:lang w:val="en-US"/>
        </w:rPr>
        <w:t xml:space="preserve"> “Way forward on the SFN channel model ”, CATT, Qualcomm, Huawei, Ericsson, CMCC, Nokia Networks, NTT DOCOMO, TSG-RAN4 #75, May, 2015</w:t>
      </w:r>
    </w:p>
    <w:p w:rsidR="00272A38" w:rsidRPr="0040252B" w:rsidRDefault="00272A38" w:rsidP="00272A38">
      <w:pPr>
        <w:numPr>
          <w:ilvl w:val="0"/>
          <w:numId w:val="8"/>
        </w:numPr>
        <w:tabs>
          <w:tab w:val="left" w:pos="1080"/>
        </w:tabs>
        <w:spacing w:line="276" w:lineRule="auto"/>
      </w:pPr>
      <w:r>
        <w:rPr>
          <w:rFonts w:eastAsia="SimSun" w:hint="eastAsia"/>
          <w:lang w:eastAsia="zh-CN"/>
        </w:rPr>
        <w:t>TR36</w:t>
      </w:r>
      <w:r w:rsidRPr="006634CD">
        <w:rPr>
          <w:rFonts w:hint="eastAsia"/>
          <w:lang w:eastAsia="ja-JP"/>
        </w:rPr>
        <w:t>.</w:t>
      </w:r>
      <w:r>
        <w:rPr>
          <w:rFonts w:eastAsia="SimSun" w:hint="eastAsia"/>
          <w:lang w:eastAsia="zh-CN"/>
        </w:rPr>
        <w:t>878</w:t>
      </w:r>
    </w:p>
    <w:p w:rsidR="00272A38" w:rsidRPr="00373B71" w:rsidRDefault="00272A38" w:rsidP="00272A38">
      <w:pPr>
        <w:numPr>
          <w:ilvl w:val="0"/>
          <w:numId w:val="8"/>
        </w:numPr>
        <w:tabs>
          <w:tab w:val="left" w:pos="1080"/>
        </w:tabs>
        <w:spacing w:line="276" w:lineRule="auto"/>
      </w:pPr>
      <w:r w:rsidRPr="00373B71">
        <w:t>R4-1</w:t>
      </w:r>
      <w:r w:rsidRPr="00373B71">
        <w:rPr>
          <w:rFonts w:eastAsia="SimSun"/>
          <w:lang w:eastAsia="zh-CN"/>
        </w:rPr>
        <w:t>51706, “Email discussion on high speed scenarios”, Huawei, Hisilicon, April 2015</w:t>
      </w: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tbl>
      <w:tblPr>
        <w:tblStyle w:val="TableGrid"/>
        <w:tblW w:w="10710" w:type="dxa"/>
        <w:tblInd w:w="-635" w:type="dxa"/>
        <w:tblLayout w:type="fixed"/>
        <w:tblLook w:val="04A0" w:firstRow="1" w:lastRow="0" w:firstColumn="1" w:lastColumn="0" w:noHBand="0" w:noVBand="1"/>
      </w:tblPr>
      <w:tblGrid>
        <w:gridCol w:w="6"/>
        <w:gridCol w:w="5397"/>
        <w:gridCol w:w="5307"/>
      </w:tblGrid>
      <w:tr w:rsidR="00B21EAB" w:rsidTr="00FD2B7B">
        <w:trPr>
          <w:trHeight w:val="620"/>
        </w:trPr>
        <w:tc>
          <w:tcPr>
            <w:tcW w:w="5403" w:type="dxa"/>
            <w:gridSpan w:val="2"/>
            <w:shd w:val="clear" w:color="auto" w:fill="auto"/>
          </w:tcPr>
          <w:p w:rsidR="005556C6" w:rsidRDefault="005A46EA" w:rsidP="00B21EAB">
            <w:pPr>
              <w:spacing w:before="240"/>
              <w:jc w:val="center"/>
              <w:rPr>
                <w:lang w:val="en-US"/>
              </w:rPr>
            </w:pPr>
            <w:r w:rsidRPr="00DB07E7">
              <w:rPr>
                <w:rFonts w:cs="Arial"/>
                <w:position w:val="-10"/>
                <w:szCs w:val="18"/>
              </w:rPr>
              <w:object w:dxaOrig="300" w:dyaOrig="320">
                <v:shape id="_x0000_i1031" type="#_x0000_t75" style="width:17.25pt;height:18pt" o:ole="">
                  <v:imagedata r:id="rId11" o:title=""/>
                </v:shape>
                <o:OLEObject Type="Embed" ProgID="Equation.3" ShapeID="_x0000_i1031" DrawAspect="Content" ObjectID="_1516445974" r:id="rId17"/>
              </w:object>
            </w:r>
            <w:r w:rsidR="005556C6">
              <w:rPr>
                <w:lang w:val="en-US"/>
              </w:rPr>
              <w:t>= 100</w:t>
            </w:r>
            <w:r>
              <w:rPr>
                <w:lang w:val="en-US"/>
              </w:rPr>
              <w:t>0m</w:t>
            </w:r>
            <w:r w:rsidR="005556C6">
              <w:rPr>
                <w:lang w:val="en-US"/>
              </w:rPr>
              <w:t xml:space="preserve">, </w:t>
            </w:r>
            <w:r w:rsidRPr="00DB07E7">
              <w:rPr>
                <w:rFonts w:cs="Arial"/>
                <w:position w:val="-10"/>
                <w:szCs w:val="18"/>
              </w:rPr>
              <w:object w:dxaOrig="460" w:dyaOrig="300">
                <v:shape id="_x0000_i1032" type="#_x0000_t75" style="width:26.25pt;height:17.25pt" o:ole="">
                  <v:imagedata r:id="rId13" o:title=""/>
                </v:shape>
                <o:OLEObject Type="Embed" ProgID="Equation.3" ShapeID="_x0000_i1032" DrawAspect="Content" ObjectID="_1516445975" r:id="rId18"/>
              </w:object>
            </w:r>
            <w:r w:rsidR="005556C6">
              <w:rPr>
                <w:lang w:val="en-US"/>
              </w:rPr>
              <w:t>= 10</w:t>
            </w:r>
            <w:r>
              <w:rPr>
                <w:lang w:val="en-US"/>
              </w:rPr>
              <w:t>m</w:t>
            </w:r>
          </w:p>
        </w:tc>
        <w:tc>
          <w:tcPr>
            <w:tcW w:w="5307" w:type="dxa"/>
            <w:shd w:val="clear" w:color="auto" w:fill="auto"/>
          </w:tcPr>
          <w:p w:rsidR="005556C6" w:rsidRDefault="005A46EA" w:rsidP="00B21EAB">
            <w:pPr>
              <w:spacing w:before="240"/>
              <w:jc w:val="center"/>
              <w:rPr>
                <w:lang w:val="en-US"/>
              </w:rPr>
            </w:pPr>
            <w:r w:rsidRPr="00DB07E7">
              <w:rPr>
                <w:rFonts w:cs="Arial"/>
                <w:position w:val="-10"/>
                <w:szCs w:val="18"/>
              </w:rPr>
              <w:object w:dxaOrig="300" w:dyaOrig="320">
                <v:shape id="_x0000_i1033" type="#_x0000_t75" style="width:17.25pt;height:18pt" o:ole="">
                  <v:imagedata r:id="rId11" o:title=""/>
                </v:shape>
                <o:OLEObject Type="Embed" ProgID="Equation.3" ShapeID="_x0000_i1033" DrawAspect="Content" ObjectID="_1516445976" r:id="rId19"/>
              </w:object>
            </w:r>
            <w:r w:rsidR="00B61F20">
              <w:rPr>
                <w:lang w:val="en-US"/>
              </w:rPr>
              <w:t>= 500m</w:t>
            </w:r>
            <w:r w:rsidR="005556C6">
              <w:rPr>
                <w:lang w:val="en-US"/>
              </w:rPr>
              <w:t xml:space="preserve">, </w:t>
            </w:r>
            <w:r w:rsidRPr="00DB07E7">
              <w:rPr>
                <w:rFonts w:cs="Arial"/>
                <w:position w:val="-10"/>
                <w:szCs w:val="18"/>
              </w:rPr>
              <w:object w:dxaOrig="460" w:dyaOrig="300">
                <v:shape id="_x0000_i1034" type="#_x0000_t75" style="width:26.25pt;height:17.25pt" o:ole="">
                  <v:imagedata r:id="rId13" o:title=""/>
                </v:shape>
                <o:OLEObject Type="Embed" ProgID="Equation.3" ShapeID="_x0000_i1034" DrawAspect="Content" ObjectID="_1516445977" r:id="rId20"/>
              </w:object>
            </w:r>
            <w:r>
              <w:rPr>
                <w:lang w:val="en-US"/>
              </w:rPr>
              <w:t>= 5m</w:t>
            </w:r>
          </w:p>
        </w:tc>
      </w:tr>
      <w:tr w:rsidR="00B21EAB" w:rsidTr="00FD2B7B">
        <w:trPr>
          <w:trHeight w:val="3509"/>
        </w:trPr>
        <w:tc>
          <w:tcPr>
            <w:tcW w:w="5403" w:type="dxa"/>
            <w:gridSpan w:val="2"/>
            <w:shd w:val="clear" w:color="auto" w:fill="auto"/>
          </w:tcPr>
          <w:p w:rsidR="005556C6" w:rsidRDefault="002D5A3E" w:rsidP="00B21EAB">
            <w:pPr>
              <w:rPr>
                <w:lang w:val="en-US"/>
              </w:rPr>
            </w:pPr>
            <w:r>
              <w:rPr>
                <w:noProof/>
                <w:lang w:val="en-US"/>
              </w:rPr>
              <w:drawing>
                <wp:inline distT="0" distB="0" distL="0" distR="0" wp14:anchorId="30F1A99F" wp14:editId="42050989">
                  <wp:extent cx="3097428" cy="2323072"/>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1000Dmin10MCS16.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60852" cy="2370640"/>
                          </a:xfrm>
                          <a:prstGeom prst="rect">
                            <a:avLst/>
                          </a:prstGeom>
                        </pic:spPr>
                      </pic:pic>
                    </a:graphicData>
                  </a:graphic>
                </wp:inline>
              </w:drawing>
            </w:r>
          </w:p>
        </w:tc>
        <w:tc>
          <w:tcPr>
            <w:tcW w:w="5307" w:type="dxa"/>
            <w:shd w:val="clear" w:color="auto" w:fill="auto"/>
          </w:tcPr>
          <w:p w:rsidR="005556C6" w:rsidRDefault="002D5A3E" w:rsidP="00B21EAB">
            <w:pPr>
              <w:rPr>
                <w:lang w:val="en-US"/>
              </w:rPr>
            </w:pPr>
            <w:r>
              <w:rPr>
                <w:noProof/>
                <w:lang w:val="en-US"/>
              </w:rPr>
              <w:drawing>
                <wp:inline distT="0" distB="0" distL="0" distR="0" wp14:anchorId="564B9F44" wp14:editId="2E29CD05">
                  <wp:extent cx="3105665" cy="2329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s500Dmin5MCS16.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60606" cy="2370456"/>
                          </a:xfrm>
                          <a:prstGeom prst="rect">
                            <a:avLst/>
                          </a:prstGeom>
                        </pic:spPr>
                      </pic:pic>
                    </a:graphicData>
                  </a:graphic>
                </wp:inline>
              </w:drawing>
            </w:r>
          </w:p>
        </w:tc>
      </w:tr>
      <w:tr w:rsidR="00B21EAB" w:rsidTr="00FD2B7B">
        <w:tc>
          <w:tcPr>
            <w:tcW w:w="5403" w:type="dxa"/>
            <w:gridSpan w:val="2"/>
            <w:shd w:val="clear" w:color="auto" w:fill="auto"/>
          </w:tcPr>
          <w:p w:rsidR="005556C6" w:rsidRDefault="00B21EAB" w:rsidP="00B21EAB">
            <w:pPr>
              <w:rPr>
                <w:lang w:val="en-US"/>
              </w:rPr>
            </w:pPr>
            <w:r>
              <w:rPr>
                <w:noProof/>
                <w:lang w:val="en-US"/>
              </w:rPr>
              <w:drawing>
                <wp:inline distT="0" distB="0" distL="0" distR="0" wp14:anchorId="5CF7C0FD" wp14:editId="27B39390">
                  <wp:extent cx="3064476" cy="2298357"/>
                  <wp:effectExtent l="0" t="0" r="317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s1000Dmin10MCS19.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64476" cy="2298357"/>
                          </a:xfrm>
                          <a:prstGeom prst="rect">
                            <a:avLst/>
                          </a:prstGeom>
                        </pic:spPr>
                      </pic:pic>
                    </a:graphicData>
                  </a:graphic>
                </wp:inline>
              </w:drawing>
            </w:r>
          </w:p>
        </w:tc>
        <w:tc>
          <w:tcPr>
            <w:tcW w:w="5307" w:type="dxa"/>
            <w:shd w:val="clear" w:color="auto" w:fill="auto"/>
          </w:tcPr>
          <w:p w:rsidR="005556C6" w:rsidRDefault="00B21EAB" w:rsidP="00B21EAB">
            <w:pPr>
              <w:rPr>
                <w:noProof/>
                <w:lang w:val="en-US"/>
              </w:rPr>
            </w:pPr>
            <w:r>
              <w:rPr>
                <w:noProof/>
                <w:lang w:val="en-US"/>
              </w:rPr>
              <w:drawing>
                <wp:inline distT="0" distB="0" distL="0" distR="0" wp14:anchorId="3155C1E4" wp14:editId="41FC09FD">
                  <wp:extent cx="3042508" cy="2281881"/>
                  <wp:effectExtent l="0" t="0" r="571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s500Dmin5MCS19.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91779" cy="2318834"/>
                          </a:xfrm>
                          <a:prstGeom prst="rect">
                            <a:avLst/>
                          </a:prstGeom>
                        </pic:spPr>
                      </pic:pic>
                    </a:graphicData>
                  </a:graphic>
                </wp:inline>
              </w:drawing>
            </w:r>
          </w:p>
        </w:tc>
      </w:tr>
      <w:tr w:rsidR="00B21EAB" w:rsidTr="00FD2B7B">
        <w:trPr>
          <w:trHeight w:val="3977"/>
        </w:trPr>
        <w:tc>
          <w:tcPr>
            <w:tcW w:w="5403" w:type="dxa"/>
            <w:gridSpan w:val="2"/>
            <w:shd w:val="clear" w:color="auto" w:fill="auto"/>
          </w:tcPr>
          <w:p w:rsidR="005556C6" w:rsidRDefault="00B21EAB" w:rsidP="00B21EAB">
            <w:pPr>
              <w:rPr>
                <w:lang w:val="en-US"/>
              </w:rPr>
            </w:pPr>
            <w:r>
              <w:rPr>
                <w:noProof/>
                <w:lang w:val="en-US"/>
              </w:rPr>
              <w:drawing>
                <wp:inline distT="0" distB="0" distL="0" distR="0">
                  <wp:extent cx="3163330" cy="237249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s1000Dmin10MCS24.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6252" cy="2382189"/>
                          </a:xfrm>
                          <a:prstGeom prst="rect">
                            <a:avLst/>
                          </a:prstGeom>
                        </pic:spPr>
                      </pic:pic>
                    </a:graphicData>
                  </a:graphic>
                </wp:inline>
              </w:drawing>
            </w:r>
          </w:p>
        </w:tc>
        <w:tc>
          <w:tcPr>
            <w:tcW w:w="5307" w:type="dxa"/>
            <w:shd w:val="clear" w:color="auto" w:fill="auto"/>
          </w:tcPr>
          <w:p w:rsidR="005556C6" w:rsidRDefault="00B21EAB" w:rsidP="00B21EAB">
            <w:pPr>
              <w:rPr>
                <w:noProof/>
                <w:lang w:val="en-US"/>
              </w:rPr>
            </w:pPr>
            <w:r>
              <w:rPr>
                <w:noProof/>
                <w:lang w:val="en-US"/>
              </w:rPr>
              <w:drawing>
                <wp:inline distT="0" distB="0" distL="0" distR="0" wp14:anchorId="04D4B107" wp14:editId="6E981050">
                  <wp:extent cx="3056238" cy="22921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s500Dmin5MCS24.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70649" cy="2302987"/>
                          </a:xfrm>
                          <a:prstGeom prst="rect">
                            <a:avLst/>
                          </a:prstGeom>
                        </pic:spPr>
                      </pic:pic>
                    </a:graphicData>
                  </a:graphic>
                </wp:inline>
              </w:drawing>
            </w:r>
          </w:p>
        </w:tc>
      </w:tr>
      <w:tr w:rsidR="00472E7E" w:rsidTr="00472E7E">
        <w:trPr>
          <w:trHeight w:val="350"/>
        </w:trPr>
        <w:tc>
          <w:tcPr>
            <w:tcW w:w="10710" w:type="dxa"/>
            <w:gridSpan w:val="3"/>
            <w:shd w:val="clear" w:color="auto" w:fill="auto"/>
          </w:tcPr>
          <w:p w:rsidR="00472E7E" w:rsidRDefault="00472E7E" w:rsidP="00FD2B7B">
            <w:pPr>
              <w:jc w:val="center"/>
              <w:rPr>
                <w:noProof/>
                <w:lang w:val="en-US"/>
              </w:rPr>
            </w:pPr>
            <w:r w:rsidRPr="00307BAD">
              <w:rPr>
                <w:b/>
                <w:noProof/>
                <w:lang w:val="en-US"/>
              </w:rPr>
              <w:t>Figure 2</w:t>
            </w:r>
            <w:r>
              <w:rPr>
                <w:noProof/>
                <w:lang w:val="en-US"/>
              </w:rPr>
              <w:t>: PDSCH throughput for MCS = 16, 19 &amp; 24 for RRH spacing parameters</w:t>
            </w:r>
            <w:r w:rsidR="00FD2B7B">
              <w:rPr>
                <w:noProof/>
                <w:lang w:val="en-US"/>
              </w:rPr>
              <w:t xml:space="preserve"> Ds = 1000, Dmin = 10 &amp; Ds = 500, Dmin = 5</w:t>
            </w:r>
          </w:p>
        </w:tc>
      </w:tr>
      <w:tr w:rsidR="00FD2B7B" w:rsidTr="00CF3804">
        <w:trPr>
          <w:gridBefore w:val="1"/>
          <w:wBefore w:w="6" w:type="dxa"/>
        </w:trPr>
        <w:tc>
          <w:tcPr>
            <w:tcW w:w="10704" w:type="dxa"/>
            <w:gridSpan w:val="2"/>
          </w:tcPr>
          <w:p w:rsidR="00FD2B7B" w:rsidRDefault="00FD2B7B" w:rsidP="0006585F">
            <w:pPr>
              <w:spacing w:line="276" w:lineRule="auto"/>
            </w:pPr>
            <w:r>
              <w:rPr>
                <w:noProof/>
                <w:lang w:val="en-US"/>
              </w:rPr>
              <w:lastRenderedPageBreak/>
              <w:drawing>
                <wp:inline distT="0" distB="0" distL="0" distR="0">
                  <wp:extent cx="3294544" cy="2470639"/>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850Dmin150MCS16.png"/>
                          <pic:cNvPicPr/>
                        </pic:nvPicPr>
                        <pic:blipFill>
                          <a:blip r:embed="rId27">
                            <a:extLst>
                              <a:ext uri="{28A0092B-C50C-407E-A947-70E740481C1C}">
                                <a14:useLocalDpi xmlns:a14="http://schemas.microsoft.com/office/drawing/2010/main" val="0"/>
                              </a:ext>
                            </a:extLst>
                          </a:blip>
                          <a:stretch>
                            <a:fillRect/>
                          </a:stretch>
                        </pic:blipFill>
                        <pic:spPr>
                          <a:xfrm>
                            <a:off x="0" y="0"/>
                            <a:ext cx="3294544" cy="2470639"/>
                          </a:xfrm>
                          <a:prstGeom prst="rect">
                            <a:avLst/>
                          </a:prstGeom>
                        </pic:spPr>
                      </pic:pic>
                    </a:graphicData>
                  </a:graphic>
                </wp:inline>
              </w:drawing>
            </w:r>
            <w:r>
              <w:rPr>
                <w:noProof/>
                <w:lang w:val="en-US"/>
              </w:rPr>
              <w:drawing>
                <wp:inline distT="0" distB="0" distL="0" distR="0">
                  <wp:extent cx="3349870" cy="2512126"/>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850Dmin150MCS19.png"/>
                          <pic:cNvPicPr/>
                        </pic:nvPicPr>
                        <pic:blipFill>
                          <a:blip r:embed="rId28">
                            <a:extLst>
                              <a:ext uri="{28A0092B-C50C-407E-A947-70E740481C1C}">
                                <a14:useLocalDpi xmlns:a14="http://schemas.microsoft.com/office/drawing/2010/main" val="0"/>
                              </a:ext>
                            </a:extLst>
                          </a:blip>
                          <a:stretch>
                            <a:fillRect/>
                          </a:stretch>
                        </pic:blipFill>
                        <pic:spPr>
                          <a:xfrm>
                            <a:off x="0" y="0"/>
                            <a:ext cx="3382383" cy="2536508"/>
                          </a:xfrm>
                          <a:prstGeom prst="rect">
                            <a:avLst/>
                          </a:prstGeom>
                        </pic:spPr>
                      </pic:pic>
                    </a:graphicData>
                  </a:graphic>
                </wp:inline>
              </w:drawing>
            </w:r>
          </w:p>
          <w:p w:rsidR="00FD2B7B" w:rsidRDefault="00FD2B7B" w:rsidP="00FD2B7B">
            <w:pPr>
              <w:spacing w:line="276" w:lineRule="auto"/>
              <w:jc w:val="center"/>
            </w:pPr>
            <w:r>
              <w:rPr>
                <w:noProof/>
                <w:lang w:val="en-US"/>
              </w:rPr>
              <w:drawing>
                <wp:inline distT="0" distB="0" distL="0" distR="0">
                  <wp:extent cx="3611102" cy="2708031"/>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850Dmin150MCS24.png"/>
                          <pic:cNvPicPr/>
                        </pic:nvPicPr>
                        <pic:blipFill>
                          <a:blip r:embed="rId29">
                            <a:extLst>
                              <a:ext uri="{28A0092B-C50C-407E-A947-70E740481C1C}">
                                <a14:useLocalDpi xmlns:a14="http://schemas.microsoft.com/office/drawing/2010/main" val="0"/>
                              </a:ext>
                            </a:extLst>
                          </a:blip>
                          <a:stretch>
                            <a:fillRect/>
                          </a:stretch>
                        </pic:blipFill>
                        <pic:spPr>
                          <a:xfrm>
                            <a:off x="0" y="0"/>
                            <a:ext cx="3646788" cy="2734793"/>
                          </a:xfrm>
                          <a:prstGeom prst="rect">
                            <a:avLst/>
                          </a:prstGeom>
                        </pic:spPr>
                      </pic:pic>
                    </a:graphicData>
                  </a:graphic>
                </wp:inline>
              </w:drawing>
            </w:r>
          </w:p>
          <w:p w:rsidR="00FD2B7B" w:rsidRDefault="00FD2B7B" w:rsidP="00FD2B7B">
            <w:pPr>
              <w:spacing w:line="276" w:lineRule="auto"/>
              <w:jc w:val="center"/>
            </w:pPr>
            <w:r>
              <w:rPr>
                <w:b/>
                <w:noProof/>
                <w:lang w:val="en-US"/>
              </w:rPr>
              <w:t>Figure 3</w:t>
            </w:r>
            <w:r>
              <w:rPr>
                <w:noProof/>
                <w:lang w:val="en-US"/>
              </w:rPr>
              <w:t xml:space="preserve">: PDSCH throughput for MCS = 16, 19 &amp; 24 for RRH spacing parameters Ds = 850, Dmin = </w:t>
            </w:r>
            <w:r w:rsidR="00D50EEB">
              <w:rPr>
                <w:noProof/>
                <w:lang w:val="en-US"/>
              </w:rPr>
              <w:t>150</w:t>
            </w:r>
          </w:p>
        </w:tc>
      </w:tr>
    </w:tbl>
    <w:p w:rsidR="00630820" w:rsidRPr="00093A85" w:rsidRDefault="00630820" w:rsidP="0006585F">
      <w:pPr>
        <w:spacing w:line="276" w:lineRule="auto"/>
      </w:pPr>
    </w:p>
    <w:sectPr w:rsidR="00630820" w:rsidRPr="00093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8"/>
  </w:num>
  <w:num w:numId="5">
    <w:abstractNumId w:val="2"/>
  </w:num>
  <w:num w:numId="6">
    <w:abstractNumId w:val="7"/>
  </w:num>
  <w:num w:numId="7">
    <w:abstractNumId w:val="10"/>
  </w:num>
  <w:num w:numId="8">
    <w:abstractNumId w:val="9"/>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53515"/>
    <w:rsid w:val="0006585F"/>
    <w:rsid w:val="00074A01"/>
    <w:rsid w:val="0009023B"/>
    <w:rsid w:val="00092418"/>
    <w:rsid w:val="00093A85"/>
    <w:rsid w:val="000A438B"/>
    <w:rsid w:val="00107458"/>
    <w:rsid w:val="00167D5E"/>
    <w:rsid w:val="001C6E10"/>
    <w:rsid w:val="001E07EB"/>
    <w:rsid w:val="00224CAC"/>
    <w:rsid w:val="00253D6A"/>
    <w:rsid w:val="002552AA"/>
    <w:rsid w:val="002714E1"/>
    <w:rsid w:val="00272A38"/>
    <w:rsid w:val="002D26FA"/>
    <w:rsid w:val="002D5A3E"/>
    <w:rsid w:val="002D6A34"/>
    <w:rsid w:val="002F1EF9"/>
    <w:rsid w:val="00307BAD"/>
    <w:rsid w:val="003218C5"/>
    <w:rsid w:val="003451F5"/>
    <w:rsid w:val="00357354"/>
    <w:rsid w:val="00373B71"/>
    <w:rsid w:val="00396BDD"/>
    <w:rsid w:val="003A0805"/>
    <w:rsid w:val="003A0943"/>
    <w:rsid w:val="003D40E1"/>
    <w:rsid w:val="0040252B"/>
    <w:rsid w:val="00405E53"/>
    <w:rsid w:val="00406EF5"/>
    <w:rsid w:val="004143C4"/>
    <w:rsid w:val="004177AB"/>
    <w:rsid w:val="00472E7E"/>
    <w:rsid w:val="004842C0"/>
    <w:rsid w:val="00497F00"/>
    <w:rsid w:val="004B6776"/>
    <w:rsid w:val="004D6890"/>
    <w:rsid w:val="005348F3"/>
    <w:rsid w:val="005401A8"/>
    <w:rsid w:val="005556C6"/>
    <w:rsid w:val="005602A4"/>
    <w:rsid w:val="005A46EA"/>
    <w:rsid w:val="005D4ECF"/>
    <w:rsid w:val="005E38FA"/>
    <w:rsid w:val="005E5A5A"/>
    <w:rsid w:val="005E63CB"/>
    <w:rsid w:val="00630820"/>
    <w:rsid w:val="006C5517"/>
    <w:rsid w:val="00740C16"/>
    <w:rsid w:val="00757D5C"/>
    <w:rsid w:val="0079163F"/>
    <w:rsid w:val="007A0C35"/>
    <w:rsid w:val="007A0FF6"/>
    <w:rsid w:val="007A3EEE"/>
    <w:rsid w:val="007A5EBE"/>
    <w:rsid w:val="007E6E66"/>
    <w:rsid w:val="00826A09"/>
    <w:rsid w:val="00833FB9"/>
    <w:rsid w:val="0083620D"/>
    <w:rsid w:val="00836A0E"/>
    <w:rsid w:val="0086709B"/>
    <w:rsid w:val="008C6F7B"/>
    <w:rsid w:val="008E1C25"/>
    <w:rsid w:val="00922E1D"/>
    <w:rsid w:val="00933305"/>
    <w:rsid w:val="00946DAE"/>
    <w:rsid w:val="00980544"/>
    <w:rsid w:val="009A7D4E"/>
    <w:rsid w:val="009D7BF9"/>
    <w:rsid w:val="009E77EC"/>
    <w:rsid w:val="00A5150A"/>
    <w:rsid w:val="00A57BBA"/>
    <w:rsid w:val="00A62F0C"/>
    <w:rsid w:val="00AA7860"/>
    <w:rsid w:val="00B21EAB"/>
    <w:rsid w:val="00B61F20"/>
    <w:rsid w:val="00B64183"/>
    <w:rsid w:val="00B65F49"/>
    <w:rsid w:val="00BB24D3"/>
    <w:rsid w:val="00BB7C24"/>
    <w:rsid w:val="00C00A49"/>
    <w:rsid w:val="00C126E0"/>
    <w:rsid w:val="00C14255"/>
    <w:rsid w:val="00C44130"/>
    <w:rsid w:val="00C924C4"/>
    <w:rsid w:val="00C95FFC"/>
    <w:rsid w:val="00CF3804"/>
    <w:rsid w:val="00D07EBD"/>
    <w:rsid w:val="00D441BD"/>
    <w:rsid w:val="00D50EEB"/>
    <w:rsid w:val="00D61FFF"/>
    <w:rsid w:val="00D657C0"/>
    <w:rsid w:val="00D949EE"/>
    <w:rsid w:val="00DF3066"/>
    <w:rsid w:val="00E107A1"/>
    <w:rsid w:val="00E2342C"/>
    <w:rsid w:val="00E24F55"/>
    <w:rsid w:val="00E6455A"/>
    <w:rsid w:val="00E731F1"/>
    <w:rsid w:val="00E73768"/>
    <w:rsid w:val="00E93C6E"/>
    <w:rsid w:val="00EC1BC8"/>
    <w:rsid w:val="00ED2F98"/>
    <w:rsid w:val="00EE03A9"/>
    <w:rsid w:val="00EF5917"/>
    <w:rsid w:val="00F217D9"/>
    <w:rsid w:val="00F468E9"/>
    <w:rsid w:val="00F5112C"/>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8.bin"/><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image" Target="media/image10.png"/><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4</cp:revision>
  <dcterms:created xsi:type="dcterms:W3CDTF">2016-02-08T22:04:00Z</dcterms:created>
  <dcterms:modified xsi:type="dcterms:W3CDTF">2016-02-08T22:06:00Z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134513611</vt:i4>
  </property>
  <property fmtid="{D5CDD505-2E9C-101B-9397-08002B2CF9AE}" pid="3" name="_NewReviewCycle">
    <vt:lpwstr/>
  </property>
  <property fmtid="{D5CDD505-2E9C-101B-9397-08002B2CF9AE}" pid="4" name="_EmailSubject">
    <vt:lpwstr>HST results for RAN4</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