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D5F" w:rsidRPr="008525F2" w:rsidRDefault="001D2D5F" w:rsidP="001D2D5F">
      <w:pPr>
        <w:widowControl w:val="0"/>
        <w:tabs>
          <w:tab w:val="right" w:pos="9639"/>
        </w:tabs>
        <w:spacing w:after="0"/>
        <w:rPr>
          <w:b/>
          <w:sz w:val="24"/>
          <w:szCs w:val="24"/>
          <w:lang w:val="sv-SE"/>
        </w:rPr>
      </w:pPr>
      <w:r w:rsidRPr="008525F2">
        <w:rPr>
          <w:b/>
          <w:sz w:val="24"/>
          <w:szCs w:val="24"/>
          <w:lang w:val="sv-SE"/>
        </w:rPr>
        <w:t xml:space="preserve">3GPP TSG-RAN </w:t>
      </w:r>
      <w:r w:rsidR="0009300E">
        <w:rPr>
          <w:b/>
          <w:sz w:val="24"/>
          <w:szCs w:val="24"/>
          <w:lang w:val="sv-SE"/>
        </w:rPr>
        <w:t>WG4 #77</w:t>
      </w:r>
      <w:r w:rsidRPr="008525F2">
        <w:rPr>
          <w:b/>
          <w:sz w:val="24"/>
          <w:szCs w:val="24"/>
          <w:lang w:val="sv-SE"/>
        </w:rPr>
        <w:tab/>
      </w:r>
      <w:r w:rsidR="005A4456" w:rsidRPr="008525F2">
        <w:rPr>
          <w:b/>
          <w:sz w:val="24"/>
          <w:szCs w:val="24"/>
          <w:lang w:val="sv-SE"/>
        </w:rPr>
        <w:t>R4-157945</w:t>
      </w:r>
    </w:p>
    <w:p w:rsidR="001D2D5F" w:rsidRPr="008525F2" w:rsidRDefault="005A4456" w:rsidP="001D2D5F">
      <w:pPr>
        <w:pStyle w:val="Header"/>
        <w:rPr>
          <w:rFonts w:ascii="Times New Roman" w:hAnsi="Times New Roman"/>
          <w:noProof w:val="0"/>
          <w:lang w:val="en-GB"/>
        </w:rPr>
      </w:pPr>
      <w:r w:rsidRPr="008525F2">
        <w:rPr>
          <w:rFonts w:ascii="Times New Roman" w:eastAsia="Times New Roman" w:hAnsi="Times New Roman"/>
          <w:bCs/>
          <w:noProof w:val="0"/>
          <w:sz w:val="22"/>
          <w:lang w:val="en-GB" w:eastAsia="ja-JP"/>
        </w:rPr>
        <w:t>Anaheim</w:t>
      </w:r>
      <w:r w:rsidR="001D2D5F" w:rsidRPr="008525F2">
        <w:rPr>
          <w:rFonts w:ascii="Times New Roman" w:eastAsia="Times New Roman" w:hAnsi="Times New Roman"/>
          <w:bCs/>
          <w:noProof w:val="0"/>
          <w:sz w:val="22"/>
          <w:lang w:val="en-GB" w:eastAsia="ja-JP"/>
        </w:rPr>
        <w:t xml:space="preserve">, </w:t>
      </w:r>
      <w:r w:rsidRPr="008525F2">
        <w:rPr>
          <w:rFonts w:ascii="Times New Roman" w:eastAsia="Times New Roman" w:hAnsi="Times New Roman"/>
          <w:bCs/>
          <w:noProof w:val="0"/>
          <w:sz w:val="22"/>
          <w:lang w:val="en-GB" w:eastAsia="ja-JP"/>
        </w:rPr>
        <w:t>USA</w:t>
      </w:r>
      <w:r w:rsidR="001D2D5F" w:rsidRPr="008525F2">
        <w:rPr>
          <w:rFonts w:ascii="Times New Roman" w:eastAsia="Times New Roman" w:hAnsi="Times New Roman"/>
          <w:bCs/>
          <w:noProof w:val="0"/>
          <w:sz w:val="22"/>
          <w:lang w:val="en-GB" w:eastAsia="ja-JP"/>
        </w:rPr>
        <w:t xml:space="preserve">, </w:t>
      </w:r>
      <w:r w:rsidRPr="008525F2">
        <w:rPr>
          <w:rFonts w:ascii="Times New Roman" w:eastAsia="Times New Roman" w:hAnsi="Times New Roman"/>
          <w:bCs/>
          <w:noProof w:val="0"/>
          <w:sz w:val="22"/>
          <w:lang w:val="en-GB" w:eastAsia="ja-JP"/>
        </w:rPr>
        <w:t xml:space="preserve">November </w:t>
      </w:r>
      <w:r w:rsidR="001D2D5F" w:rsidRPr="008525F2">
        <w:rPr>
          <w:rFonts w:ascii="Times New Roman" w:eastAsia="Times New Roman" w:hAnsi="Times New Roman"/>
          <w:bCs/>
          <w:noProof w:val="0"/>
          <w:sz w:val="22"/>
          <w:lang w:val="en-GB" w:eastAsia="ja-JP"/>
        </w:rPr>
        <w:t>1</w:t>
      </w:r>
      <w:r w:rsidRPr="008525F2">
        <w:rPr>
          <w:rFonts w:ascii="Times New Roman" w:eastAsia="Times New Roman" w:hAnsi="Times New Roman"/>
          <w:bCs/>
          <w:noProof w:val="0"/>
          <w:sz w:val="22"/>
          <w:lang w:val="en-GB" w:eastAsia="ja-JP"/>
        </w:rPr>
        <w:t>6</w:t>
      </w:r>
      <w:r w:rsidRPr="008525F2">
        <w:rPr>
          <w:rFonts w:ascii="Times New Roman" w:eastAsia="Times New Roman" w:hAnsi="Times New Roman"/>
          <w:bCs/>
          <w:noProof w:val="0"/>
          <w:sz w:val="22"/>
          <w:vertAlign w:val="superscript"/>
          <w:lang w:val="en-GB" w:eastAsia="ja-JP"/>
        </w:rPr>
        <w:t>th</w:t>
      </w:r>
      <w:r w:rsidR="001D2D5F" w:rsidRPr="008525F2">
        <w:rPr>
          <w:rFonts w:ascii="Times New Roman" w:eastAsia="Times New Roman" w:hAnsi="Times New Roman"/>
          <w:bCs/>
          <w:noProof w:val="0"/>
          <w:sz w:val="22"/>
          <w:lang w:val="en-GB" w:eastAsia="ja-JP"/>
        </w:rPr>
        <w:t xml:space="preserve"> – </w:t>
      </w:r>
      <w:r w:rsidRPr="008525F2">
        <w:rPr>
          <w:rFonts w:ascii="Times New Roman" w:eastAsia="Times New Roman" w:hAnsi="Times New Roman"/>
          <w:bCs/>
          <w:noProof w:val="0"/>
          <w:sz w:val="22"/>
          <w:lang w:val="en-GB" w:eastAsia="ja-JP"/>
        </w:rPr>
        <w:t>20</w:t>
      </w:r>
      <w:r w:rsidR="001D2D5F" w:rsidRPr="008525F2">
        <w:rPr>
          <w:rFonts w:ascii="Times New Roman" w:eastAsia="Times New Roman" w:hAnsi="Times New Roman"/>
          <w:bCs/>
          <w:noProof w:val="0"/>
          <w:sz w:val="22"/>
          <w:vertAlign w:val="superscript"/>
          <w:lang w:val="en-GB" w:eastAsia="ja-JP"/>
        </w:rPr>
        <w:t>th</w:t>
      </w:r>
      <w:r w:rsidR="001D2D5F" w:rsidRPr="008525F2">
        <w:rPr>
          <w:rFonts w:ascii="Times New Roman" w:eastAsia="Times New Roman" w:hAnsi="Times New Roman"/>
          <w:bCs/>
          <w:noProof w:val="0"/>
          <w:sz w:val="22"/>
          <w:lang w:val="en-GB" w:eastAsia="ja-JP"/>
        </w:rPr>
        <w:t xml:space="preserve">   2015</w:t>
      </w:r>
    </w:p>
    <w:p w:rsidR="001D2D5F" w:rsidRPr="008525F2" w:rsidRDefault="001D2D5F" w:rsidP="001D2D5F">
      <w:pPr>
        <w:pStyle w:val="Header"/>
        <w:rPr>
          <w:rFonts w:ascii="Times New Roman" w:hAnsi="Times New Roman"/>
          <w:noProof w:val="0"/>
          <w:lang w:val="en-GB"/>
        </w:rPr>
      </w:pPr>
    </w:p>
    <w:p w:rsidR="001D2D5F" w:rsidRPr="008525F2" w:rsidRDefault="001D2D5F" w:rsidP="001D2D5F">
      <w:pPr>
        <w:pStyle w:val="Footer"/>
        <w:rPr>
          <w:rFonts w:ascii="Times New Roman" w:hAnsi="Times New Roman"/>
          <w:noProof w:val="0"/>
        </w:rPr>
      </w:pPr>
    </w:p>
    <w:p w:rsidR="001D2D5F" w:rsidRPr="008525F2" w:rsidRDefault="001D2D5F" w:rsidP="001D2D5F">
      <w:pPr>
        <w:tabs>
          <w:tab w:val="left" w:pos="1985"/>
        </w:tabs>
        <w:rPr>
          <w:sz w:val="24"/>
          <w:lang w:val="en-US"/>
        </w:rPr>
      </w:pPr>
      <w:r w:rsidRPr="008525F2">
        <w:rPr>
          <w:b/>
          <w:sz w:val="24"/>
          <w:lang w:val="en-US"/>
        </w:rPr>
        <w:t xml:space="preserve">Source: </w:t>
      </w:r>
      <w:r w:rsidRPr="008525F2">
        <w:rPr>
          <w:b/>
          <w:sz w:val="24"/>
          <w:lang w:val="en-US"/>
        </w:rPr>
        <w:tab/>
      </w:r>
      <w:r w:rsidRPr="008525F2">
        <w:rPr>
          <w:sz w:val="24"/>
          <w:lang w:val="en-US"/>
        </w:rPr>
        <w:t>Qualcomm Incorporated</w:t>
      </w:r>
    </w:p>
    <w:p w:rsidR="001D2D5F" w:rsidRPr="008525F2" w:rsidRDefault="001D2D5F" w:rsidP="001D2D5F">
      <w:pPr>
        <w:tabs>
          <w:tab w:val="left" w:pos="1985"/>
        </w:tabs>
        <w:ind w:left="1980" w:hanging="1980"/>
        <w:rPr>
          <w:sz w:val="24"/>
          <w:szCs w:val="24"/>
        </w:rPr>
      </w:pPr>
      <w:r w:rsidRPr="008525F2">
        <w:rPr>
          <w:b/>
          <w:sz w:val="24"/>
          <w:lang w:val="en-US"/>
        </w:rPr>
        <w:t>Title:</w:t>
      </w:r>
      <w:r w:rsidRPr="008525F2">
        <w:rPr>
          <w:sz w:val="24"/>
          <w:lang w:val="en-US"/>
        </w:rPr>
        <w:t xml:space="preserve"> </w:t>
      </w:r>
      <w:r w:rsidRPr="008525F2">
        <w:rPr>
          <w:sz w:val="24"/>
          <w:lang w:val="en-US"/>
        </w:rPr>
        <w:tab/>
      </w:r>
      <w:r w:rsidR="005A4456" w:rsidRPr="008525F2">
        <w:rPr>
          <w:sz w:val="24"/>
          <w:lang w:val="en-US"/>
        </w:rPr>
        <w:t>Further discussion o</w:t>
      </w:r>
      <w:r w:rsidRPr="008525F2">
        <w:rPr>
          <w:sz w:val="24"/>
          <w:szCs w:val="24"/>
        </w:rPr>
        <w:t>n legacy test applicability and procedure for 4 Rx UE</w:t>
      </w:r>
    </w:p>
    <w:p w:rsidR="001D2D5F" w:rsidRPr="008525F2" w:rsidRDefault="001D2D5F" w:rsidP="001D2D5F">
      <w:pPr>
        <w:tabs>
          <w:tab w:val="left" w:pos="1985"/>
        </w:tabs>
        <w:jc w:val="both"/>
        <w:rPr>
          <w:b/>
          <w:sz w:val="24"/>
          <w:szCs w:val="24"/>
          <w:lang w:eastAsia="zh-CN"/>
        </w:rPr>
      </w:pPr>
      <w:r w:rsidRPr="008525F2">
        <w:rPr>
          <w:b/>
          <w:sz w:val="22"/>
        </w:rPr>
        <w:t>Agenda Item:</w:t>
      </w:r>
      <w:r w:rsidRPr="008525F2">
        <w:rPr>
          <w:b/>
          <w:sz w:val="22"/>
        </w:rPr>
        <w:tab/>
      </w:r>
      <w:r w:rsidRPr="008525F2">
        <w:rPr>
          <w:sz w:val="24"/>
          <w:szCs w:val="24"/>
        </w:rPr>
        <w:t>7.8.1</w:t>
      </w:r>
    </w:p>
    <w:p w:rsidR="001D2D5F" w:rsidRPr="008525F2" w:rsidRDefault="001D2D5F" w:rsidP="001D2D5F">
      <w:pPr>
        <w:tabs>
          <w:tab w:val="left" w:pos="1985"/>
        </w:tabs>
        <w:ind w:left="1980" w:hanging="1980"/>
        <w:rPr>
          <w:sz w:val="24"/>
          <w:lang w:val="en-US"/>
        </w:rPr>
      </w:pPr>
      <w:r w:rsidRPr="008525F2">
        <w:rPr>
          <w:b/>
          <w:sz w:val="24"/>
          <w:lang w:val="en-US"/>
        </w:rPr>
        <w:t>Document for:</w:t>
      </w:r>
      <w:r w:rsidRPr="008525F2">
        <w:rPr>
          <w:sz w:val="24"/>
          <w:lang w:val="en-US"/>
        </w:rPr>
        <w:tab/>
        <w:t>Discussion</w:t>
      </w:r>
    </w:p>
    <w:p w:rsidR="001D2D5F" w:rsidRPr="008525F2" w:rsidRDefault="001D2D5F" w:rsidP="001D2D5F">
      <w:pPr>
        <w:pStyle w:val="Heading1"/>
        <w:spacing w:line="276" w:lineRule="auto"/>
        <w:rPr>
          <w:rFonts w:ascii="Times New Roman" w:hAnsi="Times New Roman"/>
          <w:lang w:val="en-US"/>
        </w:rPr>
      </w:pPr>
      <w:r w:rsidRPr="008525F2">
        <w:rPr>
          <w:rFonts w:ascii="Times New Roman" w:hAnsi="Times New Roman"/>
          <w:lang w:val="en-US"/>
        </w:rPr>
        <w:t>Introduction</w:t>
      </w:r>
    </w:p>
    <w:p w:rsidR="005A4456" w:rsidRPr="008525F2" w:rsidRDefault="009E3E49" w:rsidP="00700C5C">
      <w:pPr>
        <w:keepNext/>
        <w:spacing w:before="240" w:after="120" w:line="276" w:lineRule="auto"/>
        <w:rPr>
          <w:lang w:val="en-US"/>
        </w:rPr>
      </w:pPr>
      <w:r w:rsidRPr="008525F2">
        <w:rPr>
          <w:noProof/>
          <w:lang w:val="en-US"/>
        </w:rPr>
        <mc:AlternateContent>
          <mc:Choice Requires="wps">
            <w:drawing>
              <wp:anchor distT="45720" distB="45720" distL="114300" distR="114300" simplePos="0" relativeHeight="251663360" behindDoc="0" locked="0" layoutInCell="1" allowOverlap="1" wp14:anchorId="53AD258F" wp14:editId="3486D02B">
                <wp:simplePos x="0" y="0"/>
                <wp:positionH relativeFrom="margin">
                  <wp:posOffset>0</wp:posOffset>
                </wp:positionH>
                <wp:positionV relativeFrom="paragraph">
                  <wp:posOffset>735965</wp:posOffset>
                </wp:positionV>
                <wp:extent cx="5655310" cy="1404620"/>
                <wp:effectExtent l="0" t="0" r="2159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5310" cy="1404620"/>
                        </a:xfrm>
                        <a:prstGeom prst="rect">
                          <a:avLst/>
                        </a:prstGeom>
                        <a:solidFill>
                          <a:srgbClr val="FFFFFF"/>
                        </a:solidFill>
                        <a:ln w="9525">
                          <a:solidFill>
                            <a:srgbClr val="000000"/>
                          </a:solidFill>
                          <a:miter lim="800000"/>
                          <a:headEnd/>
                          <a:tailEnd/>
                        </a:ln>
                      </wps:spPr>
                      <wps:txbx>
                        <w:txbxContent>
                          <w:p w:rsidR="009E3E49" w:rsidRPr="00B63D5A" w:rsidRDefault="009E3E49" w:rsidP="009E3E49">
                            <w:pPr>
                              <w:widowControl w:val="0"/>
                              <w:numPr>
                                <w:ilvl w:val="0"/>
                                <w:numId w:val="2"/>
                              </w:numPr>
                              <w:tabs>
                                <w:tab w:val="clear" w:pos="720"/>
                                <w:tab w:val="left" w:pos="709"/>
                              </w:tabs>
                              <w:spacing w:after="0"/>
                              <w:jc w:val="both"/>
                              <w:rPr>
                                <w:rFonts w:asciiTheme="minorHAnsi" w:eastAsia="SimSun" w:hAnsiTheme="minorHAnsi"/>
                                <w:i/>
                                <w:lang w:val="en-US"/>
                              </w:rPr>
                            </w:pPr>
                            <w:r w:rsidRPr="00B63D5A">
                              <w:rPr>
                                <w:rFonts w:asciiTheme="minorHAnsi" w:hAnsiTheme="minorHAnsi"/>
                                <w:i/>
                              </w:rPr>
                              <w:t>Option 1: Connect 2 of the 4 Rx with data source from SS to perform 2Rx tests, depending on the UE’s declaration and AP configuration, keeping the same requirements as 2Rx tests.</w:t>
                            </w:r>
                          </w:p>
                          <w:p w:rsidR="009E3E49" w:rsidRPr="00B63D5A" w:rsidRDefault="009E3E49" w:rsidP="009E3E49">
                            <w:pPr>
                              <w:widowControl w:val="0"/>
                              <w:numPr>
                                <w:ilvl w:val="0"/>
                                <w:numId w:val="2"/>
                              </w:numPr>
                              <w:tabs>
                                <w:tab w:val="clear" w:pos="720"/>
                                <w:tab w:val="left" w:pos="709"/>
                              </w:tabs>
                              <w:spacing w:after="0"/>
                              <w:jc w:val="both"/>
                              <w:rPr>
                                <w:rFonts w:asciiTheme="minorHAnsi" w:hAnsiTheme="minorHAnsi"/>
                                <w:i/>
                              </w:rPr>
                            </w:pPr>
                            <w:r w:rsidRPr="00B63D5A">
                              <w:rPr>
                                <w:rFonts w:asciiTheme="minorHAnsi" w:hAnsiTheme="minorHAnsi"/>
                                <w:i/>
                              </w:rPr>
                              <w:t>Option 2: Connect all 4 of the 4 Rx with data source from SS to perform 2Rx tests, keeping the same requirements as 2Rx tests.</w:t>
                            </w:r>
                          </w:p>
                          <w:p w:rsidR="009E3E49" w:rsidRPr="00B63D5A" w:rsidRDefault="009E3E49" w:rsidP="009E3E49">
                            <w:pPr>
                              <w:widowControl w:val="0"/>
                              <w:numPr>
                                <w:ilvl w:val="0"/>
                                <w:numId w:val="2"/>
                              </w:numPr>
                              <w:tabs>
                                <w:tab w:val="clear" w:pos="720"/>
                                <w:tab w:val="left" w:pos="709"/>
                              </w:tabs>
                              <w:spacing w:after="0"/>
                              <w:jc w:val="both"/>
                              <w:rPr>
                                <w:rFonts w:asciiTheme="minorHAnsi" w:hAnsiTheme="minorHAnsi"/>
                              </w:rPr>
                            </w:pPr>
                            <w:r w:rsidRPr="00B63D5A">
                              <w:rPr>
                                <w:rFonts w:asciiTheme="minorHAnsi" w:hAnsiTheme="minorHAnsi"/>
                                <w:i/>
                              </w:rPr>
                              <w:t>Option 3: Mixed Option 1 and 2 case by case.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3AD258F" id="_x0000_t202" coordsize="21600,21600" o:spt="202" path="m,l,21600r21600,l21600,xe">
                <v:stroke joinstyle="miter"/>
                <v:path gradientshapeok="t" o:connecttype="rect"/>
              </v:shapetype>
              <v:shape id="Text Box 2" o:spid="_x0000_s1026" type="#_x0000_t202" style="position:absolute;margin-left:0;margin-top:57.95pt;width:445.3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g0f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">
                <v:textbox style="mso-fit-shape-to-text:t">
                  <w:txbxContent>
                    <w:p w:rsidR="009E3E49" w:rsidRPr="00B63D5A" w:rsidRDefault="009E3E49" w:rsidP="009E3E49">
                      <w:pPr>
                        <w:widowControl w:val="0"/>
                        <w:numPr>
                          <w:ilvl w:val="0"/>
                          <w:numId w:val="2"/>
                        </w:numPr>
                        <w:tabs>
                          <w:tab w:val="clear" w:pos="720"/>
                          <w:tab w:val="left" w:pos="709"/>
                        </w:tabs>
                        <w:spacing w:after="0"/>
                        <w:jc w:val="both"/>
                        <w:rPr>
                          <w:rFonts w:asciiTheme="minorHAnsi" w:eastAsia="SimSun" w:hAnsiTheme="minorHAnsi"/>
                          <w:i/>
                          <w:lang w:val="en-US"/>
                        </w:rPr>
                      </w:pPr>
                      <w:r w:rsidRPr="00B63D5A">
                        <w:rPr>
                          <w:rFonts w:asciiTheme="minorHAnsi" w:hAnsiTheme="minorHAnsi"/>
                          <w:i/>
                        </w:rPr>
                        <w:t>Option 1: Connect 2 of the 4 Rx with data source from SS to perform 2Rx tests, depending on the UE’s declaration and AP configuration, keeping the same requirements as 2Rx tests.</w:t>
                      </w:r>
                    </w:p>
                    <w:p w:rsidR="009E3E49" w:rsidRPr="00B63D5A" w:rsidRDefault="009E3E49" w:rsidP="009E3E49">
                      <w:pPr>
                        <w:widowControl w:val="0"/>
                        <w:numPr>
                          <w:ilvl w:val="0"/>
                          <w:numId w:val="2"/>
                        </w:numPr>
                        <w:tabs>
                          <w:tab w:val="clear" w:pos="720"/>
                          <w:tab w:val="left" w:pos="709"/>
                        </w:tabs>
                        <w:spacing w:after="0"/>
                        <w:jc w:val="both"/>
                        <w:rPr>
                          <w:rFonts w:asciiTheme="minorHAnsi" w:hAnsiTheme="minorHAnsi"/>
                          <w:i/>
                        </w:rPr>
                      </w:pPr>
                      <w:r w:rsidRPr="00B63D5A">
                        <w:rPr>
                          <w:rFonts w:asciiTheme="minorHAnsi" w:hAnsiTheme="minorHAnsi"/>
                          <w:i/>
                        </w:rPr>
                        <w:t>Option 2: Connect all 4 of the 4 Rx with data source from SS to perform 2Rx tests, keeping the same requirements as 2Rx tests.</w:t>
                      </w:r>
                    </w:p>
                    <w:p w:rsidR="009E3E49" w:rsidRPr="00B63D5A" w:rsidRDefault="009E3E49" w:rsidP="009E3E49">
                      <w:pPr>
                        <w:widowControl w:val="0"/>
                        <w:numPr>
                          <w:ilvl w:val="0"/>
                          <w:numId w:val="2"/>
                        </w:numPr>
                        <w:tabs>
                          <w:tab w:val="clear" w:pos="720"/>
                          <w:tab w:val="left" w:pos="709"/>
                        </w:tabs>
                        <w:spacing w:after="0"/>
                        <w:jc w:val="both"/>
                        <w:rPr>
                          <w:rFonts w:asciiTheme="minorHAnsi" w:hAnsiTheme="minorHAnsi"/>
                        </w:rPr>
                      </w:pPr>
                      <w:r w:rsidRPr="00B63D5A">
                        <w:rPr>
                          <w:rFonts w:asciiTheme="minorHAnsi" w:hAnsiTheme="minorHAnsi"/>
                          <w:i/>
                        </w:rPr>
                        <w:t>Option 3: Mixed Option 1 and 2 case by case.</w:t>
                      </w:r>
                    </w:p>
                  </w:txbxContent>
                </v:textbox>
                <w10:wrap type="square" anchorx="margin"/>
              </v:shape>
            </w:pict>
          </mc:Fallback>
        </mc:AlternateContent>
      </w:r>
      <w:r w:rsidR="001D2D5F" w:rsidRPr="008525F2">
        <w:rPr>
          <w:lang w:val="en-US"/>
        </w:rPr>
        <w:t xml:space="preserve">In RAN4 #76, RAN4 arrived at the consensus that </w:t>
      </w:r>
      <w:r w:rsidR="001D2D5F" w:rsidRPr="008525F2">
        <w:t xml:space="preserve">all legacy 2Rx tests (RRM, RLM, </w:t>
      </w:r>
      <w:proofErr w:type="spellStart"/>
      <w:r w:rsidR="001D2D5F" w:rsidRPr="008525F2">
        <w:t>demod</w:t>
      </w:r>
      <w:proofErr w:type="spellEnd"/>
      <w:r w:rsidR="001D2D5F" w:rsidRPr="008525F2">
        <w:t xml:space="preserve"> and CSI) need to be verified by 4Rx UE unless the 4Rx applicability rules indicate that they do not need to be verified [1]</w:t>
      </w:r>
      <w:r w:rsidR="001D2D5F" w:rsidRPr="008525F2">
        <w:rPr>
          <w:lang w:val="en-US"/>
        </w:rPr>
        <w:t xml:space="preserve">. </w:t>
      </w:r>
      <w:r w:rsidR="00496184" w:rsidRPr="008525F2">
        <w:rPr>
          <w:lang w:val="en-US"/>
        </w:rPr>
        <w:t>In RAN4 #76-BIS, we proposed that</w:t>
      </w:r>
      <w:r w:rsidRPr="008525F2">
        <w:rPr>
          <w:lang w:val="en-US"/>
        </w:rPr>
        <w:t>,</w:t>
      </w:r>
      <w:r w:rsidR="00496184" w:rsidRPr="008525F2">
        <w:rPr>
          <w:lang w:val="en-US"/>
        </w:rPr>
        <w:t xml:space="preserve"> in order to perform legacy tests, </w:t>
      </w:r>
      <w:r w:rsidRPr="008525F2">
        <w:rPr>
          <w:lang w:val="en-US"/>
        </w:rPr>
        <w:t>data source from SS should be connected to all 4APs of the 4Rx UE [2]. Our proposal was accepted as one of the options in the way forward [3]:</w:t>
      </w:r>
    </w:p>
    <w:p w:rsidR="005A4456" w:rsidRPr="008525F2" w:rsidRDefault="005A4456" w:rsidP="00700C5C">
      <w:pPr>
        <w:keepNext/>
        <w:spacing w:before="240" w:after="120" w:line="276" w:lineRule="auto"/>
        <w:rPr>
          <w:color w:val="000000"/>
          <w:lang w:val="en-US"/>
        </w:rPr>
      </w:pPr>
      <w:r w:rsidRPr="008525F2">
        <w:rPr>
          <w:lang w:val="en-US"/>
        </w:rPr>
        <w:t xml:space="preserve">In </w:t>
      </w:r>
      <w:r w:rsidR="00496184" w:rsidRPr="008525F2">
        <w:rPr>
          <w:lang w:val="en-US"/>
        </w:rPr>
        <w:t>thi</w:t>
      </w:r>
      <w:r w:rsidR="009E3E49" w:rsidRPr="008525F2">
        <w:rPr>
          <w:lang w:val="en-US"/>
        </w:rPr>
        <w:t xml:space="preserve">s contribution, we elaborate on our proposal </w:t>
      </w:r>
      <w:r w:rsidR="00FB748C">
        <w:rPr>
          <w:lang w:val="en-US"/>
        </w:rPr>
        <w:t>(Option 2).</w:t>
      </w:r>
      <w:r w:rsidR="009E3E49" w:rsidRPr="008525F2">
        <w:rPr>
          <w:lang w:val="en-US"/>
        </w:rPr>
        <w:t xml:space="preserve"> </w:t>
      </w:r>
    </w:p>
    <w:p w:rsidR="00496184" w:rsidRDefault="00B760FB" w:rsidP="00700C5C">
      <w:pPr>
        <w:pStyle w:val="Heading1"/>
        <w:spacing w:line="276" w:lineRule="auto"/>
        <w:rPr>
          <w:rFonts w:ascii="Times New Roman" w:hAnsi="Times New Roman"/>
          <w:lang w:val="en-US"/>
        </w:rPr>
      </w:pPr>
      <w:r>
        <w:rPr>
          <w:rFonts w:ascii="Times New Roman" w:hAnsi="Times New Roman"/>
          <w:lang w:val="en-US"/>
        </w:rPr>
        <w:t>Discussion</w:t>
      </w:r>
    </w:p>
    <w:p w:rsidR="00FB748C" w:rsidRPr="00FB748C" w:rsidRDefault="00FB748C" w:rsidP="00FB748C">
      <w:pPr>
        <w:rPr>
          <w:lang w:val="en-US"/>
        </w:rPr>
      </w:pPr>
      <w:r>
        <w:rPr>
          <w:lang w:val="en-US"/>
        </w:rPr>
        <w:t>In this section, we first discuss legacy testing for a 4Rx UE that exclusively supports 2Rx on a subset of bands that it supports.</w:t>
      </w:r>
      <w:r w:rsidR="002B045E">
        <w:rPr>
          <w:lang w:val="en-US"/>
        </w:rPr>
        <w:t xml:space="preserve"> Then</w:t>
      </w:r>
      <w:r>
        <w:rPr>
          <w:lang w:val="en-US"/>
        </w:rPr>
        <w:t xml:space="preserve">, we </w:t>
      </w:r>
      <w:r w:rsidR="002B045E">
        <w:rPr>
          <w:lang w:val="en-US"/>
        </w:rPr>
        <w:t xml:space="preserve">consider the case of a 4Rx UE that supports 4Rx on all bands that it supports. For legacy testing of </w:t>
      </w:r>
      <w:r w:rsidR="0009300E">
        <w:rPr>
          <w:lang w:val="en-US"/>
        </w:rPr>
        <w:t>4Rx UEs supporting 4Rx on all bands</w:t>
      </w:r>
      <w:r w:rsidR="002B045E">
        <w:rPr>
          <w:lang w:val="en-US"/>
        </w:rPr>
        <w:t xml:space="preserve">, we discuss the </w:t>
      </w:r>
      <w:r>
        <w:rPr>
          <w:lang w:val="en-US"/>
        </w:rPr>
        <w:t xml:space="preserve">methodology </w:t>
      </w:r>
      <w:r w:rsidR="002B045E">
        <w:rPr>
          <w:lang w:val="en-US"/>
        </w:rPr>
        <w:t xml:space="preserve">of extending legacy test cases, modifying test-points and setting requirements. </w:t>
      </w:r>
    </w:p>
    <w:p w:rsidR="00FB748C" w:rsidRPr="008525F2" w:rsidRDefault="00FB748C" w:rsidP="00FB748C">
      <w:pPr>
        <w:pStyle w:val="Heading2"/>
        <w:spacing w:line="276" w:lineRule="auto"/>
        <w:rPr>
          <w:rFonts w:ascii="Times New Roman" w:hAnsi="Times New Roman"/>
          <w:lang w:val="en-US"/>
        </w:rPr>
      </w:pPr>
      <w:r w:rsidRPr="008525F2">
        <w:rPr>
          <w:rFonts w:ascii="Times New Roman" w:hAnsi="Times New Roman"/>
          <w:lang w:val="en-US"/>
        </w:rPr>
        <w:t xml:space="preserve">Legacy testing for UEs supporting 2Rx bands </w:t>
      </w:r>
    </w:p>
    <w:p w:rsidR="00FB748C" w:rsidRPr="008525F2" w:rsidRDefault="00FB748C" w:rsidP="00FB748C">
      <w:pPr>
        <w:spacing w:line="276" w:lineRule="auto"/>
        <w:rPr>
          <w:lang w:val="en-US"/>
        </w:rPr>
      </w:pPr>
      <w:r w:rsidRPr="008525F2">
        <w:rPr>
          <w:lang w:val="en-US"/>
        </w:rPr>
        <w:t xml:space="preserve">A 4Rx UE may not support 4Rx operation on all bands that it supports. Rather, it may have the capability to support only 2Rx operation on a subset of bands and 4Rx operation on the rest of the bands that it supports. In such a case, it is not clear how the legacy tests should be verified. In particular, two choices stand out: </w:t>
      </w:r>
    </w:p>
    <w:p w:rsidR="00FB748C" w:rsidRPr="008525F2" w:rsidRDefault="00FB748C" w:rsidP="00FB748C">
      <w:pPr>
        <w:pStyle w:val="ListParagraph"/>
        <w:numPr>
          <w:ilvl w:val="0"/>
          <w:numId w:val="5"/>
        </w:numPr>
        <w:spacing w:line="276" w:lineRule="auto"/>
        <w:rPr>
          <w:lang w:val="en-US"/>
        </w:rPr>
      </w:pPr>
      <w:r w:rsidRPr="008525F2">
        <w:rPr>
          <w:lang w:val="en-US"/>
        </w:rPr>
        <w:t>Legacy tests should be performed on one of the bands belonging to the subset of bands where UE supports only 2Rx operation, or</w:t>
      </w:r>
    </w:p>
    <w:p w:rsidR="00FB748C" w:rsidRPr="008525F2" w:rsidRDefault="00FB748C" w:rsidP="00FB748C">
      <w:pPr>
        <w:pStyle w:val="ListParagraph"/>
        <w:numPr>
          <w:ilvl w:val="0"/>
          <w:numId w:val="5"/>
        </w:numPr>
        <w:spacing w:line="276" w:lineRule="auto"/>
        <w:rPr>
          <w:lang w:val="en-US"/>
        </w:rPr>
      </w:pPr>
      <w:r w:rsidRPr="008525F2">
        <w:rPr>
          <w:lang w:val="en-US"/>
        </w:rPr>
        <w:t>The extended legacy tests (with all 4APs of the UE connected to SS) should be performed on one of the bands belonging to the subset of bands where UE supports 4Rx operation.</w:t>
      </w:r>
    </w:p>
    <w:p w:rsidR="00FB748C" w:rsidRDefault="00FB748C" w:rsidP="00FB748C">
      <w:pPr>
        <w:spacing w:line="276" w:lineRule="auto"/>
        <w:rPr>
          <w:lang w:val="en-US"/>
        </w:rPr>
      </w:pPr>
      <w:r w:rsidRPr="008525F2">
        <w:rPr>
          <w:lang w:val="en-US"/>
        </w:rPr>
        <w:t xml:space="preserve">Since </w:t>
      </w:r>
      <w:proofErr w:type="spellStart"/>
      <w:r w:rsidRPr="008525F2">
        <w:rPr>
          <w:lang w:val="en-US"/>
        </w:rPr>
        <w:t>demod</w:t>
      </w:r>
      <w:proofErr w:type="spellEnd"/>
      <w:r w:rsidRPr="008525F2">
        <w:rPr>
          <w:lang w:val="en-US"/>
        </w:rPr>
        <w:t xml:space="preserve"> and CSI test cases are supposed to be band agnostic, either of the above two options seem reasonable. However, in the band where the UE supports only 2Rx operation, the UE really is only a 2Rx UE. Hence, to ensure performance of the UE on such bands, choice (a) above is the only reasonable choice. By exercising choice (a), the purpose of conducting legacy test cases, i.e., to avoid any coverage holes, will be automatically served. Additionally exercising choice (b) will be redundant, hence there is no need to exercise choice (b).</w:t>
      </w:r>
    </w:p>
    <w:p w:rsidR="00B760FB" w:rsidRPr="00FB748C" w:rsidRDefault="00B760FB" w:rsidP="00B760FB">
      <w:pPr>
        <w:spacing w:line="276" w:lineRule="auto"/>
        <w:rPr>
          <w:lang w:val="en-US"/>
        </w:rPr>
      </w:pPr>
      <w:r>
        <w:rPr>
          <w:b/>
          <w:lang w:val="en-US"/>
        </w:rPr>
        <w:lastRenderedPageBreak/>
        <w:t>Proposal 1</w:t>
      </w:r>
      <w:r w:rsidRPr="008525F2">
        <w:rPr>
          <w:b/>
          <w:lang w:val="en-US"/>
        </w:rPr>
        <w:t>: If a 4Rx UE</w:t>
      </w:r>
      <w:r w:rsidR="0009300E">
        <w:rPr>
          <w:b/>
          <w:lang w:val="en-US"/>
        </w:rPr>
        <w:t xml:space="preserve"> </w:t>
      </w:r>
      <w:r w:rsidRPr="008525F2">
        <w:rPr>
          <w:b/>
          <w:lang w:val="en-US"/>
        </w:rPr>
        <w:t xml:space="preserve">supports 2Rx operation on a subset of the bands, then all the band agnostic legacy test cases </w:t>
      </w:r>
      <w:r w:rsidR="00702A8D">
        <w:rPr>
          <w:b/>
          <w:lang w:val="en-US"/>
        </w:rPr>
        <w:t xml:space="preserve">including demodulation, CSI and RRM tests </w:t>
      </w:r>
      <w:r w:rsidRPr="008525F2">
        <w:rPr>
          <w:b/>
          <w:lang w:val="en-US"/>
        </w:rPr>
        <w:t xml:space="preserve">should be performed on one of the bands where UE supports 2Rx operation. </w:t>
      </w:r>
    </w:p>
    <w:p w:rsidR="00B760FB" w:rsidRDefault="00B760FB" w:rsidP="00B760FB">
      <w:pPr>
        <w:spacing w:line="276" w:lineRule="auto"/>
        <w:rPr>
          <w:lang w:val="en-US"/>
        </w:rPr>
      </w:pPr>
      <w:r>
        <w:rPr>
          <w:lang w:val="en-US"/>
        </w:rPr>
        <w:t xml:space="preserve">For the RRM test cases, there are band agnostic tests and band dependent tests (measurement accuracy). The band dependent tests should be run with 4Rx configurations for the bands in which the UE supports 4Rx. The band agnostic test cases could be run in any band (with 2Rx or 4Rx), however, the tests should not be run in each configuration as this would dramatically increase the UE test time. </w:t>
      </w:r>
    </w:p>
    <w:p w:rsidR="00B760FB" w:rsidRPr="008525F2" w:rsidRDefault="00B760FB" w:rsidP="00FB748C">
      <w:pPr>
        <w:spacing w:line="276" w:lineRule="auto"/>
        <w:rPr>
          <w:lang w:val="en-US"/>
        </w:rPr>
      </w:pPr>
      <w:r>
        <w:rPr>
          <w:b/>
          <w:lang w:val="en-US"/>
        </w:rPr>
        <w:t>Proposal 2</w:t>
      </w:r>
      <w:r w:rsidRPr="004407B4">
        <w:rPr>
          <w:b/>
          <w:lang w:val="en-US"/>
        </w:rPr>
        <w:t>: Band dependent RRM test cases should be run with 4Rx configurations in the bands where UE supports 4Rx</w:t>
      </w:r>
      <w:r w:rsidR="00702A8D">
        <w:rPr>
          <w:b/>
          <w:lang w:val="en-US"/>
        </w:rPr>
        <w:t xml:space="preserve"> and with 2Rx </w:t>
      </w:r>
      <w:r w:rsidR="00702A8D" w:rsidRPr="004407B4">
        <w:rPr>
          <w:b/>
          <w:lang w:val="en-US"/>
        </w:rPr>
        <w:t xml:space="preserve">configurations in the bands where UE supports </w:t>
      </w:r>
      <w:r w:rsidR="00702A8D">
        <w:rPr>
          <w:b/>
          <w:lang w:val="en-US"/>
        </w:rPr>
        <w:t>2</w:t>
      </w:r>
      <w:r w:rsidR="00702A8D" w:rsidRPr="004407B4">
        <w:rPr>
          <w:b/>
          <w:lang w:val="en-US"/>
        </w:rPr>
        <w:t>Rx</w:t>
      </w:r>
      <w:r w:rsidRPr="004407B4">
        <w:rPr>
          <w:b/>
          <w:lang w:val="en-US"/>
        </w:rPr>
        <w:t xml:space="preserve">. </w:t>
      </w:r>
    </w:p>
    <w:p w:rsidR="008F3E6D" w:rsidRDefault="008F3E6D" w:rsidP="00700C5C">
      <w:pPr>
        <w:pStyle w:val="Heading2"/>
        <w:spacing w:line="276" w:lineRule="auto"/>
        <w:rPr>
          <w:rFonts w:ascii="Times New Roman" w:hAnsi="Times New Roman"/>
          <w:lang w:val="en-US"/>
        </w:rPr>
      </w:pPr>
      <w:r>
        <w:rPr>
          <w:rFonts w:ascii="Times New Roman" w:hAnsi="Times New Roman"/>
          <w:lang w:val="en-US"/>
        </w:rPr>
        <w:t xml:space="preserve">Legacy testing for UEs that supports 4Rx on all bands </w:t>
      </w:r>
    </w:p>
    <w:p w:rsidR="004B5DF3" w:rsidRPr="008525F2" w:rsidRDefault="008F3E6D" w:rsidP="008F3E6D">
      <w:pPr>
        <w:pStyle w:val="Heading3"/>
        <w:numPr>
          <w:ilvl w:val="0"/>
          <w:numId w:val="0"/>
        </w:numPr>
        <w:rPr>
          <w:rFonts w:ascii="Times New Roman" w:hAnsi="Times New Roman"/>
          <w:lang w:val="en-US"/>
        </w:rPr>
      </w:pPr>
      <w:r w:rsidRPr="008525F2">
        <w:rPr>
          <w:rFonts w:ascii="Times New Roman" w:hAnsi="Times New Roman"/>
        </w:rPr>
        <w:t xml:space="preserve">2.2.1 </w:t>
      </w:r>
      <w:r>
        <w:rPr>
          <w:rFonts w:ascii="Times New Roman" w:hAnsi="Times New Roman"/>
        </w:rPr>
        <w:t xml:space="preserve">Extension </w:t>
      </w:r>
      <w:r w:rsidR="00B760FB">
        <w:rPr>
          <w:rFonts w:ascii="Times New Roman" w:hAnsi="Times New Roman"/>
        </w:rPr>
        <w:t xml:space="preserve">of </w:t>
      </w:r>
      <w:r>
        <w:rPr>
          <w:rFonts w:ascii="Times New Roman" w:hAnsi="Times New Roman"/>
        </w:rPr>
        <w:t xml:space="preserve">legacy test cases to 4Rx antenna configuration </w:t>
      </w:r>
    </w:p>
    <w:p w:rsidR="008A7E37" w:rsidRPr="008525F2" w:rsidRDefault="00B22EE8" w:rsidP="00700C5C">
      <w:pPr>
        <w:spacing w:line="276" w:lineRule="auto"/>
        <w:rPr>
          <w:lang w:val="en-US"/>
        </w:rPr>
      </w:pPr>
      <w:r w:rsidRPr="008525F2">
        <w:rPr>
          <w:lang w:val="en-US"/>
        </w:rPr>
        <w:t xml:space="preserve">First of all, we note that, </w:t>
      </w:r>
      <w:r w:rsidR="003A6CF4" w:rsidRPr="008525F2">
        <w:rPr>
          <w:lang w:val="en-US"/>
        </w:rPr>
        <w:t xml:space="preserve">all </w:t>
      </w:r>
      <w:r w:rsidRPr="008525F2">
        <w:rPr>
          <w:lang w:val="en-US"/>
        </w:rPr>
        <w:t>legacy 2Rx tests are defined assuming 2APs at the UE. Hence, for e</w:t>
      </w:r>
      <w:r w:rsidR="004546F5" w:rsidRPr="008525F2">
        <w:rPr>
          <w:lang w:val="en-US"/>
        </w:rPr>
        <w:t xml:space="preserve">ach </w:t>
      </w:r>
      <w:r w:rsidR="007A1BAC" w:rsidRPr="008525F2">
        <w:rPr>
          <w:lang w:val="en-US"/>
        </w:rPr>
        <w:t xml:space="preserve">legacy 2Rx test case, the correlation matrix corresponding to antenna configuration </w:t>
      </w:r>
      <w:proofErr w:type="spellStart"/>
      <w:r w:rsidRPr="008525F2">
        <w:rPr>
          <w:lang w:val="en-US"/>
        </w:rPr>
        <w:t>NTx</w:t>
      </w:r>
      <w:proofErr w:type="spellEnd"/>
      <w:r w:rsidRPr="008525F2">
        <w:rPr>
          <w:lang w:val="en-US"/>
        </w:rPr>
        <w:t xml:space="preserve"> x 2</w:t>
      </w:r>
      <w:r w:rsidR="007A1BAC" w:rsidRPr="008525F2">
        <w:rPr>
          <w:lang w:val="en-US"/>
        </w:rPr>
        <w:t xml:space="preserve"> is specified, where </w:t>
      </w:r>
      <w:proofErr w:type="spellStart"/>
      <w:r w:rsidR="007A1BAC" w:rsidRPr="008525F2">
        <w:rPr>
          <w:lang w:val="en-US"/>
        </w:rPr>
        <w:t>NTx</w:t>
      </w:r>
      <w:proofErr w:type="spellEnd"/>
      <w:r w:rsidR="007A1BAC" w:rsidRPr="008525F2">
        <w:rPr>
          <w:lang w:val="en-US"/>
        </w:rPr>
        <w:t xml:space="preserve"> is the number of transmit antennas specified for the test. In order to extend legacy 2Rx test cases to 4Rx, such that all 4APs are connected with data source from SS, we need to specify the correlation matrix corresponding to </w:t>
      </w:r>
      <w:proofErr w:type="spellStart"/>
      <w:r w:rsidR="007A1BAC" w:rsidRPr="008525F2">
        <w:rPr>
          <w:lang w:val="en-US"/>
        </w:rPr>
        <w:t>NTx</w:t>
      </w:r>
      <w:proofErr w:type="spellEnd"/>
      <w:r w:rsidR="007A1BAC" w:rsidRPr="008525F2">
        <w:rPr>
          <w:lang w:val="en-US"/>
        </w:rPr>
        <w:t xml:space="preserve"> x 4 antenna configuration. </w:t>
      </w:r>
      <w:r w:rsidR="008A7E37" w:rsidRPr="008525F2">
        <w:rPr>
          <w:lang w:val="en-US"/>
        </w:rPr>
        <w:t xml:space="preserve">In TS-36.101, legacy test cases are defined for three types of channel correlations: low, medium and high. In this section, we propose a method of extending the correlation matrix to </w:t>
      </w:r>
      <w:proofErr w:type="spellStart"/>
      <w:r w:rsidR="008A7E37" w:rsidRPr="008525F2">
        <w:rPr>
          <w:lang w:val="en-US"/>
        </w:rPr>
        <w:t>NTx</w:t>
      </w:r>
      <w:proofErr w:type="spellEnd"/>
      <w:r w:rsidR="008A7E37" w:rsidRPr="008525F2">
        <w:rPr>
          <w:lang w:val="en-US"/>
        </w:rPr>
        <w:t xml:space="preserve"> x 4 antenna configuration.</w:t>
      </w:r>
    </w:p>
    <w:p w:rsidR="004546F5" w:rsidRPr="008525F2" w:rsidRDefault="004425E2" w:rsidP="00700C5C">
      <w:pPr>
        <w:spacing w:line="276" w:lineRule="auto"/>
        <w:rPr>
          <w:lang w:val="en-US"/>
        </w:rPr>
      </w:pPr>
      <w:r w:rsidRPr="008525F2">
        <w:rPr>
          <w:lang w:val="en-US"/>
        </w:rPr>
        <w:t xml:space="preserve">For </w:t>
      </w:r>
      <w:r w:rsidR="008A7E37" w:rsidRPr="008525F2">
        <w:rPr>
          <w:lang w:val="en-US"/>
        </w:rPr>
        <w:t xml:space="preserve">legacy test cases defined with </w:t>
      </w:r>
      <w:r w:rsidRPr="008525F2">
        <w:rPr>
          <w:lang w:val="en-US"/>
        </w:rPr>
        <w:t xml:space="preserve">low correlation, the extension of the correlation matrix is straightforward. We propose that </w:t>
      </w:r>
      <w:r w:rsidR="004546F5" w:rsidRPr="008525F2">
        <w:rPr>
          <w:lang w:val="en-US"/>
        </w:rPr>
        <w:t>corresponding to the antenna configuration (</w:t>
      </w:r>
      <w:proofErr w:type="spellStart"/>
      <w:r w:rsidR="004546F5" w:rsidRPr="008525F2">
        <w:rPr>
          <w:lang w:val="en-US"/>
        </w:rPr>
        <w:t>NTx</w:t>
      </w:r>
      <w:proofErr w:type="spellEnd"/>
      <w:r w:rsidR="004546F5" w:rsidRPr="008525F2">
        <w:rPr>
          <w:lang w:val="en-US"/>
        </w:rPr>
        <w:t xml:space="preserve"> x 4) of </w:t>
      </w:r>
      <w:r w:rsidR="00755DB7" w:rsidRPr="008525F2">
        <w:rPr>
          <w:lang w:val="en-US"/>
        </w:rPr>
        <w:t>the</w:t>
      </w:r>
      <w:r w:rsidR="004546F5" w:rsidRPr="008525F2">
        <w:rPr>
          <w:lang w:val="en-US"/>
        </w:rPr>
        <w:t xml:space="preserve"> extended </w:t>
      </w:r>
      <w:r w:rsidR="003E22D1" w:rsidRPr="008525F2">
        <w:rPr>
          <w:lang w:val="en-US"/>
        </w:rPr>
        <w:t xml:space="preserve">legacy </w:t>
      </w:r>
      <w:r w:rsidR="004546F5" w:rsidRPr="008525F2">
        <w:rPr>
          <w:lang w:val="en-US"/>
        </w:rPr>
        <w:t xml:space="preserve">test case, </w:t>
      </w:r>
      <w:r w:rsidR="00755DB7" w:rsidRPr="008525F2">
        <w:rPr>
          <w:lang w:val="en-US"/>
        </w:rPr>
        <w:t>the correlation matrix is also low</w:t>
      </w:r>
      <w:r w:rsidR="004546F5" w:rsidRPr="008525F2">
        <w:rPr>
          <w:lang w:val="en-US"/>
        </w:rPr>
        <w:t xml:space="preserve"> correlation</w:t>
      </w:r>
      <w:r w:rsidR="00755DB7" w:rsidRPr="008525F2">
        <w:rPr>
          <w:lang w:val="en-US"/>
        </w:rPr>
        <w:t xml:space="preserve">. In essence, that implies that </w:t>
      </w:r>
      <w:r w:rsidR="00CF3BFF" w:rsidRPr="008525F2">
        <w:rPr>
          <w:lang w:val="en-US"/>
        </w:rPr>
        <w:t>for th</w:t>
      </w:r>
      <w:r w:rsidR="004546F5" w:rsidRPr="008525F2">
        <w:rPr>
          <w:lang w:val="en-US"/>
        </w:rPr>
        <w:t>e extended test case</w:t>
      </w:r>
      <w:r w:rsidR="00CF3BFF" w:rsidRPr="008525F2">
        <w:rPr>
          <w:lang w:val="en-US"/>
        </w:rPr>
        <w:t xml:space="preserve"> </w:t>
      </w:r>
      <w:proofErr w:type="spellStart"/>
      <w:r w:rsidR="00755DB7" w:rsidRPr="008525F2">
        <w:rPr>
          <w:lang w:val="en-US"/>
        </w:rPr>
        <w:t>Tx</w:t>
      </w:r>
      <w:proofErr w:type="spellEnd"/>
      <w:r w:rsidR="00755DB7" w:rsidRPr="008525F2">
        <w:rPr>
          <w:lang w:val="en-US"/>
        </w:rPr>
        <w:t xml:space="preserve">-correlation factor </w:t>
      </w:r>
      <m:oMath>
        <m:r>
          <w:rPr>
            <w:rFonts w:ascii="Cambria Math" w:hAnsi="Cambria Math"/>
            <w:lang w:val="en-US"/>
          </w:rPr>
          <m:t>α=0</m:t>
        </m:r>
      </m:oMath>
      <w:r w:rsidR="00755DB7" w:rsidRPr="008525F2">
        <w:rPr>
          <w:lang w:val="en-US"/>
        </w:rPr>
        <w:t xml:space="preserve"> </w:t>
      </w:r>
      <w:r w:rsidR="00CF3BFF" w:rsidRPr="008525F2">
        <w:rPr>
          <w:lang w:val="en-US"/>
        </w:rPr>
        <w:t xml:space="preserve"> and t</w:t>
      </w:r>
      <w:r w:rsidR="004546F5" w:rsidRPr="008525F2">
        <w:rPr>
          <w:lang w:val="en-US"/>
        </w:rPr>
        <w:t xml:space="preserve">he Rx-correlation factor β = 0.  </w:t>
      </w:r>
      <w:r w:rsidR="00CF3BFF" w:rsidRPr="008525F2">
        <w:rPr>
          <w:lang w:val="en-US"/>
        </w:rPr>
        <w:t>For legacy test cases defined with high-correlatio</w:t>
      </w:r>
      <w:r w:rsidR="004546F5" w:rsidRPr="008525F2">
        <w:rPr>
          <w:lang w:val="en-US"/>
        </w:rPr>
        <w:t>n, we propose that the</w:t>
      </w:r>
      <w:r w:rsidR="00CF3BFF" w:rsidRPr="008525F2">
        <w:rPr>
          <w:lang w:val="en-US"/>
        </w:rPr>
        <w:t xml:space="preserve"> correlation matrix, corresponding to the </w:t>
      </w:r>
      <w:proofErr w:type="spellStart"/>
      <w:r w:rsidR="00CF3BFF" w:rsidRPr="008525F2">
        <w:rPr>
          <w:lang w:val="en-US"/>
        </w:rPr>
        <w:t>NTx</w:t>
      </w:r>
      <w:proofErr w:type="spellEnd"/>
      <w:r w:rsidR="00CF3BFF" w:rsidRPr="008525F2">
        <w:rPr>
          <w:lang w:val="en-US"/>
        </w:rPr>
        <w:t xml:space="preserve"> x 4 antenna configuration</w:t>
      </w:r>
      <w:r w:rsidR="008A7E37" w:rsidRPr="008525F2">
        <w:rPr>
          <w:lang w:val="en-US"/>
        </w:rPr>
        <w:t xml:space="preserve">, </w:t>
      </w:r>
      <w:r w:rsidR="004546F5" w:rsidRPr="008525F2">
        <w:rPr>
          <w:lang w:val="en-US"/>
        </w:rPr>
        <w:t xml:space="preserve">is also </w:t>
      </w:r>
      <w:r w:rsidR="008A7E37" w:rsidRPr="008525F2">
        <w:rPr>
          <w:lang w:val="en-US"/>
        </w:rPr>
        <w:t>high</w:t>
      </w:r>
      <w:r w:rsidR="004546F5" w:rsidRPr="008525F2">
        <w:rPr>
          <w:lang w:val="en-US"/>
        </w:rPr>
        <w:t xml:space="preserve"> correlation</w:t>
      </w:r>
      <w:r w:rsidR="008A7E37" w:rsidRPr="008525F2">
        <w:rPr>
          <w:lang w:val="en-US"/>
        </w:rPr>
        <w:t xml:space="preserve">. That implies that the correlation matrix corresponding to the </w:t>
      </w:r>
      <w:proofErr w:type="spellStart"/>
      <w:r w:rsidR="008A7E37" w:rsidRPr="008525F2">
        <w:rPr>
          <w:lang w:val="en-US"/>
        </w:rPr>
        <w:t>NTx</w:t>
      </w:r>
      <w:proofErr w:type="spellEnd"/>
      <w:r w:rsidR="008A7E37" w:rsidRPr="008525F2">
        <w:rPr>
          <w:lang w:val="en-US"/>
        </w:rPr>
        <w:t xml:space="preserve"> x 4 antenna configuration will have a </w:t>
      </w:r>
      <w:proofErr w:type="spellStart"/>
      <w:r w:rsidR="008A7E37" w:rsidRPr="008525F2">
        <w:rPr>
          <w:lang w:val="en-US"/>
        </w:rPr>
        <w:t>Tx</w:t>
      </w:r>
      <w:proofErr w:type="spellEnd"/>
      <w:r w:rsidR="008A7E37" w:rsidRPr="008525F2">
        <w:rPr>
          <w:lang w:val="en-US"/>
        </w:rPr>
        <w:t xml:space="preserve">-correlation factor </w:t>
      </w:r>
      <m:oMath>
        <m:r>
          <w:rPr>
            <w:rFonts w:ascii="Cambria Math" w:hAnsi="Cambria Math"/>
            <w:lang w:val="en-US"/>
          </w:rPr>
          <m:t>α=0.9</m:t>
        </m:r>
      </m:oMath>
      <w:r w:rsidR="008A7E37" w:rsidRPr="008525F2">
        <w:rPr>
          <w:lang w:val="en-US"/>
        </w:rPr>
        <w:t xml:space="preserve">  and the Rx-correlation factor β = 0</w:t>
      </w:r>
      <w:r w:rsidR="004546F5" w:rsidRPr="008525F2">
        <w:rPr>
          <w:lang w:val="en-US"/>
        </w:rPr>
        <w:t xml:space="preserve">.9. </w:t>
      </w:r>
    </w:p>
    <w:p w:rsidR="004546F5" w:rsidRPr="008525F2" w:rsidRDefault="004546F5" w:rsidP="00700C5C">
      <w:pPr>
        <w:spacing w:line="276" w:lineRule="auto"/>
        <w:rPr>
          <w:lang w:val="en-US"/>
        </w:rPr>
      </w:pPr>
      <w:r w:rsidRPr="008525F2">
        <w:rPr>
          <w:lang w:val="en-US"/>
        </w:rPr>
        <w:t>Corresponding to legacy test cases with low and high correlation, desired correlation matrix for</w:t>
      </w:r>
      <w:r w:rsidR="003E22D1" w:rsidRPr="008525F2">
        <w:rPr>
          <w:lang w:val="en-US"/>
        </w:rPr>
        <w:t xml:space="preserve"> the</w:t>
      </w:r>
      <w:r w:rsidRPr="008525F2">
        <w:rPr>
          <w:lang w:val="en-US"/>
        </w:rPr>
        <w:t xml:space="preserve"> extended legacy test case (with </w:t>
      </w:r>
      <w:proofErr w:type="spellStart"/>
      <w:r w:rsidRPr="008525F2">
        <w:rPr>
          <w:lang w:val="en-US"/>
        </w:rPr>
        <w:t>NTx</w:t>
      </w:r>
      <w:proofErr w:type="spellEnd"/>
      <w:r w:rsidRPr="008525F2">
        <w:rPr>
          <w:lang w:val="en-US"/>
        </w:rPr>
        <w:t xml:space="preserve"> x 4 antenna configuration) can be derived following the rule specified in Annex </w:t>
      </w:r>
      <w:r w:rsidRPr="008525F2">
        <w:t>B.2.3.1 of TS-36.101</w:t>
      </w:r>
      <w:r w:rsidR="003E22D1" w:rsidRPr="008525F2">
        <w:t xml:space="preserve"> by </w:t>
      </w:r>
      <w:r w:rsidR="003E22D1" w:rsidRPr="008525F2">
        <w:rPr>
          <w:lang w:val="en-US"/>
        </w:rPr>
        <w:t>setting the suitable values of α and β as described above.</w:t>
      </w:r>
    </w:p>
    <w:p w:rsidR="00700C5C" w:rsidRPr="008525F2" w:rsidRDefault="00700C5C" w:rsidP="00700C5C">
      <w:pPr>
        <w:spacing w:line="276" w:lineRule="auto"/>
        <w:rPr>
          <w:lang w:val="en-US"/>
        </w:rPr>
      </w:pPr>
      <w:r w:rsidRPr="008525F2">
        <w:t xml:space="preserve">For </w:t>
      </w:r>
      <w:r w:rsidRPr="008525F2">
        <w:rPr>
          <w:lang w:val="en-US"/>
        </w:rPr>
        <w:t xml:space="preserve">legacy test cases defined with medium-correlation, RAN4 will need to rely on the new medium correlation channel, which is </w:t>
      </w:r>
      <w:r w:rsidR="003E22D1" w:rsidRPr="008525F2">
        <w:rPr>
          <w:lang w:val="en-US"/>
        </w:rPr>
        <w:t>currently under consideration [4</w:t>
      </w:r>
      <w:r w:rsidRPr="008525F2">
        <w:rPr>
          <w:lang w:val="en-US"/>
        </w:rPr>
        <w:t>]. In case RAN4 defines new test cases, under the new medium correlation channel for a 4Rx UE, such that it encompasses a 2Rx legacy test, and has a tighter requirement than the legacy test, then the legacy test case maybe skipped.</w:t>
      </w:r>
    </w:p>
    <w:p w:rsidR="004D0F6F" w:rsidRPr="008525F2" w:rsidRDefault="00B760FB" w:rsidP="004D0F6F">
      <w:pPr>
        <w:spacing w:line="276" w:lineRule="auto"/>
        <w:rPr>
          <w:b/>
          <w:lang w:val="en-US"/>
        </w:rPr>
      </w:pPr>
      <w:r>
        <w:rPr>
          <w:b/>
        </w:rPr>
        <w:t>Proposal 3</w:t>
      </w:r>
      <w:r w:rsidR="004D0F6F" w:rsidRPr="008525F2">
        <w:rPr>
          <w:b/>
        </w:rPr>
        <w:t xml:space="preserve">: </w:t>
      </w:r>
      <w:r w:rsidR="004D0F6F" w:rsidRPr="008525F2">
        <w:rPr>
          <w:b/>
          <w:lang w:val="en-US"/>
        </w:rPr>
        <w:t xml:space="preserve">Legacy 2Rx test cases can be extended to 4Rx such that the correlation matrix corresponding to the </w:t>
      </w:r>
      <w:proofErr w:type="spellStart"/>
      <w:r w:rsidR="004D0F6F" w:rsidRPr="008525F2">
        <w:rPr>
          <w:b/>
          <w:lang w:val="en-US"/>
        </w:rPr>
        <w:t>NTx</w:t>
      </w:r>
      <w:proofErr w:type="spellEnd"/>
      <w:r w:rsidR="004D0F6F" w:rsidRPr="008525F2">
        <w:rPr>
          <w:b/>
          <w:lang w:val="en-US"/>
        </w:rPr>
        <w:t xml:space="preserve"> x 4 antenna configuration is:</w:t>
      </w:r>
    </w:p>
    <w:p w:rsidR="004D0F6F" w:rsidRPr="008525F2" w:rsidRDefault="004D0F6F" w:rsidP="004D0F6F">
      <w:pPr>
        <w:pStyle w:val="ListParagraph"/>
        <w:numPr>
          <w:ilvl w:val="0"/>
          <w:numId w:val="9"/>
        </w:numPr>
        <w:spacing w:line="276" w:lineRule="auto"/>
        <w:rPr>
          <w:b/>
          <w:lang w:val="en-US"/>
        </w:rPr>
      </w:pPr>
      <w:r w:rsidRPr="008525F2">
        <w:rPr>
          <w:b/>
          <w:lang w:val="en-US"/>
        </w:rPr>
        <w:t xml:space="preserve">Obtained by setting </w:t>
      </w:r>
      <w:proofErr w:type="spellStart"/>
      <w:proofErr w:type="gramStart"/>
      <w:r w:rsidRPr="008525F2">
        <w:rPr>
          <w:b/>
          <w:lang w:val="en-US"/>
        </w:rPr>
        <w:t>Tx</w:t>
      </w:r>
      <w:proofErr w:type="spellEnd"/>
      <w:proofErr w:type="gramEnd"/>
      <w:r w:rsidRPr="008525F2">
        <w:rPr>
          <w:b/>
          <w:lang w:val="en-US"/>
        </w:rPr>
        <w:t xml:space="preserve"> correlation α = 0, and Rx correlation β= 0, if the legacy test case was tested under low correlation.</w:t>
      </w:r>
    </w:p>
    <w:p w:rsidR="004D0F6F" w:rsidRPr="008525F2" w:rsidRDefault="004D0F6F" w:rsidP="004D0F6F">
      <w:pPr>
        <w:pStyle w:val="ListParagraph"/>
        <w:numPr>
          <w:ilvl w:val="0"/>
          <w:numId w:val="9"/>
        </w:numPr>
        <w:spacing w:line="276" w:lineRule="auto"/>
        <w:rPr>
          <w:b/>
          <w:lang w:val="en-US"/>
        </w:rPr>
      </w:pPr>
      <w:r w:rsidRPr="008525F2">
        <w:rPr>
          <w:b/>
          <w:lang w:val="en-US"/>
        </w:rPr>
        <w:t xml:space="preserve">Obtained by setting </w:t>
      </w:r>
      <w:proofErr w:type="spellStart"/>
      <w:proofErr w:type="gramStart"/>
      <w:r w:rsidRPr="008525F2">
        <w:rPr>
          <w:b/>
          <w:lang w:val="en-US"/>
        </w:rPr>
        <w:t>Tx</w:t>
      </w:r>
      <w:proofErr w:type="spellEnd"/>
      <w:proofErr w:type="gramEnd"/>
      <w:r w:rsidRPr="008525F2">
        <w:rPr>
          <w:b/>
          <w:lang w:val="en-US"/>
        </w:rPr>
        <w:t xml:space="preserve"> correlation α = 0.9, and Rx correlation β= 0.9, if the legacy test case was tested under high correlation.</w:t>
      </w:r>
    </w:p>
    <w:p w:rsidR="004D0F6F" w:rsidRPr="008525F2" w:rsidRDefault="004D0F6F" w:rsidP="004D0F6F">
      <w:pPr>
        <w:pStyle w:val="ListParagraph"/>
        <w:numPr>
          <w:ilvl w:val="0"/>
          <w:numId w:val="9"/>
        </w:numPr>
        <w:spacing w:line="276" w:lineRule="auto"/>
        <w:rPr>
          <w:b/>
          <w:lang w:val="en-US"/>
        </w:rPr>
      </w:pPr>
      <w:r w:rsidRPr="008525F2">
        <w:rPr>
          <w:b/>
          <w:lang w:val="en-US"/>
        </w:rPr>
        <w:t>Obtained by considering the new medium correlation under study in RAN4, if the legacy test case was tested under medium correlation.</w:t>
      </w:r>
    </w:p>
    <w:p w:rsidR="007C4A69" w:rsidRPr="008525F2" w:rsidRDefault="007C4A69" w:rsidP="00700C5C">
      <w:pPr>
        <w:spacing w:line="276" w:lineRule="auto"/>
      </w:pPr>
      <w:r w:rsidRPr="008525F2">
        <w:rPr>
          <w:lang w:val="en-US"/>
        </w:rPr>
        <w:lastRenderedPageBreak/>
        <w:t>For a subset of test cases, correla</w:t>
      </w:r>
      <w:r w:rsidR="00F2109F" w:rsidRPr="008525F2">
        <w:rPr>
          <w:lang w:val="en-US"/>
        </w:rPr>
        <w:t>tion is not explicitly defined. F</w:t>
      </w:r>
      <w:r w:rsidRPr="008525F2">
        <w:rPr>
          <w:lang w:val="en-US"/>
        </w:rPr>
        <w:t xml:space="preserve">or example </w:t>
      </w:r>
      <w:r w:rsidR="00F2109F" w:rsidRPr="008525F2">
        <w:rPr>
          <w:lang w:val="en-US"/>
        </w:rPr>
        <w:t>in CSI t</w:t>
      </w:r>
      <w:r w:rsidRPr="008525F2">
        <w:rPr>
          <w:lang w:val="en-US"/>
        </w:rPr>
        <w:t xml:space="preserve">est </w:t>
      </w:r>
      <w:r w:rsidRPr="008525F2">
        <w:t>9.3.1.1.1</w:t>
      </w:r>
      <w:r w:rsidR="00BF269D" w:rsidRPr="008525F2">
        <w:rPr>
          <w:lang w:val="en-US"/>
        </w:rPr>
        <w:t xml:space="preserve"> of 36.101,</w:t>
      </w:r>
      <w:r w:rsidR="00F2109F" w:rsidRPr="008525F2">
        <w:rPr>
          <w:lang w:val="en-US"/>
        </w:rPr>
        <w:t xml:space="preserve"> the specified channel has the </w:t>
      </w:r>
      <w:r w:rsidRPr="008525F2">
        <w:t xml:space="preserve">same multi-path profile between each </w:t>
      </w:r>
      <w:proofErr w:type="spellStart"/>
      <w:r w:rsidRPr="008525F2">
        <w:t>Tx</w:t>
      </w:r>
      <w:proofErr w:type="spellEnd"/>
      <w:r w:rsidRPr="008525F2">
        <w:t xml:space="preserve">-Rx pair (Annex B.2.4 of 36.101). </w:t>
      </w:r>
      <w:r w:rsidR="001A5752" w:rsidRPr="008525F2">
        <w:t xml:space="preserve">Since each </w:t>
      </w:r>
      <w:proofErr w:type="spellStart"/>
      <w:r w:rsidR="001A5752" w:rsidRPr="008525F2">
        <w:t>Tx</w:t>
      </w:r>
      <w:proofErr w:type="spellEnd"/>
      <w:r w:rsidR="001A5752" w:rsidRPr="008525F2">
        <w:t xml:space="preserve">-Rx pair has the same multi-path profile, </w:t>
      </w:r>
      <w:r w:rsidRPr="008525F2">
        <w:t xml:space="preserve">the extension of </w:t>
      </w:r>
      <w:proofErr w:type="spellStart"/>
      <w:r w:rsidRPr="008525F2">
        <w:t>NTx</w:t>
      </w:r>
      <w:proofErr w:type="spellEnd"/>
      <w:r w:rsidRPr="008525F2">
        <w:t xml:space="preserve"> x 2 channel matrix to </w:t>
      </w:r>
      <w:proofErr w:type="spellStart"/>
      <w:r w:rsidRPr="008525F2">
        <w:t>NTx</w:t>
      </w:r>
      <w:proofErr w:type="spellEnd"/>
      <w:r w:rsidRPr="008525F2">
        <w:t xml:space="preserve"> x 4 channel matrix is straightforward, i.e., </w:t>
      </w:r>
      <w:r w:rsidR="001A5752" w:rsidRPr="008525F2">
        <w:t xml:space="preserve">in the extended test case </w:t>
      </w:r>
      <w:r w:rsidR="00F2109F" w:rsidRPr="008525F2">
        <w:t xml:space="preserve">each </w:t>
      </w:r>
      <w:proofErr w:type="spellStart"/>
      <w:r w:rsidR="001A5752" w:rsidRPr="008525F2">
        <w:t>Tx</w:t>
      </w:r>
      <w:proofErr w:type="spellEnd"/>
      <w:r w:rsidR="001A5752" w:rsidRPr="008525F2">
        <w:t xml:space="preserve">-Rx pair of the </w:t>
      </w:r>
      <w:proofErr w:type="spellStart"/>
      <w:r w:rsidR="001A5752" w:rsidRPr="008525F2">
        <w:t>NTx</w:t>
      </w:r>
      <w:proofErr w:type="spellEnd"/>
      <w:r w:rsidR="001A5752" w:rsidRPr="008525F2">
        <w:t xml:space="preserve"> x 4 channel will </w:t>
      </w:r>
      <w:r w:rsidR="00F2109F" w:rsidRPr="008525F2">
        <w:t>have the same multipath profile, all of which will be identical to the multipath profile of the original legacy test case.</w:t>
      </w:r>
    </w:p>
    <w:p w:rsidR="000F3FDD" w:rsidRDefault="00B760FB" w:rsidP="00700C5C">
      <w:pPr>
        <w:spacing w:line="276" w:lineRule="auto"/>
        <w:rPr>
          <w:b/>
          <w:lang w:val="en-US"/>
        </w:rPr>
      </w:pPr>
      <w:r>
        <w:rPr>
          <w:b/>
          <w:lang w:val="en-US"/>
        </w:rPr>
        <w:t>Proposal 4</w:t>
      </w:r>
      <w:r w:rsidR="004D0F6F" w:rsidRPr="008525F2">
        <w:rPr>
          <w:b/>
          <w:lang w:val="en-US"/>
        </w:rPr>
        <w:t xml:space="preserve">: </w:t>
      </w:r>
      <w:r w:rsidR="00D76BAD" w:rsidRPr="008525F2">
        <w:rPr>
          <w:b/>
          <w:lang w:val="en-US"/>
        </w:rPr>
        <w:t xml:space="preserve">Legacy test cases, </w:t>
      </w:r>
      <w:r w:rsidR="004D0F6F" w:rsidRPr="008525F2">
        <w:rPr>
          <w:b/>
          <w:lang w:val="en-US"/>
        </w:rPr>
        <w:t xml:space="preserve">where the channel profile is specified by the same multipath profile for each </w:t>
      </w:r>
      <w:proofErr w:type="spellStart"/>
      <w:r w:rsidR="004D0F6F" w:rsidRPr="008525F2">
        <w:rPr>
          <w:b/>
          <w:lang w:val="en-US"/>
        </w:rPr>
        <w:t>Tx</w:t>
      </w:r>
      <w:proofErr w:type="spellEnd"/>
      <w:r w:rsidR="004D0F6F" w:rsidRPr="008525F2">
        <w:rPr>
          <w:b/>
          <w:lang w:val="en-US"/>
        </w:rPr>
        <w:t>-Rx pai</w:t>
      </w:r>
      <w:r w:rsidR="00D76BAD" w:rsidRPr="008525F2">
        <w:rPr>
          <w:b/>
          <w:lang w:val="en-US"/>
        </w:rPr>
        <w:t xml:space="preserve">r, can be extended to 4Rx by applying the same multipath profile (identical to the one for all </w:t>
      </w:r>
      <w:proofErr w:type="spellStart"/>
      <w:r w:rsidR="00D76BAD" w:rsidRPr="008525F2">
        <w:rPr>
          <w:b/>
          <w:lang w:val="en-US"/>
        </w:rPr>
        <w:t>Tx</w:t>
      </w:r>
      <w:proofErr w:type="spellEnd"/>
      <w:r w:rsidR="00D76BAD" w:rsidRPr="008525F2">
        <w:rPr>
          <w:b/>
          <w:lang w:val="en-US"/>
        </w:rPr>
        <w:t xml:space="preserve">-Rx pair in legacy test case) for all </w:t>
      </w:r>
      <w:proofErr w:type="spellStart"/>
      <w:r w:rsidR="00D76BAD" w:rsidRPr="008525F2">
        <w:rPr>
          <w:b/>
          <w:lang w:val="en-US"/>
        </w:rPr>
        <w:t>NTx</w:t>
      </w:r>
      <w:proofErr w:type="spellEnd"/>
      <w:r w:rsidR="00D76BAD" w:rsidRPr="008525F2">
        <w:rPr>
          <w:b/>
          <w:lang w:val="en-US"/>
        </w:rPr>
        <w:t xml:space="preserve"> x 4 </w:t>
      </w:r>
      <w:proofErr w:type="spellStart"/>
      <w:r w:rsidR="00D76BAD" w:rsidRPr="008525F2">
        <w:rPr>
          <w:b/>
          <w:lang w:val="en-US"/>
        </w:rPr>
        <w:t>Tx</w:t>
      </w:r>
      <w:proofErr w:type="spellEnd"/>
      <w:r w:rsidR="00D76BAD" w:rsidRPr="008525F2">
        <w:rPr>
          <w:b/>
          <w:lang w:val="en-US"/>
        </w:rPr>
        <w:t>-Rx pairs.</w:t>
      </w:r>
    </w:p>
    <w:p w:rsidR="008F3E6D" w:rsidRPr="008525F2" w:rsidRDefault="008F3E6D" w:rsidP="008F3E6D">
      <w:pPr>
        <w:pStyle w:val="Heading3"/>
        <w:numPr>
          <w:ilvl w:val="0"/>
          <w:numId w:val="0"/>
        </w:numPr>
        <w:rPr>
          <w:b/>
          <w:lang w:val="en-US"/>
        </w:rPr>
      </w:pPr>
      <w:r>
        <w:rPr>
          <w:rFonts w:ascii="Times New Roman" w:hAnsi="Times New Roman"/>
        </w:rPr>
        <w:t>2.2.2</w:t>
      </w:r>
      <w:r w:rsidRPr="008525F2">
        <w:rPr>
          <w:rFonts w:ascii="Times New Roman" w:hAnsi="Times New Roman"/>
        </w:rPr>
        <w:t xml:space="preserve"> </w:t>
      </w:r>
      <w:r>
        <w:rPr>
          <w:rFonts w:ascii="Times New Roman" w:hAnsi="Times New Roman"/>
        </w:rPr>
        <w:t>Test point and Requirements</w:t>
      </w:r>
      <w:r w:rsidR="00B760FB">
        <w:rPr>
          <w:rFonts w:ascii="Times New Roman" w:hAnsi="Times New Roman"/>
        </w:rPr>
        <w:t xml:space="preserve"> </w:t>
      </w:r>
    </w:p>
    <w:p w:rsidR="007863E0" w:rsidRPr="008525F2" w:rsidRDefault="008F3E6D" w:rsidP="007863E0">
      <w:pPr>
        <w:rPr>
          <w:lang w:val="en-US"/>
        </w:rPr>
      </w:pPr>
      <w:r>
        <w:rPr>
          <w:lang w:val="en-US"/>
        </w:rPr>
        <w:t>Now,</w:t>
      </w:r>
      <w:r w:rsidR="007863E0" w:rsidRPr="008525F2">
        <w:rPr>
          <w:lang w:val="en-US"/>
        </w:rPr>
        <w:t xml:space="preserve"> we discuss the impact of extension of the legacy test cases to the test-point and performance </w:t>
      </w:r>
      <w:r w:rsidR="003E22D1" w:rsidRPr="008525F2">
        <w:rPr>
          <w:lang w:val="en-US"/>
        </w:rPr>
        <w:t xml:space="preserve">requirement of </w:t>
      </w:r>
      <w:proofErr w:type="spellStart"/>
      <w:r w:rsidR="003E22D1" w:rsidRPr="008525F2">
        <w:rPr>
          <w:lang w:val="en-US"/>
        </w:rPr>
        <w:t>demod</w:t>
      </w:r>
      <w:proofErr w:type="spellEnd"/>
      <w:r w:rsidR="003E22D1" w:rsidRPr="008525F2">
        <w:rPr>
          <w:lang w:val="en-US"/>
        </w:rPr>
        <w:t>, CSI and RLM test cases.</w:t>
      </w:r>
    </w:p>
    <w:p w:rsidR="00046633" w:rsidRPr="008525F2" w:rsidRDefault="008F3E6D" w:rsidP="00046633">
      <w:pPr>
        <w:pStyle w:val="Heading3"/>
        <w:numPr>
          <w:ilvl w:val="0"/>
          <w:numId w:val="0"/>
        </w:numPr>
        <w:rPr>
          <w:rFonts w:ascii="Times New Roman" w:hAnsi="Times New Roman"/>
        </w:rPr>
      </w:pPr>
      <w:r>
        <w:rPr>
          <w:rFonts w:ascii="Times New Roman" w:hAnsi="Times New Roman"/>
        </w:rPr>
        <w:t>2.2.2.1</w:t>
      </w:r>
      <w:r w:rsidR="00046633" w:rsidRPr="008525F2">
        <w:rPr>
          <w:rFonts w:ascii="Times New Roman" w:hAnsi="Times New Roman"/>
        </w:rPr>
        <w:t xml:space="preserve"> </w:t>
      </w:r>
      <w:proofErr w:type="spellStart"/>
      <w:r w:rsidR="00046633" w:rsidRPr="008525F2">
        <w:rPr>
          <w:rFonts w:ascii="Times New Roman" w:hAnsi="Times New Roman"/>
        </w:rPr>
        <w:t>Demod</w:t>
      </w:r>
      <w:proofErr w:type="spellEnd"/>
      <w:r w:rsidR="00046633" w:rsidRPr="008525F2">
        <w:rPr>
          <w:rFonts w:ascii="Times New Roman" w:hAnsi="Times New Roman"/>
        </w:rPr>
        <w:t xml:space="preserve"> </w:t>
      </w:r>
    </w:p>
    <w:p w:rsidR="00046633" w:rsidRPr="008525F2" w:rsidRDefault="00046633" w:rsidP="007C2C3B">
      <w:pPr>
        <w:spacing w:line="276" w:lineRule="auto"/>
      </w:pPr>
      <w:r w:rsidRPr="008525F2">
        <w:t xml:space="preserve">For all </w:t>
      </w:r>
      <w:proofErr w:type="spellStart"/>
      <w:r w:rsidRPr="008525F2">
        <w:t>demod</w:t>
      </w:r>
      <w:proofErr w:type="spellEnd"/>
      <w:r w:rsidRPr="008525F2">
        <w:t xml:space="preserve"> test cases (specified in Chapter 8 of TS-36.101), absolute performance requirements are defined. Since the purpose of conducting legacy 2Rx test cases is to ensure that the performance delivered by a 4Rx UE is no worse than that of a 2Rx UE (in an absolute sense), </w:t>
      </w:r>
      <w:r w:rsidR="008076E2">
        <w:t>it is sufficient to keep the</w:t>
      </w:r>
      <w:r w:rsidR="008076E2" w:rsidRPr="008525F2">
        <w:t xml:space="preserve"> </w:t>
      </w:r>
      <w:r w:rsidRPr="008525F2">
        <w:t xml:space="preserve">performance requirement for </w:t>
      </w:r>
      <w:r w:rsidR="007C2C3B" w:rsidRPr="008525F2">
        <w:t xml:space="preserve">each extended legacy test case </w:t>
      </w:r>
      <w:r w:rsidRPr="008525F2">
        <w:t>identical to performance requirement of the</w:t>
      </w:r>
      <w:r w:rsidR="007C2C3B" w:rsidRPr="008525F2">
        <w:t xml:space="preserve">ir corresponding </w:t>
      </w:r>
      <w:r w:rsidRPr="008525F2">
        <w:t>original legacy test case.</w:t>
      </w:r>
      <w:r w:rsidR="00863810" w:rsidRPr="008525F2">
        <w:t xml:space="preserve"> Naturally, such reasoning holds as long as the te</w:t>
      </w:r>
      <w:r w:rsidR="003E22D1" w:rsidRPr="008525F2">
        <w:t>st point of the extended and legacy test cases are identical</w:t>
      </w:r>
      <w:r w:rsidR="00863810" w:rsidRPr="008525F2">
        <w:t xml:space="preserve">. Hence, we propose that for all </w:t>
      </w:r>
      <w:proofErr w:type="spellStart"/>
      <w:r w:rsidR="00863810" w:rsidRPr="008525F2">
        <w:t>demod</w:t>
      </w:r>
      <w:proofErr w:type="spellEnd"/>
      <w:r w:rsidR="00863810" w:rsidRPr="008525F2">
        <w:t xml:space="preserve"> test cases, both the test point and requirement of the extended legacy test case </w:t>
      </w:r>
      <w:r w:rsidR="003E22D1" w:rsidRPr="008525F2">
        <w:t>should be</w:t>
      </w:r>
      <w:r w:rsidR="00863810" w:rsidRPr="008525F2">
        <w:t xml:space="preserve"> identical to the corresponding legacy test case.</w:t>
      </w:r>
    </w:p>
    <w:p w:rsidR="00D76BAD" w:rsidRPr="008525F2" w:rsidRDefault="00B760FB" w:rsidP="007C2C3B">
      <w:pPr>
        <w:spacing w:line="276" w:lineRule="auto"/>
        <w:rPr>
          <w:b/>
        </w:rPr>
      </w:pPr>
      <w:r>
        <w:rPr>
          <w:b/>
        </w:rPr>
        <w:t>Proposal 5</w:t>
      </w:r>
      <w:r w:rsidR="00D76BAD" w:rsidRPr="008525F2">
        <w:rPr>
          <w:b/>
        </w:rPr>
        <w:t xml:space="preserve">: The test point and requirement for all extended legacy </w:t>
      </w:r>
      <w:proofErr w:type="spellStart"/>
      <w:r w:rsidR="00D76BAD" w:rsidRPr="008525F2">
        <w:rPr>
          <w:b/>
        </w:rPr>
        <w:t>demod</w:t>
      </w:r>
      <w:proofErr w:type="spellEnd"/>
      <w:r w:rsidR="00D76BAD" w:rsidRPr="008525F2">
        <w:rPr>
          <w:b/>
        </w:rPr>
        <w:t xml:space="preserve"> test cases should be identical to the corresponding legacy test case.</w:t>
      </w:r>
    </w:p>
    <w:p w:rsidR="000F3FDD" w:rsidRPr="008525F2" w:rsidRDefault="008F3E6D" w:rsidP="00046633">
      <w:pPr>
        <w:pStyle w:val="Heading3"/>
        <w:numPr>
          <w:ilvl w:val="0"/>
          <w:numId w:val="0"/>
        </w:numPr>
        <w:rPr>
          <w:rFonts w:ascii="Times New Roman" w:hAnsi="Times New Roman"/>
        </w:rPr>
      </w:pPr>
      <w:r>
        <w:rPr>
          <w:rFonts w:ascii="Times New Roman" w:hAnsi="Times New Roman"/>
        </w:rPr>
        <w:t>2.2.2.2</w:t>
      </w:r>
      <w:r w:rsidR="00046633" w:rsidRPr="008525F2">
        <w:rPr>
          <w:rFonts w:ascii="Times New Roman" w:hAnsi="Times New Roman"/>
        </w:rPr>
        <w:t xml:space="preserve"> CSI </w:t>
      </w:r>
    </w:p>
    <w:p w:rsidR="00BC0C42" w:rsidRPr="008525F2" w:rsidRDefault="007863E0" w:rsidP="00AB601B">
      <w:pPr>
        <w:spacing w:line="276" w:lineRule="auto"/>
        <w:rPr>
          <w:lang w:val="en-US"/>
        </w:rPr>
      </w:pPr>
      <w:r w:rsidRPr="008525F2">
        <w:rPr>
          <w:lang w:val="en-US"/>
        </w:rPr>
        <w:t xml:space="preserve">The performance requirement for </w:t>
      </w:r>
      <w:r w:rsidR="00B62616" w:rsidRPr="008525F2">
        <w:rPr>
          <w:lang w:val="en-US"/>
        </w:rPr>
        <w:t>CSI tes</w:t>
      </w:r>
      <w:r w:rsidRPr="008525F2">
        <w:rPr>
          <w:lang w:val="en-US"/>
        </w:rPr>
        <w:t>ts cases (CQI/PMI/RI) is often based on relative throughput</w:t>
      </w:r>
      <w:r w:rsidR="00AB601B" w:rsidRPr="008525F2">
        <w:rPr>
          <w:lang w:val="en-US"/>
        </w:rPr>
        <w:t xml:space="preserve"> gain</w:t>
      </w:r>
      <w:r w:rsidRPr="008525F2">
        <w:rPr>
          <w:lang w:val="en-US"/>
        </w:rPr>
        <w:t xml:space="preserve">. For </w:t>
      </w:r>
      <w:r w:rsidR="00214846" w:rsidRPr="008525F2">
        <w:rPr>
          <w:lang w:val="en-US"/>
        </w:rPr>
        <w:t>instance, in test case 9.4.1.1</w:t>
      </w:r>
      <w:r w:rsidRPr="008525F2">
        <w:rPr>
          <w:lang w:val="en-US"/>
        </w:rPr>
        <w:t xml:space="preserve"> of 36.101, the ratio of throughput obtained with followed (UE reported) PMI to the throughput obtained with random PMI is used as the test metric</w:t>
      </w:r>
      <w:r w:rsidR="00214846" w:rsidRPr="008525F2">
        <w:rPr>
          <w:lang w:val="en-US"/>
        </w:rPr>
        <w:t>. Essentially, the test is designed to assess if the UE is reporting such PMI which</w:t>
      </w:r>
      <w:r w:rsidR="00AB601B" w:rsidRPr="008525F2">
        <w:rPr>
          <w:lang w:val="en-US"/>
        </w:rPr>
        <w:t xml:space="preserve">, if followed by the </w:t>
      </w:r>
      <w:proofErr w:type="spellStart"/>
      <w:r w:rsidR="00AB601B" w:rsidRPr="008525F2">
        <w:rPr>
          <w:lang w:val="en-US"/>
        </w:rPr>
        <w:t>eNodeB</w:t>
      </w:r>
      <w:proofErr w:type="spellEnd"/>
      <w:r w:rsidR="00AB601B" w:rsidRPr="008525F2">
        <w:rPr>
          <w:lang w:val="en-US"/>
        </w:rPr>
        <w:t>,</w:t>
      </w:r>
      <w:r w:rsidR="00214846" w:rsidRPr="008525F2">
        <w:rPr>
          <w:lang w:val="en-US"/>
        </w:rPr>
        <w:t xml:space="preserve"> will </w:t>
      </w:r>
      <w:r w:rsidR="008076E2">
        <w:rPr>
          <w:lang w:val="en-US"/>
        </w:rPr>
        <w:t xml:space="preserve">have at least a certain </w:t>
      </w:r>
      <w:r w:rsidR="00214846" w:rsidRPr="008525F2">
        <w:rPr>
          <w:lang w:val="en-US"/>
        </w:rPr>
        <w:t xml:space="preserve">precoding-gain. </w:t>
      </w:r>
      <w:r w:rsidR="00AB601B" w:rsidRPr="008525F2">
        <w:rPr>
          <w:lang w:val="en-US"/>
        </w:rPr>
        <w:t>For a 4Rx UE operating as 4Rx,</w:t>
      </w:r>
      <w:r w:rsidR="00214846" w:rsidRPr="008525F2">
        <w:rPr>
          <w:lang w:val="en-US"/>
        </w:rPr>
        <w:t xml:space="preserve"> the precoding-gain </w:t>
      </w:r>
      <w:r w:rsidR="00AB601B" w:rsidRPr="008525F2">
        <w:rPr>
          <w:lang w:val="en-US"/>
        </w:rPr>
        <w:t>of the followed PMI</w:t>
      </w:r>
      <w:r w:rsidR="003E22D1" w:rsidRPr="008525F2">
        <w:rPr>
          <w:lang w:val="en-US"/>
        </w:rPr>
        <w:t xml:space="preserve"> (with the same codebook subset restriction)</w:t>
      </w:r>
      <w:r w:rsidR="00AB601B" w:rsidRPr="008525F2">
        <w:rPr>
          <w:lang w:val="en-US"/>
        </w:rPr>
        <w:t xml:space="preserve"> </w:t>
      </w:r>
      <w:r w:rsidR="00214846" w:rsidRPr="008525F2">
        <w:rPr>
          <w:lang w:val="en-US"/>
        </w:rPr>
        <w:t>ma</w:t>
      </w:r>
      <w:r w:rsidR="00AB601B" w:rsidRPr="008525F2">
        <w:rPr>
          <w:lang w:val="en-US"/>
        </w:rPr>
        <w:t>y not be the same as the 2Rx UE. Hence there is a possibility that the relative throughput gain for the 4Rx UE may be</w:t>
      </w:r>
      <w:r w:rsidR="00BC0C42" w:rsidRPr="008525F2">
        <w:rPr>
          <w:lang w:val="en-US"/>
        </w:rPr>
        <w:t xml:space="preserve"> different from a 2Rx UE. Moreover, a </w:t>
      </w:r>
      <w:r w:rsidR="00AB601B" w:rsidRPr="008525F2">
        <w:rPr>
          <w:lang w:val="en-US"/>
        </w:rPr>
        <w:t xml:space="preserve">4Rx UE </w:t>
      </w:r>
      <w:r w:rsidR="00BC0C42" w:rsidRPr="008525F2">
        <w:rPr>
          <w:lang w:val="en-US"/>
        </w:rPr>
        <w:t xml:space="preserve">should not be always expected (or </w:t>
      </w:r>
      <w:r w:rsidR="00AB601B" w:rsidRPr="008525F2">
        <w:rPr>
          <w:lang w:val="en-US"/>
        </w:rPr>
        <w:t>require</w:t>
      </w:r>
      <w:r w:rsidR="00BC0C42" w:rsidRPr="008525F2">
        <w:rPr>
          <w:lang w:val="en-US"/>
        </w:rPr>
        <w:t>d)</w:t>
      </w:r>
      <w:r w:rsidR="00AB601B" w:rsidRPr="008525F2">
        <w:rPr>
          <w:lang w:val="en-US"/>
        </w:rPr>
        <w:t xml:space="preserve"> to provide the same relative gain as </w:t>
      </w:r>
      <w:r w:rsidR="00BC0C42" w:rsidRPr="008525F2">
        <w:rPr>
          <w:lang w:val="en-US"/>
        </w:rPr>
        <w:t>a</w:t>
      </w:r>
      <w:r w:rsidR="00AB601B" w:rsidRPr="008525F2">
        <w:rPr>
          <w:lang w:val="en-US"/>
        </w:rPr>
        <w:t xml:space="preserve"> 2Rx UE. In </w:t>
      </w:r>
      <w:r w:rsidR="00BC0C42" w:rsidRPr="008525F2">
        <w:rPr>
          <w:lang w:val="en-US"/>
        </w:rPr>
        <w:t xml:space="preserve">fact, in </w:t>
      </w:r>
      <w:r w:rsidR="00AB601B" w:rsidRPr="008525F2">
        <w:rPr>
          <w:lang w:val="en-US"/>
        </w:rPr>
        <w:t xml:space="preserve">some cases, it may be possible that </w:t>
      </w:r>
      <w:r w:rsidR="00AD1ACF" w:rsidRPr="008525F2">
        <w:rPr>
          <w:lang w:val="en-US"/>
        </w:rPr>
        <w:t xml:space="preserve">the </w:t>
      </w:r>
      <w:r w:rsidR="00AB601B" w:rsidRPr="008525F2">
        <w:rPr>
          <w:lang w:val="en-US"/>
        </w:rPr>
        <w:t xml:space="preserve">relative throughput gain achieved by </w:t>
      </w:r>
      <w:r w:rsidR="00AD1ACF" w:rsidRPr="008525F2">
        <w:rPr>
          <w:lang w:val="en-US"/>
        </w:rPr>
        <w:t>a</w:t>
      </w:r>
      <w:r w:rsidR="00AB601B" w:rsidRPr="008525F2">
        <w:rPr>
          <w:lang w:val="en-US"/>
        </w:rPr>
        <w:t xml:space="preserve"> 4Rx UE is lower than the relative throughput gain achieved by </w:t>
      </w:r>
      <w:r w:rsidR="00AD1ACF" w:rsidRPr="008525F2">
        <w:rPr>
          <w:lang w:val="en-US"/>
        </w:rPr>
        <w:t>a</w:t>
      </w:r>
      <w:r w:rsidR="00AB601B" w:rsidRPr="008525F2">
        <w:rPr>
          <w:lang w:val="en-US"/>
        </w:rPr>
        <w:t xml:space="preserve"> 2Rx UE.</w:t>
      </w:r>
      <w:r w:rsidR="00863810" w:rsidRPr="008525F2">
        <w:rPr>
          <w:lang w:val="en-US"/>
        </w:rPr>
        <w:t xml:space="preserve"> In such cases, we will need to revisit the relative throughput performance requirement and change it accordingly. </w:t>
      </w:r>
      <w:r w:rsidR="00803416" w:rsidRPr="008525F2">
        <w:rPr>
          <w:lang w:val="en-US"/>
        </w:rPr>
        <w:t>Similar argument holds for other CSI test cases</w:t>
      </w:r>
      <w:r w:rsidR="008076E2">
        <w:rPr>
          <w:lang w:val="en-US"/>
        </w:rPr>
        <w:t xml:space="preserve">, </w:t>
      </w:r>
      <w:r w:rsidR="008076E2" w:rsidRPr="008525F2">
        <w:rPr>
          <w:lang w:val="en-US"/>
        </w:rPr>
        <w:t xml:space="preserve">e.g. RI, </w:t>
      </w:r>
      <w:proofErr w:type="spellStart"/>
      <w:r w:rsidR="008076E2" w:rsidRPr="008525F2">
        <w:rPr>
          <w:lang w:val="en-US"/>
        </w:rPr>
        <w:t>Subband</w:t>
      </w:r>
      <w:proofErr w:type="spellEnd"/>
      <w:r w:rsidR="008076E2" w:rsidRPr="008525F2">
        <w:rPr>
          <w:lang w:val="en-US"/>
        </w:rPr>
        <w:t xml:space="preserve"> CQI test cases</w:t>
      </w:r>
      <w:r w:rsidR="008076E2">
        <w:rPr>
          <w:lang w:val="en-US"/>
        </w:rPr>
        <w:t xml:space="preserve">, </w:t>
      </w:r>
      <w:r w:rsidR="00803416" w:rsidRPr="008525F2">
        <w:rPr>
          <w:lang w:val="en-US"/>
        </w:rPr>
        <w:t>that use relative throughput as</w:t>
      </w:r>
      <w:r w:rsidR="00AD1ACF" w:rsidRPr="008525F2">
        <w:rPr>
          <w:lang w:val="en-US"/>
        </w:rPr>
        <w:t xml:space="preserve"> a metric</w:t>
      </w:r>
      <w:r w:rsidR="00803416" w:rsidRPr="008525F2">
        <w:rPr>
          <w:lang w:val="en-US"/>
        </w:rPr>
        <w:t xml:space="preserve">. </w:t>
      </w:r>
    </w:p>
    <w:p w:rsidR="00B760FB" w:rsidRDefault="00BC0C42" w:rsidP="00AB601B">
      <w:pPr>
        <w:spacing w:line="276" w:lineRule="auto"/>
        <w:rPr>
          <w:lang w:val="en-US"/>
        </w:rPr>
      </w:pPr>
      <w:r w:rsidRPr="008525F2">
        <w:rPr>
          <w:lang w:val="en-US"/>
        </w:rPr>
        <w:t>Note that, such modification of requirement</w:t>
      </w:r>
      <w:r w:rsidR="00863810" w:rsidRPr="008525F2">
        <w:rPr>
          <w:lang w:val="en-US"/>
        </w:rPr>
        <w:t xml:space="preserve"> should not </w:t>
      </w:r>
      <w:r w:rsidRPr="008525F2">
        <w:rPr>
          <w:lang w:val="en-US"/>
        </w:rPr>
        <w:t xml:space="preserve">considered </w:t>
      </w:r>
      <w:r w:rsidR="00863810" w:rsidRPr="008525F2">
        <w:rPr>
          <w:lang w:val="en-US"/>
        </w:rPr>
        <w:t>as a relaxation</w:t>
      </w:r>
      <w:r w:rsidRPr="008525F2">
        <w:rPr>
          <w:lang w:val="en-US"/>
        </w:rPr>
        <w:t xml:space="preserve">, rather merely a reflection of the fact that the relative gain from followed CQI/PMI/RI can be different for 4Rx and 2Rx UE. </w:t>
      </w:r>
    </w:p>
    <w:p w:rsidR="00D76BAD" w:rsidRPr="008525F2" w:rsidRDefault="00D76BAD" w:rsidP="00AB601B">
      <w:pPr>
        <w:spacing w:line="276" w:lineRule="auto"/>
        <w:rPr>
          <w:b/>
          <w:lang w:val="en-US"/>
        </w:rPr>
      </w:pPr>
      <w:r w:rsidRPr="008525F2">
        <w:rPr>
          <w:b/>
          <w:lang w:val="en-US"/>
        </w:rPr>
        <w:t xml:space="preserve">Proposal </w:t>
      </w:r>
      <w:r w:rsidR="00B760FB">
        <w:rPr>
          <w:b/>
          <w:lang w:val="en-US"/>
        </w:rPr>
        <w:t>6</w:t>
      </w:r>
      <w:r w:rsidR="00706D6F" w:rsidRPr="008525F2">
        <w:rPr>
          <w:b/>
          <w:lang w:val="en-US"/>
        </w:rPr>
        <w:t>: Corresponding to e</w:t>
      </w:r>
      <w:r w:rsidRPr="008525F2">
        <w:rPr>
          <w:b/>
          <w:lang w:val="en-US"/>
        </w:rPr>
        <w:t xml:space="preserve">ach of the </w:t>
      </w:r>
      <w:r w:rsidR="00706D6F" w:rsidRPr="008525F2">
        <w:rPr>
          <w:b/>
          <w:lang w:val="en-US"/>
        </w:rPr>
        <w:t xml:space="preserve">legacy </w:t>
      </w:r>
      <w:r w:rsidRPr="008525F2">
        <w:rPr>
          <w:b/>
          <w:lang w:val="en-US"/>
        </w:rPr>
        <w:t>CSI test cases</w:t>
      </w:r>
      <w:r w:rsidR="00706D6F" w:rsidRPr="008525F2">
        <w:rPr>
          <w:b/>
          <w:lang w:val="en-US"/>
        </w:rPr>
        <w:t>,</w:t>
      </w:r>
      <w:r w:rsidRPr="008525F2">
        <w:rPr>
          <w:b/>
          <w:lang w:val="en-US"/>
        </w:rPr>
        <w:t xml:space="preserve"> where relative throughput gain is </w:t>
      </w:r>
      <w:r w:rsidR="00706D6F" w:rsidRPr="008525F2">
        <w:rPr>
          <w:b/>
          <w:lang w:val="en-US"/>
        </w:rPr>
        <w:t>a</w:t>
      </w:r>
      <w:r w:rsidRPr="008525F2">
        <w:rPr>
          <w:b/>
          <w:lang w:val="en-US"/>
        </w:rPr>
        <w:t xml:space="preserve"> performance metric</w:t>
      </w:r>
      <w:r w:rsidR="00706D6F" w:rsidRPr="008525F2">
        <w:rPr>
          <w:b/>
          <w:lang w:val="en-US"/>
        </w:rPr>
        <w:t xml:space="preserve">, the requirement for </w:t>
      </w:r>
      <w:r w:rsidR="00AD1ACF" w:rsidRPr="008525F2">
        <w:rPr>
          <w:b/>
          <w:lang w:val="en-US"/>
        </w:rPr>
        <w:t xml:space="preserve">the </w:t>
      </w:r>
      <w:r w:rsidRPr="008525F2">
        <w:rPr>
          <w:b/>
          <w:lang w:val="en-US"/>
        </w:rPr>
        <w:t>extended legacy test case</w:t>
      </w:r>
      <w:r w:rsidR="00706D6F" w:rsidRPr="008525F2">
        <w:rPr>
          <w:b/>
          <w:lang w:val="en-US"/>
        </w:rPr>
        <w:t xml:space="preserve"> need not be identical. For a subset of such extended legacy </w:t>
      </w:r>
      <w:r w:rsidR="00AD1ACF" w:rsidRPr="008525F2">
        <w:rPr>
          <w:b/>
          <w:lang w:val="en-US"/>
        </w:rPr>
        <w:t xml:space="preserve">CSI </w:t>
      </w:r>
      <w:r w:rsidR="00706D6F" w:rsidRPr="008525F2">
        <w:rPr>
          <w:b/>
          <w:lang w:val="en-US"/>
        </w:rPr>
        <w:t xml:space="preserve">test cases, the </w:t>
      </w:r>
      <w:r w:rsidR="00AD1ACF" w:rsidRPr="008525F2">
        <w:rPr>
          <w:b/>
          <w:lang w:val="en-US"/>
        </w:rPr>
        <w:t xml:space="preserve">requirement </w:t>
      </w:r>
      <w:r w:rsidR="00706D6F" w:rsidRPr="008525F2">
        <w:rPr>
          <w:b/>
          <w:lang w:val="en-US"/>
        </w:rPr>
        <w:t>may need to</w:t>
      </w:r>
      <w:r w:rsidR="009217B2" w:rsidRPr="008525F2">
        <w:rPr>
          <w:b/>
          <w:lang w:val="en-US"/>
        </w:rPr>
        <w:t xml:space="preserve"> be</w:t>
      </w:r>
      <w:r w:rsidR="00706D6F" w:rsidRPr="008525F2">
        <w:rPr>
          <w:b/>
          <w:lang w:val="en-US"/>
        </w:rPr>
        <w:t xml:space="preserve"> modified in </w:t>
      </w:r>
      <w:r w:rsidRPr="008525F2">
        <w:rPr>
          <w:b/>
          <w:lang w:val="en-US"/>
        </w:rPr>
        <w:t>accordance with the relative throughput gain achieved by a 4Rx UE.</w:t>
      </w:r>
    </w:p>
    <w:p w:rsidR="002D32DA" w:rsidRPr="008525F2" w:rsidRDefault="00CF5C9E" w:rsidP="00AB601B">
      <w:pPr>
        <w:spacing w:line="276" w:lineRule="auto"/>
        <w:rPr>
          <w:lang w:val="en-US"/>
        </w:rPr>
      </w:pPr>
      <w:r w:rsidRPr="008525F2">
        <w:rPr>
          <w:lang w:val="en-US"/>
        </w:rPr>
        <w:t xml:space="preserve">One of the purposes of the CQI test cases is to ensure that the UE’s CQI reporting is aligned with its </w:t>
      </w:r>
      <w:proofErr w:type="spellStart"/>
      <w:r w:rsidR="00AD1ACF" w:rsidRPr="008525F2">
        <w:rPr>
          <w:lang w:val="en-US"/>
        </w:rPr>
        <w:t>demod</w:t>
      </w:r>
      <w:proofErr w:type="spellEnd"/>
      <w:r w:rsidR="00AD1ACF" w:rsidRPr="008525F2">
        <w:rPr>
          <w:lang w:val="en-US"/>
        </w:rPr>
        <w:t xml:space="preserve"> performance</w:t>
      </w:r>
      <w:r w:rsidRPr="008525F2">
        <w:rPr>
          <w:lang w:val="en-US"/>
        </w:rPr>
        <w:t xml:space="preserve">. To ensure reasonable alignment, an example </w:t>
      </w:r>
      <w:r w:rsidR="005B42C1" w:rsidRPr="008525F2">
        <w:rPr>
          <w:lang w:val="en-US"/>
        </w:rPr>
        <w:t>requirement from test case 9.2.1.7 of TS-36.101 is</w:t>
      </w:r>
      <w:r w:rsidR="00AD1ACF" w:rsidRPr="008525F2">
        <w:rPr>
          <w:lang w:val="en-US"/>
        </w:rPr>
        <w:t xml:space="preserve"> that </w:t>
      </w:r>
      <w:r w:rsidR="009E49AD">
        <w:rPr>
          <w:lang w:val="en-US"/>
        </w:rPr>
        <w:t xml:space="preserve"> </w:t>
      </w:r>
      <w:r w:rsidR="005B42C1" w:rsidRPr="008525F2">
        <w:rPr>
          <w:lang w:val="en-US"/>
        </w:rPr>
        <w:lastRenderedPageBreak/>
        <w:t>“</w:t>
      </w:r>
      <w:r w:rsidR="005B42C1" w:rsidRPr="008525F2">
        <w:rPr>
          <w:i/>
          <w:lang w:val="en-US"/>
        </w:rPr>
        <w:t xml:space="preserve">if the PDSCH BLER using the transport format indicated by </w:t>
      </w:r>
      <w:r w:rsidRPr="008525F2">
        <w:rPr>
          <w:i/>
          <w:lang w:val="en-US"/>
        </w:rPr>
        <w:t>median</w:t>
      </w:r>
      <w:r w:rsidR="005B42C1" w:rsidRPr="008525F2">
        <w:rPr>
          <w:i/>
          <w:lang w:val="en-US"/>
        </w:rPr>
        <w:t xml:space="preserve"> CQI is less than or equal to 0.1, then the PDSCH BLER using the transport format indicated by median CQI </w:t>
      </w:r>
      <w:r w:rsidRPr="008525F2">
        <w:rPr>
          <w:i/>
          <w:lang w:val="en-US"/>
        </w:rPr>
        <w:t>+1</w:t>
      </w:r>
      <w:r w:rsidR="005B42C1" w:rsidRPr="008525F2">
        <w:rPr>
          <w:i/>
          <w:lang w:val="en-US"/>
        </w:rPr>
        <w:t xml:space="preserve"> should be greater than 0.1.</w:t>
      </w:r>
      <w:r w:rsidR="005B42C1" w:rsidRPr="008525F2">
        <w:rPr>
          <w:lang w:val="en-US"/>
        </w:rPr>
        <w:t xml:space="preserve">”  </w:t>
      </w:r>
      <w:r w:rsidR="002D32DA" w:rsidRPr="008525F2">
        <w:rPr>
          <w:lang w:val="en-US"/>
        </w:rPr>
        <w:t xml:space="preserve">If the </w:t>
      </w:r>
      <w:r w:rsidR="005B42C1" w:rsidRPr="008525F2">
        <w:rPr>
          <w:lang w:val="en-US"/>
        </w:rPr>
        <w:t>extended legacy test case</w:t>
      </w:r>
      <w:r w:rsidR="002D32DA" w:rsidRPr="008525F2">
        <w:rPr>
          <w:lang w:val="en-US"/>
        </w:rPr>
        <w:t xml:space="preserve"> configures the same test point as the corresponding legacy test case</w:t>
      </w:r>
      <w:r w:rsidR="005B42C1" w:rsidRPr="008525F2">
        <w:rPr>
          <w:lang w:val="en-US"/>
        </w:rPr>
        <w:t>,</w:t>
      </w:r>
      <w:r w:rsidR="002D32DA" w:rsidRPr="008525F2">
        <w:rPr>
          <w:lang w:val="en-US"/>
        </w:rPr>
        <w:t xml:space="preserve"> then the additional diversity gain of the </w:t>
      </w:r>
      <w:r w:rsidR="005B42C1" w:rsidRPr="008525F2">
        <w:rPr>
          <w:lang w:val="en-US"/>
        </w:rPr>
        <w:t>4Rx UE</w:t>
      </w:r>
      <w:r w:rsidR="002D32DA" w:rsidRPr="008525F2">
        <w:rPr>
          <w:lang w:val="en-US"/>
        </w:rPr>
        <w:t xml:space="preserve"> can sometimes result in the median CQI itself to be saturated</w:t>
      </w:r>
      <w:r w:rsidR="005B42C1" w:rsidRPr="008525F2">
        <w:rPr>
          <w:lang w:val="en-US"/>
        </w:rPr>
        <w:t xml:space="preserve">. In such cases, the requirement of assessing the BLER with transport format indicated by median CQI + 1 would be meaningless. Hence, the test-point of such test cases need to be suitably modified. </w:t>
      </w:r>
    </w:p>
    <w:p w:rsidR="00CF5C9E" w:rsidRPr="008525F2" w:rsidRDefault="005B42C1" w:rsidP="00AB601B">
      <w:pPr>
        <w:spacing w:line="276" w:lineRule="auto"/>
        <w:rPr>
          <w:lang w:val="en-US"/>
        </w:rPr>
      </w:pPr>
      <w:r w:rsidRPr="008525F2">
        <w:rPr>
          <w:lang w:val="en-US"/>
        </w:rPr>
        <w:t xml:space="preserve">There are </w:t>
      </w:r>
      <w:r w:rsidR="002D32DA" w:rsidRPr="008525F2">
        <w:rPr>
          <w:lang w:val="en-US"/>
        </w:rPr>
        <w:t xml:space="preserve">some </w:t>
      </w:r>
      <w:r w:rsidRPr="008525F2">
        <w:rPr>
          <w:lang w:val="en-US"/>
        </w:rPr>
        <w:t>CQI test cases</w:t>
      </w:r>
      <w:r w:rsidR="003E7C6B" w:rsidRPr="008525F2">
        <w:rPr>
          <w:lang w:val="en-US"/>
        </w:rPr>
        <w:t xml:space="preserve"> (e.g.  9.3.2.1)</w:t>
      </w:r>
      <w:r w:rsidRPr="008525F2">
        <w:rPr>
          <w:lang w:val="en-US"/>
        </w:rPr>
        <w:t>, where the UE is required to report a CQI outside</w:t>
      </w:r>
      <w:r w:rsidR="002D32DA" w:rsidRPr="008525F2">
        <w:rPr>
          <w:lang w:val="en-US"/>
        </w:rPr>
        <w:t xml:space="preserve"> the set</w:t>
      </w:r>
      <w:r w:rsidRPr="008525F2">
        <w:rPr>
          <w:lang w:val="en-US"/>
        </w:rPr>
        <w:t xml:space="preserve"> {median CQI – 1, median CQI, median</w:t>
      </w:r>
      <w:r w:rsidR="00A55ED0">
        <w:rPr>
          <w:lang w:val="en-US"/>
        </w:rPr>
        <w:t xml:space="preserve"> CQI</w:t>
      </w:r>
      <w:r w:rsidRPr="008525F2">
        <w:rPr>
          <w:lang w:val="en-US"/>
        </w:rPr>
        <w:t xml:space="preserve"> + 1</w:t>
      </w:r>
      <w:r w:rsidR="002D32DA" w:rsidRPr="008525F2">
        <w:rPr>
          <w:lang w:val="en-US"/>
        </w:rPr>
        <w:t xml:space="preserve">}, </w:t>
      </w:r>
      <w:r w:rsidR="00194E2B" w:rsidRPr="008525F2">
        <w:rPr>
          <w:lang w:val="en-US"/>
        </w:rPr>
        <w:t xml:space="preserve">at least a certain percentage of the time. </w:t>
      </w:r>
      <w:r w:rsidR="002D32DA" w:rsidRPr="008525F2">
        <w:rPr>
          <w:lang w:val="en-US"/>
        </w:rPr>
        <w:t xml:space="preserve">For a subset of such test cases, it may be possible that the </w:t>
      </w:r>
      <w:r w:rsidR="00194E2B" w:rsidRPr="008525F2">
        <w:rPr>
          <w:lang w:val="en-US"/>
        </w:rPr>
        <w:t>extended legacy test case</w:t>
      </w:r>
      <w:r w:rsidR="009E49AD">
        <w:rPr>
          <w:lang w:val="en-US"/>
        </w:rPr>
        <w:t xml:space="preserve">, </w:t>
      </w:r>
      <w:r w:rsidR="002D32DA" w:rsidRPr="008525F2">
        <w:rPr>
          <w:lang w:val="en-US"/>
        </w:rPr>
        <w:t>when configured with the same test point as the legacy test case</w:t>
      </w:r>
      <w:r w:rsidR="009E49AD">
        <w:rPr>
          <w:lang w:val="en-US"/>
        </w:rPr>
        <w:t xml:space="preserve">, </w:t>
      </w:r>
      <w:r w:rsidR="002D32DA" w:rsidRPr="008525F2">
        <w:rPr>
          <w:lang w:val="en-US"/>
        </w:rPr>
        <w:t>results in</w:t>
      </w:r>
      <w:r w:rsidR="009E49AD">
        <w:rPr>
          <w:lang w:val="en-US"/>
        </w:rPr>
        <w:t xml:space="preserve"> a </w:t>
      </w:r>
      <w:r w:rsidR="00194E2B" w:rsidRPr="008525F2">
        <w:rPr>
          <w:lang w:val="en-US"/>
        </w:rPr>
        <w:t xml:space="preserve">saturation of CQI, </w:t>
      </w:r>
      <w:r w:rsidR="002D32DA" w:rsidRPr="008525F2">
        <w:rPr>
          <w:lang w:val="en-US"/>
        </w:rPr>
        <w:t>due to the additional diversity gain of the 4Rx UE. For such test cases, t</w:t>
      </w:r>
      <w:r w:rsidR="00194E2B" w:rsidRPr="008525F2">
        <w:rPr>
          <w:lang w:val="en-US"/>
        </w:rPr>
        <w:t xml:space="preserve">he extension of the legacy test case should </w:t>
      </w:r>
      <w:r w:rsidR="002D32DA" w:rsidRPr="008525F2">
        <w:rPr>
          <w:lang w:val="en-US"/>
        </w:rPr>
        <w:t xml:space="preserve">also </w:t>
      </w:r>
      <w:r w:rsidR="00194E2B" w:rsidRPr="008525F2">
        <w:rPr>
          <w:lang w:val="en-US"/>
        </w:rPr>
        <w:t xml:space="preserve">be accompanied by </w:t>
      </w:r>
      <w:r w:rsidR="002D32DA" w:rsidRPr="008525F2">
        <w:rPr>
          <w:lang w:val="en-US"/>
        </w:rPr>
        <w:t>a change in the</w:t>
      </w:r>
      <w:r w:rsidR="00194E2B" w:rsidRPr="008525F2">
        <w:rPr>
          <w:lang w:val="en-US"/>
        </w:rPr>
        <w:t xml:space="preserve"> test point.</w:t>
      </w:r>
    </w:p>
    <w:p w:rsidR="00706D6F" w:rsidRDefault="00B760FB" w:rsidP="00706D6F">
      <w:pPr>
        <w:spacing w:line="276" w:lineRule="auto"/>
        <w:rPr>
          <w:b/>
          <w:lang w:val="en-US"/>
        </w:rPr>
      </w:pPr>
      <w:r>
        <w:rPr>
          <w:b/>
          <w:lang w:val="en-US"/>
        </w:rPr>
        <w:t>Proposal 7</w:t>
      </w:r>
      <w:r w:rsidR="00706D6F" w:rsidRPr="008525F2">
        <w:rPr>
          <w:b/>
          <w:lang w:val="en-US"/>
        </w:rPr>
        <w:t xml:space="preserve">: Corresponding to each of the legacy CQI test case, the test point in the extended CQI test case need </w:t>
      </w:r>
      <w:r w:rsidR="002D32DA" w:rsidRPr="008525F2">
        <w:rPr>
          <w:b/>
          <w:lang w:val="en-US"/>
        </w:rPr>
        <w:t xml:space="preserve">not be </w:t>
      </w:r>
      <w:r w:rsidR="00706D6F" w:rsidRPr="008525F2">
        <w:rPr>
          <w:b/>
          <w:lang w:val="en-US"/>
        </w:rPr>
        <w:t>identical. The test point for a subset of extended CQI test cases may need to be modified if the diversity gain due to 4Rx results in saturation of CQI.</w:t>
      </w:r>
    </w:p>
    <w:p w:rsidR="00B760FB" w:rsidRDefault="00B760FB" w:rsidP="00B760FB">
      <w:pPr>
        <w:pStyle w:val="Heading3"/>
        <w:numPr>
          <w:ilvl w:val="0"/>
          <w:numId w:val="0"/>
        </w:numPr>
        <w:rPr>
          <w:lang w:val="en-US"/>
        </w:rPr>
      </w:pPr>
      <w:r>
        <w:rPr>
          <w:rFonts w:ascii="Times New Roman" w:hAnsi="Times New Roman"/>
        </w:rPr>
        <w:t>2.2.2.3</w:t>
      </w:r>
      <w:r w:rsidRPr="008525F2">
        <w:rPr>
          <w:rFonts w:ascii="Times New Roman" w:hAnsi="Times New Roman"/>
        </w:rPr>
        <w:t xml:space="preserve"> </w:t>
      </w:r>
      <w:r>
        <w:rPr>
          <w:rFonts w:ascii="Times New Roman" w:hAnsi="Times New Roman"/>
        </w:rPr>
        <w:t>RRM tests</w:t>
      </w:r>
      <w:r w:rsidRPr="008525F2">
        <w:rPr>
          <w:rFonts w:ascii="Times New Roman" w:hAnsi="Times New Roman"/>
        </w:rPr>
        <w:t xml:space="preserve"> </w:t>
      </w:r>
    </w:p>
    <w:p w:rsidR="00B760FB" w:rsidRPr="00B760FB" w:rsidRDefault="00B760FB" w:rsidP="00B760FB">
      <w:pPr>
        <w:spacing w:line="276" w:lineRule="auto"/>
        <w:rPr>
          <w:lang w:val="en-US"/>
        </w:rPr>
      </w:pPr>
      <w:r w:rsidRPr="00B760FB">
        <w:rPr>
          <w:lang w:val="en-US"/>
        </w:rPr>
        <w:t>The RRM test cases use AWGN or low correlation channels. Most of the tests are defined with only a single transmitter, however, some of the RLM test cases are also defined for 2x2 configurations. As discussed in previous sections, the extension of such test cases is straightforward by replacing the channels with 1x4 or 2x4 low correlation channels. As the RRM requirements are not changed, the requirements for these test cases should not be changed.</w:t>
      </w:r>
    </w:p>
    <w:p w:rsidR="00B760FB" w:rsidRPr="00B760FB" w:rsidRDefault="00B760FB" w:rsidP="00B760FB">
      <w:pPr>
        <w:spacing w:line="276" w:lineRule="auto"/>
        <w:rPr>
          <w:lang w:val="en-US"/>
        </w:rPr>
      </w:pPr>
      <w:r w:rsidRPr="00B760FB">
        <w:rPr>
          <w:lang w:val="en-US"/>
        </w:rPr>
        <w:t>The only tests that may require further discussion from a requirement/SNR test point of view are the RLM test</w:t>
      </w:r>
      <w:r w:rsidR="00511368">
        <w:rPr>
          <w:lang w:val="en-US"/>
        </w:rPr>
        <w:t xml:space="preserve"> </w:t>
      </w:r>
      <w:r w:rsidRPr="00B760FB">
        <w:rPr>
          <w:lang w:val="en-US"/>
        </w:rPr>
        <w:t>cases.</w:t>
      </w:r>
      <w:r w:rsidR="00A90A44">
        <w:rPr>
          <w:lang w:val="en-US"/>
        </w:rPr>
        <w:t xml:space="preserve"> </w:t>
      </w:r>
      <w:r w:rsidR="00511368">
        <w:rPr>
          <w:lang w:val="en-US"/>
        </w:rPr>
        <w:t xml:space="preserve">Further discussion on RLM test cases are provided in our companion contribution </w:t>
      </w:r>
      <w:r w:rsidR="004D52D6">
        <w:rPr>
          <w:lang w:val="en-US"/>
        </w:rPr>
        <w:t>[6].</w:t>
      </w:r>
    </w:p>
    <w:p w:rsidR="00B760FB" w:rsidRPr="00B760FB" w:rsidRDefault="00B760FB" w:rsidP="00B760FB">
      <w:pPr>
        <w:spacing w:line="276" w:lineRule="auto"/>
        <w:rPr>
          <w:b/>
          <w:lang w:val="en-US"/>
        </w:rPr>
      </w:pPr>
      <w:r>
        <w:rPr>
          <w:b/>
          <w:lang w:val="en-US"/>
        </w:rPr>
        <w:t>Proposal 8:</w:t>
      </w:r>
      <w:r w:rsidRPr="00B760FB">
        <w:rPr>
          <w:b/>
          <w:lang w:val="en-US"/>
        </w:rPr>
        <w:t xml:space="preserve"> Extend RRM test cases by replacing the channels with 1x4 or 2x4 low correlation channels and maintain the same requirements and test points.</w:t>
      </w:r>
    </w:p>
    <w:p w:rsidR="00B760FB" w:rsidRDefault="00B760FB" w:rsidP="00706D6F">
      <w:pPr>
        <w:spacing w:line="276" w:lineRule="auto"/>
        <w:rPr>
          <w:b/>
          <w:lang w:val="en-US"/>
        </w:rPr>
      </w:pPr>
    </w:p>
    <w:p w:rsidR="007C4A69" w:rsidRPr="008525F2" w:rsidRDefault="007C4A69" w:rsidP="00700C5C">
      <w:pPr>
        <w:pStyle w:val="Heading1"/>
        <w:spacing w:line="276" w:lineRule="auto"/>
        <w:rPr>
          <w:rFonts w:ascii="Times New Roman" w:hAnsi="Times New Roman"/>
          <w:lang w:val="en-US"/>
        </w:rPr>
      </w:pPr>
      <w:r w:rsidRPr="008525F2">
        <w:rPr>
          <w:rFonts w:ascii="Times New Roman" w:hAnsi="Times New Roman"/>
          <w:lang w:val="en-US"/>
        </w:rPr>
        <w:t>Conclusion</w:t>
      </w:r>
    </w:p>
    <w:p w:rsidR="00706D6F" w:rsidRDefault="00706D6F" w:rsidP="00706D6F">
      <w:pPr>
        <w:rPr>
          <w:lang w:val="en-US"/>
        </w:rPr>
      </w:pPr>
      <w:r w:rsidRPr="008525F2">
        <w:rPr>
          <w:lang w:val="en-US"/>
        </w:rPr>
        <w:t>In this contribution, we make the following proposals for extending and modifying the legacy 2Rx test cases to verify performance of a 4Rx UE.</w:t>
      </w:r>
    </w:p>
    <w:p w:rsidR="008F3E6D" w:rsidRDefault="008F3E6D" w:rsidP="008F3E6D">
      <w:pPr>
        <w:spacing w:line="276" w:lineRule="auto"/>
        <w:rPr>
          <w:b/>
          <w:lang w:val="en-US"/>
        </w:rPr>
      </w:pPr>
      <w:r>
        <w:rPr>
          <w:b/>
          <w:lang w:val="en-US"/>
        </w:rPr>
        <w:t>Proposal 1</w:t>
      </w:r>
      <w:r w:rsidRPr="008525F2">
        <w:rPr>
          <w:b/>
          <w:lang w:val="en-US"/>
        </w:rPr>
        <w:t xml:space="preserve">: </w:t>
      </w:r>
      <w:r w:rsidR="009E49AD" w:rsidRPr="008525F2">
        <w:rPr>
          <w:b/>
          <w:lang w:val="en-US"/>
        </w:rPr>
        <w:t>If a 4Rx UE</w:t>
      </w:r>
      <w:r w:rsidR="009E49AD">
        <w:rPr>
          <w:b/>
          <w:lang w:val="en-US"/>
        </w:rPr>
        <w:t xml:space="preserve"> </w:t>
      </w:r>
      <w:r w:rsidR="009E49AD" w:rsidRPr="008525F2">
        <w:rPr>
          <w:b/>
          <w:lang w:val="en-US"/>
        </w:rPr>
        <w:t xml:space="preserve">supports 2Rx operation on a subset of the bands, then all the band agnostic legacy test cases </w:t>
      </w:r>
      <w:r w:rsidR="009E49AD">
        <w:rPr>
          <w:b/>
          <w:lang w:val="en-US"/>
        </w:rPr>
        <w:t xml:space="preserve">including demodulation, CSI and RRM tests </w:t>
      </w:r>
      <w:r w:rsidR="009E49AD" w:rsidRPr="008525F2">
        <w:rPr>
          <w:b/>
          <w:lang w:val="en-US"/>
        </w:rPr>
        <w:t>should be performed on one of the bands where UE supports 2Rx operation</w:t>
      </w:r>
      <w:r w:rsidR="009E49AD">
        <w:rPr>
          <w:b/>
          <w:lang w:val="en-US"/>
        </w:rPr>
        <w:t>.</w:t>
      </w:r>
    </w:p>
    <w:p w:rsidR="009E49AD" w:rsidRPr="008525F2" w:rsidRDefault="009E49AD" w:rsidP="009E49AD">
      <w:pPr>
        <w:spacing w:line="276" w:lineRule="auto"/>
        <w:rPr>
          <w:lang w:val="en-US"/>
        </w:rPr>
      </w:pPr>
      <w:r>
        <w:rPr>
          <w:b/>
          <w:lang w:val="en-US"/>
        </w:rPr>
        <w:t>Proposal 2</w:t>
      </w:r>
      <w:r w:rsidRPr="004407B4">
        <w:rPr>
          <w:b/>
          <w:lang w:val="en-US"/>
        </w:rPr>
        <w:t>: Band dependent RRM test cases should be run with 4Rx configurations in the bands where UE supports 4Rx</w:t>
      </w:r>
      <w:r>
        <w:rPr>
          <w:b/>
          <w:lang w:val="en-US"/>
        </w:rPr>
        <w:t xml:space="preserve"> and with 2Rx </w:t>
      </w:r>
      <w:r w:rsidRPr="004407B4">
        <w:rPr>
          <w:b/>
          <w:lang w:val="en-US"/>
        </w:rPr>
        <w:t xml:space="preserve">configurations in the bands where UE supports </w:t>
      </w:r>
      <w:r>
        <w:rPr>
          <w:b/>
          <w:lang w:val="en-US"/>
        </w:rPr>
        <w:t>2</w:t>
      </w:r>
      <w:r w:rsidRPr="004407B4">
        <w:rPr>
          <w:b/>
          <w:lang w:val="en-US"/>
        </w:rPr>
        <w:t xml:space="preserve">Rx. </w:t>
      </w:r>
    </w:p>
    <w:p w:rsidR="00706D6F" w:rsidRPr="008525F2" w:rsidRDefault="00B760FB" w:rsidP="00706D6F">
      <w:pPr>
        <w:spacing w:line="276" w:lineRule="auto"/>
        <w:rPr>
          <w:b/>
          <w:lang w:val="en-US"/>
        </w:rPr>
      </w:pPr>
      <w:r>
        <w:rPr>
          <w:b/>
        </w:rPr>
        <w:t>Proposal 3</w:t>
      </w:r>
      <w:r w:rsidR="00706D6F" w:rsidRPr="008525F2">
        <w:rPr>
          <w:b/>
        </w:rPr>
        <w:t xml:space="preserve">: </w:t>
      </w:r>
      <w:r w:rsidR="00706D6F" w:rsidRPr="008525F2">
        <w:rPr>
          <w:b/>
          <w:lang w:val="en-US"/>
        </w:rPr>
        <w:t xml:space="preserve">Legacy 2Rx test cases can be extended to 4Rx such that the correlation matrix corresponding to the </w:t>
      </w:r>
      <w:proofErr w:type="spellStart"/>
      <w:r w:rsidR="00706D6F" w:rsidRPr="008525F2">
        <w:rPr>
          <w:b/>
          <w:lang w:val="en-US"/>
        </w:rPr>
        <w:t>NTx</w:t>
      </w:r>
      <w:proofErr w:type="spellEnd"/>
      <w:r w:rsidR="00706D6F" w:rsidRPr="008525F2">
        <w:rPr>
          <w:b/>
          <w:lang w:val="en-US"/>
        </w:rPr>
        <w:t xml:space="preserve"> x 4 antenna configuration is:</w:t>
      </w:r>
    </w:p>
    <w:p w:rsidR="00706D6F" w:rsidRPr="008525F2" w:rsidRDefault="00706D6F" w:rsidP="00706D6F">
      <w:pPr>
        <w:pStyle w:val="ListParagraph"/>
        <w:numPr>
          <w:ilvl w:val="0"/>
          <w:numId w:val="9"/>
        </w:numPr>
        <w:spacing w:line="276" w:lineRule="auto"/>
        <w:rPr>
          <w:b/>
          <w:lang w:val="en-US"/>
        </w:rPr>
      </w:pPr>
      <w:r w:rsidRPr="008525F2">
        <w:rPr>
          <w:b/>
          <w:lang w:val="en-US"/>
        </w:rPr>
        <w:t xml:space="preserve">Obtained by setting </w:t>
      </w:r>
      <w:proofErr w:type="spellStart"/>
      <w:proofErr w:type="gramStart"/>
      <w:r w:rsidRPr="008525F2">
        <w:rPr>
          <w:b/>
          <w:lang w:val="en-US"/>
        </w:rPr>
        <w:t>Tx</w:t>
      </w:r>
      <w:proofErr w:type="spellEnd"/>
      <w:proofErr w:type="gramEnd"/>
      <w:r w:rsidRPr="008525F2">
        <w:rPr>
          <w:b/>
          <w:lang w:val="en-US"/>
        </w:rPr>
        <w:t xml:space="preserve"> correlation α = 0, and Rx correlation β= 0, if the legacy test case was tested under low correlation.</w:t>
      </w:r>
    </w:p>
    <w:p w:rsidR="00706D6F" w:rsidRPr="008525F2" w:rsidRDefault="00706D6F" w:rsidP="00706D6F">
      <w:pPr>
        <w:pStyle w:val="ListParagraph"/>
        <w:numPr>
          <w:ilvl w:val="0"/>
          <w:numId w:val="9"/>
        </w:numPr>
        <w:spacing w:line="276" w:lineRule="auto"/>
        <w:rPr>
          <w:b/>
          <w:lang w:val="en-US"/>
        </w:rPr>
      </w:pPr>
      <w:r w:rsidRPr="008525F2">
        <w:rPr>
          <w:b/>
          <w:lang w:val="en-US"/>
        </w:rPr>
        <w:lastRenderedPageBreak/>
        <w:t xml:space="preserve">Obtained by setting </w:t>
      </w:r>
      <w:proofErr w:type="spellStart"/>
      <w:proofErr w:type="gramStart"/>
      <w:r w:rsidRPr="008525F2">
        <w:rPr>
          <w:b/>
          <w:lang w:val="en-US"/>
        </w:rPr>
        <w:t>Tx</w:t>
      </w:r>
      <w:proofErr w:type="spellEnd"/>
      <w:proofErr w:type="gramEnd"/>
      <w:r w:rsidRPr="008525F2">
        <w:rPr>
          <w:b/>
          <w:lang w:val="en-US"/>
        </w:rPr>
        <w:t xml:space="preserve"> correlation α = 0.9, and Rx correlation β= 0.9, if the legacy test case was tested under high correlation.</w:t>
      </w:r>
    </w:p>
    <w:p w:rsidR="007C4A69" w:rsidRPr="008525F2" w:rsidRDefault="00706D6F" w:rsidP="009336A4">
      <w:pPr>
        <w:pStyle w:val="ListParagraph"/>
        <w:numPr>
          <w:ilvl w:val="0"/>
          <w:numId w:val="9"/>
        </w:numPr>
        <w:spacing w:line="276" w:lineRule="auto"/>
        <w:rPr>
          <w:lang w:val="en-US"/>
        </w:rPr>
      </w:pPr>
      <w:r w:rsidRPr="008525F2">
        <w:rPr>
          <w:b/>
          <w:lang w:val="en-US"/>
        </w:rPr>
        <w:t>Obtained by considering the new medium correlation under study in RAN4, if the legacy test case was tested under medium correlation.</w:t>
      </w:r>
    </w:p>
    <w:p w:rsidR="00706D6F" w:rsidRPr="008525F2" w:rsidRDefault="00B760FB" w:rsidP="00706D6F">
      <w:pPr>
        <w:spacing w:line="276" w:lineRule="auto"/>
        <w:rPr>
          <w:b/>
          <w:lang w:val="en-US"/>
        </w:rPr>
      </w:pPr>
      <w:r>
        <w:rPr>
          <w:b/>
          <w:lang w:val="en-US"/>
        </w:rPr>
        <w:t>Proposal 4</w:t>
      </w:r>
      <w:r w:rsidR="00706D6F" w:rsidRPr="008525F2">
        <w:rPr>
          <w:b/>
          <w:lang w:val="en-US"/>
        </w:rPr>
        <w:t xml:space="preserve">: Legacy test cases, where the channel profile is specified by the same multipath profile for each </w:t>
      </w:r>
      <w:proofErr w:type="spellStart"/>
      <w:r w:rsidR="00706D6F" w:rsidRPr="008525F2">
        <w:rPr>
          <w:b/>
          <w:lang w:val="en-US"/>
        </w:rPr>
        <w:t>Tx</w:t>
      </w:r>
      <w:proofErr w:type="spellEnd"/>
      <w:r w:rsidR="00706D6F" w:rsidRPr="008525F2">
        <w:rPr>
          <w:b/>
          <w:lang w:val="en-US"/>
        </w:rPr>
        <w:t xml:space="preserve">-Rx pair, can be extended to 4Rx by applying the same multipath profile (identical to the one for all </w:t>
      </w:r>
      <w:proofErr w:type="spellStart"/>
      <w:r w:rsidR="00706D6F" w:rsidRPr="008525F2">
        <w:rPr>
          <w:b/>
          <w:lang w:val="en-US"/>
        </w:rPr>
        <w:t>Tx</w:t>
      </w:r>
      <w:proofErr w:type="spellEnd"/>
      <w:r w:rsidR="00706D6F" w:rsidRPr="008525F2">
        <w:rPr>
          <w:b/>
          <w:lang w:val="en-US"/>
        </w:rPr>
        <w:t xml:space="preserve">-Rx pair in legacy test case) for all </w:t>
      </w:r>
      <w:proofErr w:type="spellStart"/>
      <w:r w:rsidR="00706D6F" w:rsidRPr="008525F2">
        <w:rPr>
          <w:b/>
          <w:lang w:val="en-US"/>
        </w:rPr>
        <w:t>NTx</w:t>
      </w:r>
      <w:proofErr w:type="spellEnd"/>
      <w:r w:rsidR="00706D6F" w:rsidRPr="008525F2">
        <w:rPr>
          <w:b/>
          <w:lang w:val="en-US"/>
        </w:rPr>
        <w:t xml:space="preserve"> x 4 </w:t>
      </w:r>
      <w:proofErr w:type="spellStart"/>
      <w:r w:rsidR="00706D6F" w:rsidRPr="008525F2">
        <w:rPr>
          <w:b/>
          <w:lang w:val="en-US"/>
        </w:rPr>
        <w:t>Tx</w:t>
      </w:r>
      <w:proofErr w:type="spellEnd"/>
      <w:r w:rsidR="00706D6F" w:rsidRPr="008525F2">
        <w:rPr>
          <w:b/>
          <w:lang w:val="en-US"/>
        </w:rPr>
        <w:t>-Rx pairs.</w:t>
      </w:r>
    </w:p>
    <w:p w:rsidR="00706D6F" w:rsidRPr="008525F2" w:rsidRDefault="00B760FB" w:rsidP="00706D6F">
      <w:pPr>
        <w:spacing w:line="276" w:lineRule="auto"/>
        <w:rPr>
          <w:b/>
        </w:rPr>
      </w:pPr>
      <w:r>
        <w:rPr>
          <w:b/>
        </w:rPr>
        <w:t>Proposal 5</w:t>
      </w:r>
      <w:r w:rsidR="00706D6F" w:rsidRPr="008525F2">
        <w:rPr>
          <w:b/>
        </w:rPr>
        <w:t xml:space="preserve">: The test point and requirement for all extended legacy </w:t>
      </w:r>
      <w:proofErr w:type="spellStart"/>
      <w:r w:rsidR="00706D6F" w:rsidRPr="008525F2">
        <w:rPr>
          <w:b/>
        </w:rPr>
        <w:t>demod</w:t>
      </w:r>
      <w:proofErr w:type="spellEnd"/>
      <w:r w:rsidR="00706D6F" w:rsidRPr="008525F2">
        <w:rPr>
          <w:b/>
        </w:rPr>
        <w:t xml:space="preserve"> test cases should be identical to the corresponding legacy test case.</w:t>
      </w:r>
    </w:p>
    <w:p w:rsidR="009E49AD" w:rsidRPr="008525F2" w:rsidRDefault="009E49AD" w:rsidP="009E49AD">
      <w:pPr>
        <w:spacing w:line="276" w:lineRule="auto"/>
        <w:rPr>
          <w:b/>
          <w:lang w:val="en-US"/>
        </w:rPr>
      </w:pPr>
      <w:r w:rsidRPr="008525F2">
        <w:rPr>
          <w:b/>
          <w:lang w:val="en-US"/>
        </w:rPr>
        <w:t xml:space="preserve">Proposal </w:t>
      </w:r>
      <w:r>
        <w:rPr>
          <w:b/>
          <w:lang w:val="en-US"/>
        </w:rPr>
        <w:t>6</w:t>
      </w:r>
      <w:r w:rsidRPr="008525F2">
        <w:rPr>
          <w:b/>
          <w:lang w:val="en-US"/>
        </w:rPr>
        <w:t>: Corresponding to each of the legacy CSI test cases, where relative throughput gain is a performance metric, the requirement for the extended legacy test case need not be identical. For a subset of such extended legacy CSI test cases, the requirement may need to be modified in accordance with the relative throughput gain achieved by a 4Rx UE.</w:t>
      </w:r>
    </w:p>
    <w:p w:rsidR="00706D6F" w:rsidRDefault="00B760FB" w:rsidP="00706D6F">
      <w:pPr>
        <w:spacing w:line="276" w:lineRule="auto"/>
        <w:rPr>
          <w:b/>
          <w:lang w:val="en-US"/>
        </w:rPr>
      </w:pPr>
      <w:r>
        <w:rPr>
          <w:b/>
          <w:lang w:val="en-US"/>
        </w:rPr>
        <w:t>Proposal 7</w:t>
      </w:r>
      <w:r w:rsidR="00706D6F" w:rsidRPr="008525F2">
        <w:rPr>
          <w:b/>
          <w:lang w:val="en-US"/>
        </w:rPr>
        <w:t>: Corresponding to each of the legacy CQI test case, the test point in the extended CQI test case need to be identical. The test point for a subset of extended CQI test cases may need to be modified if the diversity gain due to 4Rx results in saturation of CQI.</w:t>
      </w:r>
    </w:p>
    <w:p w:rsidR="00B760FB" w:rsidRPr="00B760FB" w:rsidRDefault="00B760FB" w:rsidP="00B760FB">
      <w:pPr>
        <w:spacing w:line="276" w:lineRule="auto"/>
        <w:rPr>
          <w:b/>
          <w:lang w:val="en-US"/>
        </w:rPr>
      </w:pPr>
      <w:r>
        <w:rPr>
          <w:b/>
          <w:lang w:val="en-US"/>
        </w:rPr>
        <w:t>Proposal 8:</w:t>
      </w:r>
      <w:r w:rsidRPr="00B760FB">
        <w:rPr>
          <w:b/>
          <w:lang w:val="en-US"/>
        </w:rPr>
        <w:t xml:space="preserve"> Extend RRM test cases by replacing the channels with 1x4 or 2x4 low correlation channels and maintain the same requirements and test points. </w:t>
      </w:r>
    </w:p>
    <w:p w:rsidR="00B63D5A" w:rsidRPr="008525F2" w:rsidRDefault="00A739D9" w:rsidP="00B63D5A">
      <w:pPr>
        <w:pStyle w:val="Heading1"/>
        <w:spacing w:line="276" w:lineRule="auto"/>
        <w:rPr>
          <w:rFonts w:ascii="Times New Roman" w:hAnsi="Times New Roman"/>
          <w:lang w:val="en-US"/>
        </w:rPr>
      </w:pPr>
      <w:r w:rsidRPr="008525F2">
        <w:rPr>
          <w:rFonts w:ascii="Times New Roman" w:hAnsi="Times New Roman"/>
          <w:lang w:val="en-US"/>
        </w:rPr>
        <w:t>References</w:t>
      </w:r>
    </w:p>
    <w:p w:rsidR="004425E2" w:rsidRPr="008525F2" w:rsidRDefault="00A739D9" w:rsidP="004425E2">
      <w:pPr>
        <w:tabs>
          <w:tab w:val="left" w:pos="1985"/>
        </w:tabs>
        <w:spacing w:after="0" w:line="276" w:lineRule="auto"/>
        <w:ind w:left="1988" w:hanging="1980"/>
        <w:jc w:val="both"/>
      </w:pPr>
      <w:r w:rsidRPr="008525F2">
        <w:rPr>
          <w:lang w:val="en-US"/>
        </w:rPr>
        <w:t xml:space="preserve">[1] </w:t>
      </w:r>
      <w:r w:rsidRPr="008525F2">
        <w:t>R4-155201, “</w:t>
      </w:r>
      <w:r w:rsidRPr="008525F2">
        <w:rPr>
          <w:rFonts w:eastAsia="SimSun"/>
          <w:bCs/>
          <w:kern w:val="2"/>
        </w:rPr>
        <w:t>Meeting minutes for 4Rx ad hoc for RRM sessions,</w:t>
      </w:r>
      <w:r w:rsidRPr="008525F2">
        <w:t xml:space="preserve">” Ericsson, </w:t>
      </w:r>
      <w:r w:rsidRPr="008525F2">
        <w:rPr>
          <w:lang w:val="en-US"/>
        </w:rPr>
        <w:t>TSG-RAN4 #76, Aug. 2015</w:t>
      </w:r>
    </w:p>
    <w:p w:rsidR="004425E2" w:rsidRPr="008525F2" w:rsidRDefault="00A739D9" w:rsidP="004425E2">
      <w:pPr>
        <w:tabs>
          <w:tab w:val="left" w:pos="1985"/>
        </w:tabs>
        <w:spacing w:after="0" w:line="276" w:lineRule="auto"/>
        <w:ind w:left="1988" w:hanging="1980"/>
        <w:jc w:val="both"/>
      </w:pPr>
      <w:r w:rsidRPr="008525F2">
        <w:t>[2] R4-</w:t>
      </w:r>
      <w:r w:rsidRPr="008525F2">
        <w:rPr>
          <w:lang w:val="en-US"/>
        </w:rPr>
        <w:t>155543</w:t>
      </w:r>
      <w:r w:rsidRPr="008525F2">
        <w:t>, “On legacy test applicability and procedure for 4Rx UE</w:t>
      </w:r>
      <w:r w:rsidR="00E93E28">
        <w:t>,</w:t>
      </w:r>
      <w:r w:rsidRPr="008525F2">
        <w:t xml:space="preserve">” Qualcomm, TSG-RAN #76bis, Sept. 2015  </w:t>
      </w:r>
    </w:p>
    <w:p w:rsidR="004425E2" w:rsidRDefault="00A739D9" w:rsidP="004425E2">
      <w:pPr>
        <w:tabs>
          <w:tab w:val="left" w:pos="1985"/>
        </w:tabs>
        <w:spacing w:after="0" w:line="276" w:lineRule="auto"/>
        <w:ind w:left="1988" w:hanging="1980"/>
        <w:jc w:val="both"/>
      </w:pPr>
      <w:r w:rsidRPr="008525F2">
        <w:rPr>
          <w:lang w:val="en-US"/>
        </w:rPr>
        <w:t>[3] R4-156868, “</w:t>
      </w:r>
      <w:r w:rsidRPr="008525F2">
        <w:rPr>
          <w:bCs/>
        </w:rPr>
        <w:t>Meeting minutes for 4Rx ad hoc for RRM sessions</w:t>
      </w:r>
      <w:r w:rsidRPr="008525F2">
        <w:rPr>
          <w:lang w:val="en-US"/>
        </w:rPr>
        <w:t xml:space="preserve">,” Ericsson, </w:t>
      </w:r>
      <w:r w:rsidRPr="008525F2">
        <w:t>TSG-RAN4 #76bis, Sept. 2015</w:t>
      </w:r>
    </w:p>
    <w:p w:rsidR="004425E2" w:rsidRPr="008525F2" w:rsidRDefault="004425E2" w:rsidP="004425E2">
      <w:pPr>
        <w:tabs>
          <w:tab w:val="left" w:pos="1985"/>
        </w:tabs>
        <w:spacing w:after="0" w:line="276" w:lineRule="auto"/>
        <w:ind w:left="1988" w:hanging="1980"/>
        <w:jc w:val="both"/>
      </w:pPr>
      <w:r w:rsidRPr="008525F2">
        <w:t>[4] TS-36.101</w:t>
      </w:r>
    </w:p>
    <w:p w:rsidR="00D73117" w:rsidRDefault="003E22D1" w:rsidP="00D73117">
      <w:pPr>
        <w:tabs>
          <w:tab w:val="left" w:pos="1985"/>
        </w:tabs>
        <w:spacing w:after="0" w:line="276" w:lineRule="auto"/>
        <w:ind w:left="1988" w:hanging="1980"/>
        <w:rPr>
          <w:szCs w:val="21"/>
        </w:rPr>
      </w:pPr>
      <w:r w:rsidRPr="008525F2">
        <w:rPr>
          <w:lang w:val="en-US"/>
        </w:rPr>
        <w:t>[5] R4-156868, “</w:t>
      </w:r>
      <w:r w:rsidRPr="008525F2">
        <w:rPr>
          <w:szCs w:val="21"/>
        </w:rPr>
        <w:t>Proposal for new medium channel correlation matrices to use in 4 Rx</w:t>
      </w:r>
      <w:r w:rsidR="00E93E28">
        <w:rPr>
          <w:szCs w:val="21"/>
        </w:rPr>
        <w:t>,</w:t>
      </w:r>
      <w:r w:rsidRPr="008525F2">
        <w:rPr>
          <w:szCs w:val="21"/>
        </w:rPr>
        <w:t>”</w:t>
      </w:r>
      <w:r w:rsidR="00E93E28">
        <w:rPr>
          <w:szCs w:val="21"/>
        </w:rPr>
        <w:t xml:space="preserve"> </w:t>
      </w:r>
      <w:r w:rsidRPr="008525F2">
        <w:rPr>
          <w:szCs w:val="21"/>
        </w:rPr>
        <w:t>Ericsson,</w:t>
      </w:r>
      <w:r w:rsidR="00D73117">
        <w:rPr>
          <w:szCs w:val="21"/>
        </w:rPr>
        <w:t xml:space="preserve"> </w:t>
      </w:r>
    </w:p>
    <w:p w:rsidR="003E22D1" w:rsidRDefault="00D73117" w:rsidP="00D73117">
      <w:pPr>
        <w:tabs>
          <w:tab w:val="left" w:pos="1985"/>
        </w:tabs>
        <w:spacing w:after="0" w:line="276" w:lineRule="auto"/>
        <w:ind w:left="1988" w:hanging="1980"/>
        <w:rPr>
          <w:szCs w:val="21"/>
        </w:rPr>
      </w:pPr>
      <w:r>
        <w:rPr>
          <w:szCs w:val="21"/>
        </w:rPr>
        <w:t xml:space="preserve">      </w:t>
      </w:r>
      <w:r w:rsidR="003E22D1" w:rsidRPr="008525F2">
        <w:rPr>
          <w:szCs w:val="21"/>
        </w:rPr>
        <w:t>TSG-</w:t>
      </w:r>
      <w:r>
        <w:rPr>
          <w:szCs w:val="21"/>
        </w:rPr>
        <w:t>R</w:t>
      </w:r>
      <w:r w:rsidR="003E22D1" w:rsidRPr="008525F2">
        <w:rPr>
          <w:szCs w:val="21"/>
        </w:rPr>
        <w:t>AN</w:t>
      </w:r>
      <w:r w:rsidR="00511368">
        <w:rPr>
          <w:szCs w:val="21"/>
        </w:rPr>
        <w:t>4</w:t>
      </w:r>
      <w:r w:rsidR="003E22D1" w:rsidRPr="008525F2">
        <w:rPr>
          <w:szCs w:val="21"/>
        </w:rPr>
        <w:t>#74bis</w:t>
      </w:r>
      <w:r>
        <w:rPr>
          <w:szCs w:val="21"/>
        </w:rPr>
        <w:t>, April 2015</w:t>
      </w:r>
    </w:p>
    <w:p w:rsidR="00511368" w:rsidRPr="008525F2" w:rsidRDefault="00511368" w:rsidP="003E22D1">
      <w:pPr>
        <w:tabs>
          <w:tab w:val="left" w:pos="1985"/>
        </w:tabs>
        <w:spacing w:after="0" w:line="276" w:lineRule="auto"/>
        <w:ind w:left="1988" w:hanging="1980"/>
      </w:pPr>
      <w:r>
        <w:rPr>
          <w:szCs w:val="21"/>
        </w:rPr>
        <w:t>[6] R4-157271, “RLM for 4Rx</w:t>
      </w:r>
      <w:r w:rsidR="00E93E28">
        <w:rPr>
          <w:szCs w:val="21"/>
        </w:rPr>
        <w:t>,</w:t>
      </w:r>
      <w:r>
        <w:rPr>
          <w:szCs w:val="21"/>
        </w:rPr>
        <w:t xml:space="preserve">” Qualcomm, TSG-RAN4#77, Anaheim, </w:t>
      </w:r>
      <w:bookmarkStart w:id="0" w:name="_GoBack"/>
      <w:bookmarkEnd w:id="0"/>
      <w:r>
        <w:rPr>
          <w:szCs w:val="21"/>
        </w:rPr>
        <w:t>November 2015</w:t>
      </w:r>
    </w:p>
    <w:sectPr w:rsidR="00511368" w:rsidRPr="008525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D2426"/>
    <w:multiLevelType w:val="hybridMultilevel"/>
    <w:tmpl w:val="198EB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480DE4"/>
    <w:multiLevelType w:val="hybridMultilevel"/>
    <w:tmpl w:val="1DB89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DE06A1"/>
    <w:multiLevelType w:val="hybridMultilevel"/>
    <w:tmpl w:val="8C0C4E64"/>
    <w:lvl w:ilvl="0" w:tplc="B502AC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4F59F0"/>
    <w:multiLevelType w:val="multilevel"/>
    <w:tmpl w:val="4F42F9C8"/>
    <w:lvl w:ilvl="0">
      <w:start w:val="1"/>
      <w:numFmt w:val="decimal"/>
      <w:pStyle w:val="Heading1"/>
      <w:lvlText w:val="%1."/>
      <w:lvlJc w:val="left"/>
      <w:pPr>
        <w:tabs>
          <w:tab w:val="num" w:pos="432"/>
        </w:tabs>
        <w:ind w:left="432" w:hanging="432"/>
      </w:pPr>
      <w:rPr>
        <w:rFonts w:ascii="Times New Roman" w:hAnsi="Times New Roman" w:cs="Times New Roman" w:hint="default"/>
      </w:rPr>
    </w:lvl>
    <w:lvl w:ilvl="1">
      <w:start w:val="1"/>
      <w:numFmt w:val="decimal"/>
      <w:pStyle w:val="Heading2"/>
      <w:lvlText w:val="%1.%2."/>
      <w:lvlJc w:val="left"/>
      <w:pPr>
        <w:tabs>
          <w:tab w:val="num" w:pos="756"/>
        </w:tabs>
        <w:ind w:left="756" w:hanging="576"/>
      </w:pPr>
      <w:rPr>
        <w:rFonts w:ascii="Times New Roman" w:hAnsi="Times New Roman" w:cs="Times New Roman"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6B27741A"/>
    <w:multiLevelType w:val="hybridMultilevel"/>
    <w:tmpl w:val="D9B6BB9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788026DC"/>
    <w:multiLevelType w:val="hybridMultilevel"/>
    <w:tmpl w:val="1C1A5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C64B6F"/>
    <w:multiLevelType w:val="hybridMultilevel"/>
    <w:tmpl w:val="638A1ECA"/>
    <w:lvl w:ilvl="0" w:tplc="B502AC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180287"/>
    <w:multiLevelType w:val="hybridMultilevel"/>
    <w:tmpl w:val="4E408182"/>
    <w:lvl w:ilvl="0" w:tplc="C9E2692C">
      <w:start w:val="1"/>
      <w:numFmt w:val="bullet"/>
      <w:lvlText w:val="•"/>
      <w:lvlJc w:val="left"/>
      <w:pPr>
        <w:tabs>
          <w:tab w:val="num" w:pos="720"/>
        </w:tabs>
        <w:ind w:left="720" w:hanging="360"/>
      </w:pPr>
      <w:rPr>
        <w:rFonts w:ascii="Arial" w:hAnsi="Arial" w:cs="Times New Roman" w:hint="default"/>
      </w:rPr>
    </w:lvl>
    <w:lvl w:ilvl="1" w:tplc="26FE339C">
      <w:start w:val="1"/>
      <w:numFmt w:val="bullet"/>
      <w:lvlText w:val="•"/>
      <w:lvlJc w:val="left"/>
      <w:pPr>
        <w:tabs>
          <w:tab w:val="num" w:pos="1440"/>
        </w:tabs>
        <w:ind w:left="1440" w:hanging="360"/>
      </w:pPr>
      <w:rPr>
        <w:rFonts w:ascii="Arial" w:hAnsi="Arial" w:cs="Times New Roman" w:hint="default"/>
      </w:rPr>
    </w:lvl>
    <w:lvl w:ilvl="2" w:tplc="32AA08EE">
      <w:start w:val="1"/>
      <w:numFmt w:val="bullet"/>
      <w:lvlText w:val="•"/>
      <w:lvlJc w:val="left"/>
      <w:pPr>
        <w:tabs>
          <w:tab w:val="num" w:pos="2160"/>
        </w:tabs>
        <w:ind w:left="2160" w:hanging="360"/>
      </w:pPr>
      <w:rPr>
        <w:rFonts w:ascii="Arial" w:hAnsi="Arial" w:cs="Times New Roman" w:hint="default"/>
      </w:rPr>
    </w:lvl>
    <w:lvl w:ilvl="3" w:tplc="0B1CA05A">
      <w:start w:val="1"/>
      <w:numFmt w:val="bullet"/>
      <w:lvlText w:val="•"/>
      <w:lvlJc w:val="left"/>
      <w:pPr>
        <w:tabs>
          <w:tab w:val="num" w:pos="2880"/>
        </w:tabs>
        <w:ind w:left="2880" w:hanging="360"/>
      </w:pPr>
      <w:rPr>
        <w:rFonts w:ascii="Arial" w:hAnsi="Arial" w:cs="Times New Roman" w:hint="default"/>
      </w:rPr>
    </w:lvl>
    <w:lvl w:ilvl="4" w:tplc="06A2EA3C">
      <w:start w:val="1"/>
      <w:numFmt w:val="bullet"/>
      <w:lvlText w:val="•"/>
      <w:lvlJc w:val="left"/>
      <w:pPr>
        <w:tabs>
          <w:tab w:val="num" w:pos="3600"/>
        </w:tabs>
        <w:ind w:left="3600" w:hanging="360"/>
      </w:pPr>
      <w:rPr>
        <w:rFonts w:ascii="Arial" w:hAnsi="Arial" w:cs="Times New Roman" w:hint="default"/>
      </w:rPr>
    </w:lvl>
    <w:lvl w:ilvl="5" w:tplc="9C5611C8">
      <w:start w:val="1"/>
      <w:numFmt w:val="bullet"/>
      <w:lvlText w:val="•"/>
      <w:lvlJc w:val="left"/>
      <w:pPr>
        <w:tabs>
          <w:tab w:val="num" w:pos="4320"/>
        </w:tabs>
        <w:ind w:left="4320" w:hanging="360"/>
      </w:pPr>
      <w:rPr>
        <w:rFonts w:ascii="Arial" w:hAnsi="Arial" w:cs="Times New Roman" w:hint="default"/>
      </w:rPr>
    </w:lvl>
    <w:lvl w:ilvl="6" w:tplc="8A58E254">
      <w:start w:val="1"/>
      <w:numFmt w:val="bullet"/>
      <w:lvlText w:val="•"/>
      <w:lvlJc w:val="left"/>
      <w:pPr>
        <w:tabs>
          <w:tab w:val="num" w:pos="5040"/>
        </w:tabs>
        <w:ind w:left="5040" w:hanging="360"/>
      </w:pPr>
      <w:rPr>
        <w:rFonts w:ascii="Arial" w:hAnsi="Arial" w:cs="Times New Roman" w:hint="default"/>
      </w:rPr>
    </w:lvl>
    <w:lvl w:ilvl="7" w:tplc="745663C4">
      <w:start w:val="1"/>
      <w:numFmt w:val="bullet"/>
      <w:lvlText w:val="•"/>
      <w:lvlJc w:val="left"/>
      <w:pPr>
        <w:tabs>
          <w:tab w:val="num" w:pos="5760"/>
        </w:tabs>
        <w:ind w:left="5760" w:hanging="360"/>
      </w:pPr>
      <w:rPr>
        <w:rFonts w:ascii="Arial" w:hAnsi="Arial" w:cs="Times New Roman" w:hint="default"/>
      </w:rPr>
    </w:lvl>
    <w:lvl w:ilvl="8" w:tplc="F172302C">
      <w:start w:val="1"/>
      <w:numFmt w:val="bullet"/>
      <w:lvlText w:val="•"/>
      <w:lvlJc w:val="left"/>
      <w:pPr>
        <w:tabs>
          <w:tab w:val="num" w:pos="6480"/>
        </w:tabs>
        <w:ind w:left="6480" w:hanging="360"/>
      </w:pPr>
      <w:rPr>
        <w:rFonts w:ascii="Arial" w:hAnsi="Arial" w:cs="Times New Roman" w:hint="default"/>
      </w:rPr>
    </w:lvl>
  </w:abstractNum>
  <w:num w:numId="1">
    <w:abstractNumId w:val="3"/>
  </w:num>
  <w:num w:numId="2">
    <w:abstractNumId w:val="8"/>
  </w:num>
  <w:num w:numId="3">
    <w:abstractNumId w:val="6"/>
  </w:num>
  <w:num w:numId="4">
    <w:abstractNumId w:val="2"/>
  </w:num>
  <w:num w:numId="5">
    <w:abstractNumId w:val="7"/>
  </w:num>
  <w:num w:numId="6">
    <w:abstractNumId w:val="5"/>
  </w:num>
  <w:num w:numId="7">
    <w:abstractNumId w:val="1"/>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C42"/>
    <w:rsid w:val="00046633"/>
    <w:rsid w:val="00090AE8"/>
    <w:rsid w:val="0009300E"/>
    <w:rsid w:val="000C26AB"/>
    <w:rsid w:val="000E2BF4"/>
    <w:rsid w:val="000F3FDD"/>
    <w:rsid w:val="00194E2B"/>
    <w:rsid w:val="001A5752"/>
    <w:rsid w:val="001D2D5F"/>
    <w:rsid w:val="00214846"/>
    <w:rsid w:val="00255E29"/>
    <w:rsid w:val="00272652"/>
    <w:rsid w:val="002B045E"/>
    <w:rsid w:val="002D32DA"/>
    <w:rsid w:val="00373449"/>
    <w:rsid w:val="003A6CF4"/>
    <w:rsid w:val="003E22D1"/>
    <w:rsid w:val="003E7C6B"/>
    <w:rsid w:val="004425E2"/>
    <w:rsid w:val="004546F5"/>
    <w:rsid w:val="00496184"/>
    <w:rsid w:val="004B5DF3"/>
    <w:rsid w:val="004D0F6F"/>
    <w:rsid w:val="004D52D6"/>
    <w:rsid w:val="00511368"/>
    <w:rsid w:val="00533B4E"/>
    <w:rsid w:val="00595AA4"/>
    <w:rsid w:val="005A4456"/>
    <w:rsid w:val="005B42C1"/>
    <w:rsid w:val="00670217"/>
    <w:rsid w:val="006A269B"/>
    <w:rsid w:val="006E2C42"/>
    <w:rsid w:val="006F69D1"/>
    <w:rsid w:val="00700C5C"/>
    <w:rsid w:val="0070136C"/>
    <w:rsid w:val="00702A8D"/>
    <w:rsid w:val="00706D6F"/>
    <w:rsid w:val="00715938"/>
    <w:rsid w:val="00755DB7"/>
    <w:rsid w:val="007863E0"/>
    <w:rsid w:val="007A1BAC"/>
    <w:rsid w:val="007C2C3B"/>
    <w:rsid w:val="007C4A69"/>
    <w:rsid w:val="00803416"/>
    <w:rsid w:val="008076E2"/>
    <w:rsid w:val="008525F2"/>
    <w:rsid w:val="00863810"/>
    <w:rsid w:val="008A7E37"/>
    <w:rsid w:val="008B5926"/>
    <w:rsid w:val="008F3E6D"/>
    <w:rsid w:val="008F7B56"/>
    <w:rsid w:val="009217B2"/>
    <w:rsid w:val="00962969"/>
    <w:rsid w:val="009A70F4"/>
    <w:rsid w:val="009E3E49"/>
    <w:rsid w:val="009E49AD"/>
    <w:rsid w:val="00A12153"/>
    <w:rsid w:val="00A55ED0"/>
    <w:rsid w:val="00A739D9"/>
    <w:rsid w:val="00A90A44"/>
    <w:rsid w:val="00AB601B"/>
    <w:rsid w:val="00AD1ACF"/>
    <w:rsid w:val="00B02AA4"/>
    <w:rsid w:val="00B22EE8"/>
    <w:rsid w:val="00B62616"/>
    <w:rsid w:val="00B63D5A"/>
    <w:rsid w:val="00B760FB"/>
    <w:rsid w:val="00BC0C42"/>
    <w:rsid w:val="00BF269D"/>
    <w:rsid w:val="00C11CF9"/>
    <w:rsid w:val="00C45B8D"/>
    <w:rsid w:val="00CF3BFF"/>
    <w:rsid w:val="00CF5C9E"/>
    <w:rsid w:val="00D73117"/>
    <w:rsid w:val="00D76BAD"/>
    <w:rsid w:val="00DC5FE1"/>
    <w:rsid w:val="00E37856"/>
    <w:rsid w:val="00E63E37"/>
    <w:rsid w:val="00E812E5"/>
    <w:rsid w:val="00E93E28"/>
    <w:rsid w:val="00F2109F"/>
    <w:rsid w:val="00F2130D"/>
    <w:rsid w:val="00FB40BF"/>
    <w:rsid w:val="00FB748C"/>
    <w:rsid w:val="00FE75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55C97C-0644-4E3A-8C71-9BD683F28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2D5F"/>
    <w:pPr>
      <w:spacing w:after="180" w:line="240" w:lineRule="auto"/>
    </w:pPr>
    <w:rPr>
      <w:rFonts w:ascii="Times New Roman" w:eastAsia="MS Mincho"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1D2D5F"/>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1D2D5F"/>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1D2D5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1D2D5F"/>
    <w:pPr>
      <w:numPr>
        <w:ilvl w:val="3"/>
      </w:numPr>
      <w:outlineLvl w:val="3"/>
    </w:pPr>
    <w:rPr>
      <w:sz w:val="24"/>
    </w:rPr>
  </w:style>
  <w:style w:type="paragraph" w:styleId="Heading5">
    <w:name w:val="heading 5"/>
    <w:aliases w:val="h5,Heading5"/>
    <w:basedOn w:val="Heading4"/>
    <w:next w:val="Normal"/>
    <w:link w:val="Heading5Char"/>
    <w:qFormat/>
    <w:rsid w:val="001D2D5F"/>
    <w:pPr>
      <w:numPr>
        <w:ilvl w:val="5"/>
      </w:numPr>
      <w:outlineLvl w:val="4"/>
    </w:pPr>
    <w:rPr>
      <w:sz w:val="22"/>
    </w:rPr>
  </w:style>
  <w:style w:type="paragraph" w:styleId="Heading7">
    <w:name w:val="heading 7"/>
    <w:basedOn w:val="Normal"/>
    <w:next w:val="Normal"/>
    <w:link w:val="Heading7Char"/>
    <w:qFormat/>
    <w:rsid w:val="001D2D5F"/>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D2D5F"/>
    <w:pPr>
      <w:numPr>
        <w:ilvl w:val="7"/>
      </w:numPr>
      <w:outlineLvl w:val="7"/>
    </w:pPr>
  </w:style>
  <w:style w:type="paragraph" w:styleId="Heading9">
    <w:name w:val="heading 9"/>
    <w:basedOn w:val="Heading8"/>
    <w:next w:val="Normal"/>
    <w:link w:val="Heading9Char"/>
    <w:qFormat/>
    <w:rsid w:val="001D2D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1D2D5F"/>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1D2D5F"/>
    <w:rPr>
      <w:rFonts w:ascii="Arial" w:eastAsia="MS Mincho"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1D2D5F"/>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2D5F"/>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1D2D5F"/>
    <w:rPr>
      <w:rFonts w:ascii="Arial" w:eastAsia="MS Mincho" w:hAnsi="Arial" w:cs="Times New Roman"/>
      <w:szCs w:val="20"/>
      <w:lang w:val="en-GB"/>
    </w:rPr>
  </w:style>
  <w:style w:type="character" w:customStyle="1" w:styleId="Heading7Char">
    <w:name w:val="Heading 7 Char"/>
    <w:basedOn w:val="DefaultParagraphFont"/>
    <w:link w:val="Heading7"/>
    <w:rsid w:val="001D2D5F"/>
    <w:rPr>
      <w:rFonts w:ascii="Arial" w:eastAsia="MS Mincho" w:hAnsi="Arial" w:cs="Times New Roman"/>
      <w:sz w:val="20"/>
      <w:szCs w:val="20"/>
      <w:lang w:val="en-GB"/>
    </w:rPr>
  </w:style>
  <w:style w:type="character" w:customStyle="1" w:styleId="Heading8Char">
    <w:name w:val="Heading 8 Char"/>
    <w:basedOn w:val="DefaultParagraphFont"/>
    <w:link w:val="Heading8"/>
    <w:rsid w:val="001D2D5F"/>
    <w:rPr>
      <w:rFonts w:ascii="Arial" w:eastAsia="MS Mincho" w:hAnsi="Arial" w:cs="Times New Roman"/>
      <w:sz w:val="36"/>
      <w:szCs w:val="20"/>
      <w:lang w:val="en-GB"/>
    </w:rPr>
  </w:style>
  <w:style w:type="character" w:customStyle="1" w:styleId="Heading9Char">
    <w:name w:val="Heading 9 Char"/>
    <w:basedOn w:val="DefaultParagraphFont"/>
    <w:link w:val="Heading9"/>
    <w:rsid w:val="001D2D5F"/>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D2D5F"/>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D2D5F"/>
    <w:rPr>
      <w:rFonts w:ascii="Arial" w:eastAsia="MS Mincho" w:hAnsi="Arial" w:cs="Times New Roman"/>
      <w:b/>
      <w:noProof/>
      <w:sz w:val="18"/>
      <w:szCs w:val="20"/>
    </w:rPr>
  </w:style>
  <w:style w:type="paragraph" w:styleId="Footer">
    <w:name w:val="footer"/>
    <w:basedOn w:val="Header"/>
    <w:link w:val="FooterChar"/>
    <w:rsid w:val="001D2D5F"/>
    <w:pPr>
      <w:jc w:val="center"/>
    </w:pPr>
    <w:rPr>
      <w:i/>
    </w:rPr>
  </w:style>
  <w:style w:type="character" w:customStyle="1" w:styleId="FooterChar">
    <w:name w:val="Footer Char"/>
    <w:basedOn w:val="DefaultParagraphFont"/>
    <w:link w:val="Footer"/>
    <w:rsid w:val="001D2D5F"/>
    <w:rPr>
      <w:rFonts w:ascii="Arial" w:eastAsia="MS Mincho" w:hAnsi="Arial" w:cs="Times New Roman"/>
      <w:b/>
      <w:i/>
      <w:noProof/>
      <w:sz w:val="18"/>
      <w:szCs w:val="20"/>
    </w:rPr>
  </w:style>
  <w:style w:type="paragraph" w:styleId="ListParagraph">
    <w:name w:val="List Paragraph"/>
    <w:basedOn w:val="Normal"/>
    <w:uiPriority w:val="34"/>
    <w:qFormat/>
    <w:rsid w:val="00DC5FE1"/>
    <w:pPr>
      <w:ind w:left="720"/>
      <w:contextualSpacing/>
    </w:pPr>
  </w:style>
  <w:style w:type="paragraph" w:styleId="BalloonText">
    <w:name w:val="Balloon Text"/>
    <w:basedOn w:val="Normal"/>
    <w:link w:val="BalloonTextChar"/>
    <w:uiPriority w:val="99"/>
    <w:semiHidden/>
    <w:unhideWhenUsed/>
    <w:rsid w:val="00A55ED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5ED0"/>
    <w:rPr>
      <w:rFonts w:ascii="Segoe UI" w:eastAsia="MS Mincho"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26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2232</Words>
  <Characters>12728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14931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Sahai, Achaleshwar</dc:creator>
  <cp:keywords/>
  <dc:description/>
  <cp:lastModifiedBy>Sahai, Achaleshwar</cp:lastModifiedBy>
  <cp:revision>2</cp:revision>
  <cp:lastPrinted>2015-11-09T21:20:00Z</cp:lastPrinted>
  <dcterms:created xsi:type="dcterms:W3CDTF">2015-11-09T22:20:00Z</dcterms:created>
  <dcterms:modified xsi:type="dcterms:W3CDTF">2015-11-09T22:20:00Z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844097898</vt:i4>
  </property>
  <property fmtid="{D5CDD505-2E9C-101B-9397-08002B2CF9AE}" pid="3" name="_NewReviewCycle">
    <vt:lpwstr/>
  </property>
  <property fmtid="{D5CDD505-2E9C-101B-9397-08002B2CF9AE}" pid="4" name="_EmailSubject">
    <vt:lpwstr>Draft of legacy testing of 4Rx UE</vt:lpwstr>
  </property>
  <property fmtid="{D5CDD505-2E9C-101B-9397-08002B2CF9AE}" pid="5" name="_AuthorEmail">
    <vt:lpwstr>jaehor@qti.qualcomm.com</vt:lpwstr>
  </property>
  <property fmtid="{D5CDD505-2E9C-101B-9397-08002B2CF9AE}" pid="6" name="_AuthorEmailDisplayName">
    <vt:lpwstr>Ryu, Jaeho</vt:lpwstr>
  </property>
  <property fmtid="{D5CDD505-2E9C-101B-9397-08002B2CF9AE}" pid="7" name="_ReviewingToolsShownOnce">
    <vt:lpwstr/>
  </property>
</Properties>
</file>