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0322A5"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#77</w:t>
      </w:r>
      <w:r w:rsidR="001338F3">
        <w:rPr>
          <w:rFonts w:cs="Arial"/>
          <w:b/>
          <w:noProof/>
          <w:sz w:val="24"/>
          <w:szCs w:val="24"/>
        </w:rPr>
        <w:tab/>
        <w:t>R4-15</w:t>
      </w:r>
      <w:r w:rsidR="009043EC">
        <w:rPr>
          <w:rFonts w:cs="Arial"/>
          <w:b/>
          <w:noProof/>
          <w:sz w:val="24"/>
          <w:szCs w:val="24"/>
        </w:rPr>
        <w:t>7567</w:t>
      </w:r>
    </w:p>
    <w:p w:rsidR="00363178" w:rsidRDefault="000322A5" w:rsidP="001338F3">
      <w:pPr>
        <w:pStyle w:val="CRCoverPage"/>
        <w:tabs>
          <w:tab w:val="right" w:pos="9639"/>
          <w:tab w:val="right" w:pos="13323"/>
        </w:tabs>
        <w:spacing w:after="0"/>
        <w:jc w:val="right"/>
        <w:rPr>
          <w:rFonts w:cs="Arial"/>
          <w:b/>
          <w:noProof/>
          <w:sz w:val="24"/>
          <w:szCs w:val="24"/>
        </w:rPr>
      </w:pPr>
      <w:r>
        <w:rPr>
          <w:rFonts w:cs="Arial"/>
          <w:b/>
          <w:noProof/>
          <w:sz w:val="24"/>
          <w:szCs w:val="24"/>
        </w:rPr>
        <w:t>Anaheim</w:t>
      </w:r>
      <w:r w:rsidR="001338F3">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sidR="00B55D96">
        <w:rPr>
          <w:rFonts w:cs="Arial"/>
          <w:b/>
          <w:noProof/>
          <w:sz w:val="24"/>
          <w:szCs w:val="24"/>
        </w:rPr>
        <w:t>1</w:t>
      </w:r>
      <w:r w:rsidR="00D77581">
        <w:rPr>
          <w:rFonts w:cs="Arial"/>
          <w:b/>
          <w:noProof/>
          <w:sz w:val="24"/>
          <w:szCs w:val="24"/>
        </w:rPr>
        <w:t>6</w:t>
      </w:r>
      <w:r w:rsidR="001338F3" w:rsidRPr="008B769D">
        <w:rPr>
          <w:rFonts w:cs="Arial"/>
          <w:b/>
          <w:noProof/>
          <w:sz w:val="24"/>
          <w:szCs w:val="24"/>
          <w:vertAlign w:val="superscript"/>
        </w:rPr>
        <w:t>th</w:t>
      </w:r>
      <w:r w:rsidR="001338F3" w:rsidRPr="0033775D">
        <w:rPr>
          <w:rFonts w:cs="Arial"/>
          <w:b/>
          <w:noProof/>
          <w:sz w:val="24"/>
          <w:szCs w:val="24"/>
        </w:rPr>
        <w:t xml:space="preserve"> – </w:t>
      </w:r>
      <w:r w:rsidR="00D77581">
        <w:rPr>
          <w:rFonts w:cs="Arial"/>
          <w:b/>
          <w:noProof/>
          <w:sz w:val="24"/>
          <w:szCs w:val="24"/>
        </w:rPr>
        <w:t>20</w:t>
      </w:r>
      <w:r w:rsidR="001338F3" w:rsidRPr="008B769D">
        <w:rPr>
          <w:rFonts w:cs="Arial"/>
          <w:b/>
          <w:noProof/>
          <w:sz w:val="24"/>
          <w:szCs w:val="24"/>
          <w:vertAlign w:val="superscript"/>
        </w:rPr>
        <w:t>th</w:t>
      </w:r>
      <w:r w:rsidR="001338F3" w:rsidRPr="0033775D">
        <w:rPr>
          <w:rFonts w:cs="Arial"/>
          <w:b/>
          <w:noProof/>
          <w:sz w:val="24"/>
          <w:szCs w:val="24"/>
        </w:rPr>
        <w:t xml:space="preserve"> </w:t>
      </w:r>
      <w:r>
        <w:rPr>
          <w:rFonts w:cs="Arial"/>
          <w:b/>
          <w:noProof/>
          <w:sz w:val="24"/>
          <w:szCs w:val="24"/>
        </w:rPr>
        <w:t>Nov</w:t>
      </w:r>
      <w:r w:rsidR="001338F3">
        <w:rPr>
          <w:rFonts w:cs="Arial"/>
          <w:b/>
          <w:noProof/>
          <w:sz w:val="24"/>
          <w:szCs w:val="24"/>
        </w:rPr>
        <w:t>,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B55D96">
        <w:rPr>
          <w:rFonts w:ascii="Arial" w:hAnsi="Arial" w:cs="Arial"/>
          <w:bCs/>
          <w:sz w:val="24"/>
          <w:szCs w:val="24"/>
          <w:lang w:eastAsia="en-GB"/>
        </w:rPr>
        <w:t>4RX</w:t>
      </w:r>
      <w:r w:rsidR="00D44B7E">
        <w:rPr>
          <w:rFonts w:ascii="Arial" w:hAnsi="Arial" w:cs="Arial"/>
          <w:bCs/>
          <w:sz w:val="24"/>
          <w:szCs w:val="24"/>
          <w:lang w:eastAsia="en-GB"/>
        </w:rPr>
        <w:t>+CA considerations</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A12F51">
        <w:rPr>
          <w:rFonts w:ascii="Arial" w:hAnsi="Arial"/>
          <w:sz w:val="24"/>
        </w:rPr>
        <w:t>7.8.2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9043EC">
        <w:rPr>
          <w:rFonts w:ascii="Arial" w:hAnsi="Arial"/>
          <w:sz w:val="24"/>
        </w:rPr>
        <w:t>Other [approval]</w:t>
      </w:r>
    </w:p>
    <w:p w:rsidR="00C34C05" w:rsidRPr="00CC27F5" w:rsidRDefault="00F25CB7" w:rsidP="00AB45E1">
      <w:pPr>
        <w:pStyle w:val="Heading1"/>
        <w:jc w:val="both"/>
      </w:pPr>
      <w:r>
        <w:t>1</w:t>
      </w:r>
      <w:r>
        <w:tab/>
      </w:r>
      <w:r w:rsidR="002E23B5">
        <w:t>Introduction</w:t>
      </w:r>
    </w:p>
    <w:p w:rsidR="004033BD" w:rsidRDefault="00D813B0"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B55D96">
        <w:rPr>
          <w:rFonts w:ascii="Times New Roman" w:hAnsi="Times New Roman"/>
          <w:b w:val="0"/>
          <w:noProof w:val="0"/>
          <w:sz w:val="20"/>
          <w:lang w:val="en-GB"/>
        </w:rPr>
        <w:t xml:space="preserve">provides </w:t>
      </w:r>
      <w:r w:rsidR="00D44B7E">
        <w:rPr>
          <w:rFonts w:ascii="Times New Roman" w:hAnsi="Times New Roman"/>
          <w:b w:val="0"/>
          <w:noProof w:val="0"/>
          <w:sz w:val="20"/>
          <w:lang w:val="en-GB"/>
        </w:rPr>
        <w:t>UE considerations for UE’s that support both 4RX AP and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C8064B" w:rsidRDefault="00803FAA" w:rsidP="00D813B0">
      <w:pPr>
        <w:overflowPunct/>
        <w:autoSpaceDE/>
        <w:autoSpaceDN/>
        <w:adjustRightInd/>
        <w:spacing w:after="0"/>
        <w:textAlignment w:val="auto"/>
      </w:pPr>
      <w:r>
        <w:t>The RF front end gets more complex</w:t>
      </w:r>
      <w:r w:rsidR="00F007F6">
        <w:t xml:space="preserve"> when UE supports inter-band CA.</w:t>
      </w:r>
      <w:r w:rsidR="00640E3C">
        <w:t xml:space="preserve"> </w:t>
      </w:r>
      <w:r>
        <w:t>Although there is no direct “formula” for the degree of complexity, it</w:t>
      </w:r>
      <w:r w:rsidR="00640E3C">
        <w:t xml:space="preserve"> tends to increase as the number </w:t>
      </w:r>
      <w:r>
        <w:t>of supported</w:t>
      </w:r>
      <w:r w:rsidR="00640E3C">
        <w:t xml:space="preserve"> band combinations and/or</w:t>
      </w:r>
      <w:r>
        <w:t xml:space="preserve"> the number of aggregated carriers increases. </w:t>
      </w:r>
      <w:r w:rsidR="00C8064B">
        <w:t xml:space="preserve">3GPP has derived the CA requirements based on “single-antenna” design, meaning there </w:t>
      </w:r>
      <w:proofErr w:type="gramStart"/>
      <w:r w:rsidR="00C8064B">
        <w:t>is</w:t>
      </w:r>
      <w:proofErr w:type="gramEnd"/>
      <w:r w:rsidR="00C8064B">
        <w:t xml:space="preserve"> one main antenna and one diversity antenna. By doing this 3GPP has guaranteed implementation flexibility.</w:t>
      </w:r>
    </w:p>
    <w:p w:rsidR="00C8064B" w:rsidRDefault="00C8064B" w:rsidP="00D813B0">
      <w:pPr>
        <w:overflowPunct/>
        <w:autoSpaceDE/>
        <w:autoSpaceDN/>
        <w:adjustRightInd/>
        <w:spacing w:after="0"/>
        <w:textAlignment w:val="auto"/>
      </w:pPr>
    </w:p>
    <w:p w:rsidR="00FE7BEC" w:rsidRDefault="00C8064B" w:rsidP="00D813B0">
      <w:pPr>
        <w:overflowPunct/>
        <w:autoSpaceDE/>
        <w:autoSpaceDN/>
        <w:adjustRightInd/>
        <w:spacing w:after="0"/>
        <w:textAlignment w:val="auto"/>
      </w:pPr>
      <w:r>
        <w:t xml:space="preserve">Introduction of 4RX AP will naturally increase the number of (cellular) antennas and signal paths in the UE. This of course increases RF front-end complexity </w:t>
      </w:r>
      <w:r w:rsidR="00FE7BEC">
        <w:t>compared with 2RX AP.</w:t>
      </w:r>
    </w:p>
    <w:p w:rsidR="00FE7BEC" w:rsidRDefault="00FE7BEC" w:rsidP="00D813B0">
      <w:pPr>
        <w:overflowPunct/>
        <w:autoSpaceDE/>
        <w:autoSpaceDN/>
        <w:adjustRightInd/>
        <w:spacing w:after="0"/>
        <w:textAlignment w:val="auto"/>
      </w:pPr>
    </w:p>
    <w:p w:rsidR="00AD7A86" w:rsidRDefault="008A22A1" w:rsidP="00D813B0">
      <w:pPr>
        <w:overflowPunct/>
        <w:autoSpaceDE/>
        <w:autoSpaceDN/>
        <w:adjustRightInd/>
        <w:spacing w:after="0"/>
        <w:textAlignment w:val="auto"/>
      </w:pPr>
      <w:r>
        <w:t>We envision that in future the same UE’s will support both multiple CA combinations and 4RX.</w:t>
      </w:r>
      <w:r w:rsidR="00C8064B">
        <w:t xml:space="preserve"> </w:t>
      </w:r>
      <w:r>
        <w:t>To put these two together is a massive exercise. In this contribution we will consider if something special should be accounted in the specifications</w:t>
      </w:r>
      <w:r w:rsidR="00AD7A86">
        <w:t xml:space="preserve"> to support both of these.</w:t>
      </w:r>
    </w:p>
    <w:p w:rsidR="00AD7A86" w:rsidRDefault="00AD7A86" w:rsidP="00D813B0">
      <w:pPr>
        <w:overflowPunct/>
        <w:autoSpaceDE/>
        <w:autoSpaceDN/>
        <w:adjustRightInd/>
        <w:spacing w:after="0"/>
        <w:textAlignment w:val="auto"/>
      </w:pPr>
    </w:p>
    <w:p w:rsidR="00C95FC3" w:rsidRDefault="00C95FC3" w:rsidP="00DE7DD1">
      <w:pPr>
        <w:keepNext/>
        <w:overflowPunct/>
        <w:autoSpaceDE/>
        <w:autoSpaceDN/>
        <w:adjustRightInd/>
        <w:spacing w:after="0"/>
        <w:jc w:val="center"/>
        <w:textAlignment w:val="auto"/>
      </w:pPr>
      <w:r w:rsidRPr="00C95FC3">
        <w:rPr>
          <w:noProof/>
          <w:lang w:val="en-US" w:eastAsia="en-US"/>
        </w:rPr>
        <w:drawing>
          <wp:inline distT="0" distB="0" distL="0" distR="0">
            <wp:extent cx="5048250" cy="34671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048250" cy="3467100"/>
                    </a:xfrm>
                    <a:prstGeom prst="rect">
                      <a:avLst/>
                    </a:prstGeom>
                    <a:noFill/>
                    <a:ln w="9525">
                      <a:noFill/>
                      <a:miter lim="800000"/>
                      <a:headEnd/>
                      <a:tailEnd/>
                    </a:ln>
                  </pic:spPr>
                </pic:pic>
              </a:graphicData>
            </a:graphic>
          </wp:inline>
        </w:drawing>
      </w:r>
    </w:p>
    <w:p w:rsidR="004D112C" w:rsidRDefault="00C95FC3" w:rsidP="00DE7DD1">
      <w:pPr>
        <w:pStyle w:val="Caption"/>
        <w:jc w:val="center"/>
      </w:pPr>
      <w:bookmarkStart w:id="0" w:name="_Ref434571644"/>
      <w:r>
        <w:t xml:space="preserve">Figure </w:t>
      </w:r>
      <w:fldSimple w:instr=" SEQ Figure \* ARABIC ">
        <w:r w:rsidR="00DE7DD1">
          <w:rPr>
            <w:noProof/>
          </w:rPr>
          <w:t>1</w:t>
        </w:r>
      </w:fldSimple>
      <w:bookmarkEnd w:id="0"/>
      <w:r>
        <w:t xml:space="preserve"> 4RX architecture</w:t>
      </w:r>
    </w:p>
    <w:p w:rsidR="004D112C" w:rsidRDefault="00455B84" w:rsidP="00D813B0">
      <w:pPr>
        <w:overflowPunct/>
        <w:autoSpaceDE/>
        <w:autoSpaceDN/>
        <w:adjustRightInd/>
        <w:spacing w:after="0"/>
        <w:textAlignment w:val="auto"/>
      </w:pPr>
      <w:r>
        <w:fldChar w:fldCharType="begin"/>
      </w:r>
      <w:r w:rsidR="00C95FC3">
        <w:instrText xml:space="preserve"> REF _Ref434571644 \h </w:instrText>
      </w:r>
      <w:r>
        <w:fldChar w:fldCharType="separate"/>
      </w:r>
      <w:r w:rsidR="00C95FC3">
        <w:t xml:space="preserve">Figure </w:t>
      </w:r>
      <w:r w:rsidR="00C95FC3">
        <w:rPr>
          <w:noProof/>
        </w:rPr>
        <w:t>1</w:t>
      </w:r>
      <w:r>
        <w:fldChar w:fldCharType="end"/>
      </w:r>
      <w:r w:rsidR="00C95FC3">
        <w:t>above illustrates simplest form of 4RX architecture for FDD (duplexer) or TDD (</w:t>
      </w:r>
      <w:proofErr w:type="spellStart"/>
      <w:r w:rsidR="00C95FC3">
        <w:t>Filter+switch</w:t>
      </w:r>
      <w:proofErr w:type="spellEnd"/>
      <w:r w:rsidR="00C95FC3">
        <w:t>).</w:t>
      </w:r>
      <w:r w:rsidR="006A2321">
        <w:t xml:space="preserve"> Frequency sets some constr</w:t>
      </w:r>
      <w:r w:rsidR="001B676A">
        <w:t>aints on</w:t>
      </w:r>
      <w:r w:rsidR="006A2321">
        <w:t xml:space="preserve"> the device form factor</w:t>
      </w:r>
      <w:r w:rsidR="001B676A">
        <w:t xml:space="preserve"> and size</w:t>
      </w:r>
      <w:r w:rsidR="006A2321">
        <w:t>, for instance supporting low bands (&lt;1</w:t>
      </w:r>
      <w:r w:rsidR="008759C5">
        <w:t>GHz) is not feasible</w:t>
      </w:r>
      <w:r w:rsidR="001B676A">
        <w:t xml:space="preserve"> </w:t>
      </w:r>
      <w:r w:rsidR="008759C5">
        <w:t xml:space="preserve">with current technologies </w:t>
      </w:r>
      <w:r w:rsidR="001B676A">
        <w:t xml:space="preserve">in mobile handsets. </w:t>
      </w:r>
      <w:r w:rsidR="005532F3">
        <w:t xml:space="preserve">In fact, the support of high bands (&gt;1GHz) is not straightforward either. In </w:t>
      </w:r>
      <w:r w:rsidR="005532F3">
        <w:lastRenderedPageBreak/>
        <w:t>order to make use of 4RX in practice (=over the air) the antenna performance needs to be at good level. There are not too many places for additional antennas where good ante</w:t>
      </w:r>
      <w:r w:rsidR="0020473F">
        <w:t>nna performance can be achieved as the circuit boards of modern handsets are already very crowded. Because of that, the traces tend to get longer for at least some of the four antennas resulting in higher trace loss.</w:t>
      </w:r>
      <w:r w:rsidR="00D011B6">
        <w:t xml:space="preserve"> Due to practical constraints it is quite likely that the antennas that don’t have TX will suffer from longer traces.</w:t>
      </w:r>
    </w:p>
    <w:p w:rsidR="00441EDE" w:rsidRDefault="00441EDE" w:rsidP="00D813B0">
      <w:pPr>
        <w:overflowPunct/>
        <w:autoSpaceDE/>
        <w:autoSpaceDN/>
        <w:adjustRightInd/>
        <w:spacing w:after="0"/>
        <w:textAlignment w:val="auto"/>
      </w:pPr>
    </w:p>
    <w:p w:rsidR="00441EDE" w:rsidRDefault="00441EDE" w:rsidP="00D813B0">
      <w:pPr>
        <w:overflowPunct/>
        <w:autoSpaceDE/>
        <w:autoSpaceDN/>
        <w:adjustRightInd/>
        <w:spacing w:after="0"/>
        <w:textAlignment w:val="auto"/>
      </w:pPr>
      <w:r w:rsidRPr="00441EDE">
        <w:rPr>
          <w:b/>
        </w:rPr>
        <w:t>Observation1</w:t>
      </w:r>
      <w:r>
        <w:t>: In 4RX the antenna placement is challenging and may lead into higher IL due to increased trace losses</w:t>
      </w:r>
    </w:p>
    <w:p w:rsidR="005532F3" w:rsidRDefault="005532F3" w:rsidP="00D813B0">
      <w:pPr>
        <w:overflowPunct/>
        <w:autoSpaceDE/>
        <w:autoSpaceDN/>
        <w:adjustRightInd/>
        <w:spacing w:after="0"/>
        <w:textAlignment w:val="auto"/>
      </w:pPr>
    </w:p>
    <w:p w:rsidR="005532F3" w:rsidRDefault="005532F3" w:rsidP="00D813B0">
      <w:pPr>
        <w:overflowPunct/>
        <w:autoSpaceDE/>
        <w:autoSpaceDN/>
        <w:adjustRightInd/>
        <w:spacing w:after="0"/>
        <w:textAlignment w:val="auto"/>
      </w:pPr>
    </w:p>
    <w:p w:rsidR="00DE7DD1" w:rsidRDefault="00DE7DD1" w:rsidP="00DE7DD1">
      <w:pPr>
        <w:keepNext/>
        <w:overflowPunct/>
        <w:autoSpaceDE/>
        <w:autoSpaceDN/>
        <w:adjustRightInd/>
        <w:spacing w:after="0"/>
        <w:jc w:val="center"/>
        <w:textAlignment w:val="auto"/>
      </w:pPr>
      <w:r w:rsidRPr="00DE7DD1">
        <w:rPr>
          <w:noProof/>
          <w:lang w:val="en-US" w:eastAsia="en-US"/>
        </w:rPr>
        <w:drawing>
          <wp:inline distT="0" distB="0" distL="0" distR="0">
            <wp:extent cx="6120765" cy="2502688"/>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120765" cy="2502688"/>
                    </a:xfrm>
                    <a:prstGeom prst="rect">
                      <a:avLst/>
                    </a:prstGeom>
                    <a:noFill/>
                    <a:ln w="9525">
                      <a:noFill/>
                      <a:miter lim="800000"/>
                      <a:headEnd/>
                      <a:tailEnd/>
                    </a:ln>
                  </pic:spPr>
                </pic:pic>
              </a:graphicData>
            </a:graphic>
          </wp:inline>
        </w:drawing>
      </w:r>
    </w:p>
    <w:p w:rsidR="00DE7DD1" w:rsidRDefault="00DE7DD1" w:rsidP="00DE7DD1">
      <w:pPr>
        <w:pStyle w:val="Caption"/>
        <w:jc w:val="center"/>
      </w:pPr>
      <w:bookmarkStart w:id="1" w:name="_Ref434582234"/>
      <w:r>
        <w:t xml:space="preserve">Figure </w:t>
      </w:r>
      <w:fldSimple w:instr=" SEQ Figure \* ARABIC ">
        <w:r>
          <w:rPr>
            <w:noProof/>
          </w:rPr>
          <w:t>2</w:t>
        </w:r>
      </w:fldSimple>
      <w:bookmarkEnd w:id="1"/>
      <w:r>
        <w:t xml:space="preserve"> 4RX+CA architecture</w:t>
      </w:r>
    </w:p>
    <w:p w:rsidR="00DE7DD1" w:rsidRDefault="00455B84" w:rsidP="00D813B0">
      <w:pPr>
        <w:overflowPunct/>
        <w:autoSpaceDE/>
        <w:autoSpaceDN/>
        <w:adjustRightInd/>
        <w:spacing w:after="0"/>
        <w:textAlignment w:val="auto"/>
      </w:pPr>
      <w:r>
        <w:fldChar w:fldCharType="begin"/>
      </w:r>
      <w:r w:rsidR="00205AD8">
        <w:instrText xml:space="preserve"> REF _Ref434582234 \h </w:instrText>
      </w:r>
      <w:r>
        <w:fldChar w:fldCharType="separate"/>
      </w:r>
      <w:r w:rsidR="00205AD8">
        <w:t xml:space="preserve">Figure </w:t>
      </w:r>
      <w:r w:rsidR="00205AD8">
        <w:rPr>
          <w:noProof/>
        </w:rPr>
        <w:t>2</w:t>
      </w:r>
      <w:r>
        <w:fldChar w:fldCharType="end"/>
      </w:r>
      <w:r w:rsidR="00205AD8">
        <w:t xml:space="preserve"> above illustrates quite simple example of RF front end when UE supports 2-band inter-band CA and in addition 4RX for these bands. </w:t>
      </w:r>
      <w:r w:rsidR="00E12F70">
        <w:t xml:space="preserve">One can see that a diplexer is used for each antenna to divide the signal before band filters. </w:t>
      </w:r>
    </w:p>
    <w:p w:rsidR="00E12F70" w:rsidRDefault="00E12F70" w:rsidP="00D813B0">
      <w:pPr>
        <w:overflowPunct/>
        <w:autoSpaceDE/>
        <w:autoSpaceDN/>
        <w:adjustRightInd/>
        <w:spacing w:after="0"/>
        <w:textAlignment w:val="auto"/>
      </w:pPr>
    </w:p>
    <w:p w:rsidR="00E12F70" w:rsidRDefault="00E12F70" w:rsidP="00D813B0">
      <w:pPr>
        <w:overflowPunct/>
        <w:autoSpaceDE/>
        <w:autoSpaceDN/>
        <w:adjustRightInd/>
        <w:spacing w:after="0"/>
        <w:textAlignment w:val="auto"/>
      </w:pPr>
      <w:r>
        <w:t>In short, supporting both inter-band CA and 4RX does not reduce the amount of RF front-end components in baseline cases. Thus the losses present in CA are also present in 4RX mode.</w:t>
      </w:r>
    </w:p>
    <w:p w:rsidR="00E12F70" w:rsidRDefault="00E12F70" w:rsidP="00D813B0">
      <w:pPr>
        <w:overflowPunct/>
        <w:autoSpaceDE/>
        <w:autoSpaceDN/>
        <w:adjustRightInd/>
        <w:spacing w:after="0"/>
        <w:textAlignment w:val="auto"/>
      </w:pPr>
    </w:p>
    <w:p w:rsidR="00E12F70" w:rsidRDefault="00E12F70" w:rsidP="00D813B0">
      <w:pPr>
        <w:overflowPunct/>
        <w:autoSpaceDE/>
        <w:autoSpaceDN/>
        <w:adjustRightInd/>
        <w:spacing w:after="0"/>
        <w:textAlignment w:val="auto"/>
      </w:pPr>
      <w:r w:rsidRPr="00E12F70">
        <w:rPr>
          <w:b/>
        </w:rPr>
        <w:t>Observation</w:t>
      </w:r>
      <w:r w:rsidR="00441EDE">
        <w:rPr>
          <w:b/>
        </w:rPr>
        <w:t>2</w:t>
      </w:r>
      <w:r>
        <w:t>: Supporting both inter-band CA and 4RX does not reduce the amount of RF front-end components in baseline cases. The losses present in CA are also present in 4RX mode.</w:t>
      </w:r>
    </w:p>
    <w:p w:rsidR="00E12F70" w:rsidRDefault="00E12F70" w:rsidP="00D813B0">
      <w:pPr>
        <w:overflowPunct/>
        <w:autoSpaceDE/>
        <w:autoSpaceDN/>
        <w:adjustRightInd/>
        <w:spacing w:after="0"/>
        <w:textAlignment w:val="auto"/>
      </w:pPr>
    </w:p>
    <w:p w:rsidR="00441EDE" w:rsidRPr="005C7E87" w:rsidRDefault="00441EDE" w:rsidP="00D813B0">
      <w:pPr>
        <w:overflowPunct/>
        <w:autoSpaceDE/>
        <w:autoSpaceDN/>
        <w:adjustRightInd/>
        <w:spacing w:after="0"/>
        <w:textAlignment w:val="auto"/>
      </w:pPr>
      <w:r>
        <w:t>Based on these observations we can conclude that if UE supports both 4RX and CA, the losses and thus ΔT</w:t>
      </w:r>
      <w:r>
        <w:rPr>
          <w:vertAlign w:val="subscript"/>
        </w:rPr>
        <w:t>IB</w:t>
      </w:r>
      <w:r>
        <w:t xml:space="preserve"> and ΔR</w:t>
      </w:r>
      <w:r>
        <w:rPr>
          <w:vertAlign w:val="subscript"/>
        </w:rPr>
        <w:t>IB</w:t>
      </w:r>
      <w:r>
        <w:t xml:space="preserve"> should be at least</w:t>
      </w:r>
      <w:r w:rsidR="00D011B6">
        <w:t xml:space="preserve"> on the same level for 4RX+CA UE as they are for CA UE.</w:t>
      </w:r>
      <w:r w:rsidR="005C7E87">
        <w:t xml:space="preserve"> Especially ΔR</w:t>
      </w:r>
      <w:r w:rsidR="005C7E87">
        <w:rPr>
          <w:vertAlign w:val="subscript"/>
        </w:rPr>
        <w:t>IB</w:t>
      </w:r>
      <w:r w:rsidR="005C7E87">
        <w:t xml:space="preserve"> faces some pressure because of potentially longer traces and higher IL.</w:t>
      </w:r>
    </w:p>
    <w:p w:rsidR="00D011B6" w:rsidRDefault="00D011B6" w:rsidP="00D813B0">
      <w:pPr>
        <w:overflowPunct/>
        <w:autoSpaceDE/>
        <w:autoSpaceDN/>
        <w:adjustRightInd/>
        <w:spacing w:after="0"/>
        <w:textAlignment w:val="auto"/>
      </w:pPr>
    </w:p>
    <w:p w:rsidR="00D011B6" w:rsidRDefault="00D011B6" w:rsidP="00D813B0">
      <w:pPr>
        <w:overflowPunct/>
        <w:autoSpaceDE/>
        <w:autoSpaceDN/>
        <w:adjustRightInd/>
        <w:spacing w:after="0"/>
        <w:textAlignment w:val="auto"/>
      </w:pPr>
      <w:r w:rsidRPr="00D011B6">
        <w:rPr>
          <w:b/>
        </w:rPr>
        <w:t>Proposal1</w:t>
      </w:r>
      <w:r>
        <w:t>: ΔT</w:t>
      </w:r>
      <w:r>
        <w:rPr>
          <w:vertAlign w:val="subscript"/>
        </w:rPr>
        <w:t>IB</w:t>
      </w:r>
      <w:r>
        <w:t xml:space="preserve"> and ΔR</w:t>
      </w:r>
      <w:r>
        <w:rPr>
          <w:vertAlign w:val="subscript"/>
        </w:rPr>
        <w:t>IB</w:t>
      </w:r>
      <w:r>
        <w:t xml:space="preserve"> for a UE that supports CA+4RX should</w:t>
      </w:r>
      <w:r w:rsidR="005C7E87">
        <w:t xml:space="preserve"> be at least on the same level as they are for UE that supports CA only. RAN4 should seek ways to account longer traces </w:t>
      </w:r>
    </w:p>
    <w:p w:rsidR="005C7E87" w:rsidRDefault="005C7E87" w:rsidP="00D813B0">
      <w:pPr>
        <w:overflowPunct/>
        <w:autoSpaceDE/>
        <w:autoSpaceDN/>
        <w:adjustRightInd/>
        <w:spacing w:after="0"/>
        <w:textAlignment w:val="auto"/>
      </w:pPr>
    </w:p>
    <w:p w:rsidR="00F77214" w:rsidRDefault="005C7E87" w:rsidP="00D813B0">
      <w:pPr>
        <w:overflowPunct/>
        <w:autoSpaceDE/>
        <w:autoSpaceDN/>
        <w:adjustRightInd/>
        <w:spacing w:after="0"/>
        <w:textAlignment w:val="auto"/>
      </w:pPr>
      <w:r>
        <w:t>One alternative to account this additional loss would be to compensate it in 4RX REFSENS. In previous meeting there was a lot of discussion about REFSENS in general, about margins in 2RX and then about the difference between 2RX and 4RX REFSENS.</w:t>
      </w:r>
      <w:r w:rsidR="00F77214">
        <w:t xml:space="preserve"> Contribution [1] showed a simulation that shows the difference is about 2.5dB. </w:t>
      </w:r>
    </w:p>
    <w:p w:rsidR="00F77214" w:rsidRDefault="00F77214" w:rsidP="00D813B0">
      <w:pPr>
        <w:overflowPunct/>
        <w:autoSpaceDE/>
        <w:autoSpaceDN/>
        <w:adjustRightInd/>
        <w:spacing w:after="0"/>
        <w:textAlignment w:val="auto"/>
      </w:pPr>
    </w:p>
    <w:p w:rsidR="005C7E87" w:rsidRDefault="00F77214" w:rsidP="00D813B0">
      <w:pPr>
        <w:overflowPunct/>
        <w:autoSpaceDE/>
        <w:autoSpaceDN/>
        <w:adjustRightInd/>
        <w:spacing w:after="0"/>
        <w:textAlignment w:val="auto"/>
      </w:pPr>
      <w:r>
        <w:t xml:space="preserve">In previous meeting the group agreed to define two deltas between 2RX REFSENS and 4RX REFSENS, one for the easy bands and one for the difficult bands. </w:t>
      </w:r>
      <w:r w:rsidR="004E5BBA">
        <w:rPr>
          <w:rFonts w:hint="eastAsia"/>
          <w:lang w:eastAsia="zh-CN"/>
        </w:rPr>
        <w:t xml:space="preserve">As presented in [1], the gain for 4Rx </w:t>
      </w:r>
      <w:r w:rsidR="004E5BBA">
        <w:rPr>
          <w:lang w:eastAsia="zh-CN"/>
        </w:rPr>
        <w:t>compared</w:t>
      </w:r>
      <w:r w:rsidR="004E5BBA">
        <w:rPr>
          <w:rFonts w:hint="eastAsia"/>
          <w:lang w:eastAsia="zh-CN"/>
        </w:rPr>
        <w:t xml:space="preserve"> with 2Rx is only 2.5 dB when RF part is considered ideal, i.e. the gain and noise figure for the 4 Rx are </w:t>
      </w:r>
      <w:r w:rsidR="00280642">
        <w:rPr>
          <w:lang w:eastAsia="zh-CN"/>
        </w:rPr>
        <w:t xml:space="preserve">well </w:t>
      </w:r>
      <w:r w:rsidR="004E5BBA">
        <w:rPr>
          <w:rFonts w:hint="eastAsia"/>
          <w:lang w:eastAsia="zh-CN"/>
        </w:rPr>
        <w:t xml:space="preserve">balanced. </w:t>
      </w:r>
      <w:r w:rsidR="00280642">
        <w:rPr>
          <w:lang w:eastAsia="zh-CN"/>
        </w:rPr>
        <w:t>The same conclusion can be reached in DEMOD gain.</w:t>
      </w:r>
      <w:r w:rsidR="004E5BBA">
        <w:rPr>
          <w:rFonts w:hint="eastAsia"/>
          <w:lang w:eastAsia="zh-CN"/>
        </w:rPr>
        <w:t xml:space="preserve"> However, as the 4 Rx RF paths can</w:t>
      </w:r>
      <w:r w:rsidR="004E5BBA">
        <w:rPr>
          <w:lang w:eastAsia="zh-CN"/>
        </w:rPr>
        <w:t>’</w:t>
      </w:r>
      <w:r w:rsidR="004E5BBA">
        <w:rPr>
          <w:rFonts w:hint="eastAsia"/>
          <w:lang w:eastAsia="zh-CN"/>
        </w:rPr>
        <w:t xml:space="preserve">t be well balanced because of the PCB routing, different filter usage, switching, etc, we estimate 2 dB gain is a reasonable assumption for 4Rx REFSENS considering both BB and RF. We also </w:t>
      </w:r>
      <w:r w:rsidR="00280642">
        <w:rPr>
          <w:lang w:eastAsia="zh-CN"/>
        </w:rPr>
        <w:t>conducted</w:t>
      </w:r>
      <w:r w:rsidR="004E5BBA">
        <w:rPr>
          <w:rFonts w:hint="eastAsia"/>
          <w:lang w:eastAsia="zh-CN"/>
        </w:rPr>
        <w:t xml:space="preserve"> </w:t>
      </w:r>
      <w:r w:rsidR="004E5BBA">
        <w:rPr>
          <w:lang w:eastAsia="zh-CN"/>
        </w:rPr>
        <w:t>measurement</w:t>
      </w:r>
      <w:r w:rsidR="00280642">
        <w:rPr>
          <w:lang w:eastAsia="zh-CN"/>
        </w:rPr>
        <w:t>s</w:t>
      </w:r>
      <w:r w:rsidR="004E5BBA">
        <w:rPr>
          <w:rFonts w:hint="eastAsia"/>
          <w:lang w:eastAsia="zh-CN"/>
        </w:rPr>
        <w:t xml:space="preserve"> for 4Rx </w:t>
      </w:r>
      <w:proofErr w:type="gramStart"/>
      <w:r w:rsidR="004E5BBA">
        <w:rPr>
          <w:rFonts w:hint="eastAsia"/>
          <w:lang w:eastAsia="zh-CN"/>
        </w:rPr>
        <w:t>REFSENS,</w:t>
      </w:r>
      <w:proofErr w:type="gramEnd"/>
      <w:r w:rsidR="004E5BBA">
        <w:rPr>
          <w:rFonts w:hint="eastAsia"/>
          <w:lang w:eastAsia="zh-CN"/>
        </w:rPr>
        <w:t xml:space="preserve"> </w:t>
      </w:r>
      <w:r w:rsidR="00280642">
        <w:rPr>
          <w:lang w:eastAsia="zh-CN"/>
        </w:rPr>
        <w:t>and they show even smaller gain than our estimation</w:t>
      </w:r>
      <w:r w:rsidR="00BE4D2A">
        <w:rPr>
          <w:rFonts w:hint="eastAsia"/>
          <w:lang w:eastAsia="zh-CN"/>
        </w:rPr>
        <w:t>. Therefore o</w:t>
      </w:r>
      <w:r>
        <w:t>ur suggestion is to define a delta of 2</w:t>
      </w:r>
      <w:r w:rsidR="0094643D">
        <w:t>.5</w:t>
      </w:r>
      <w:r>
        <w:t>dB for the easy bands and a delta of 2dB for the difficult bands. This proposal accounts also the longer trace losses</w:t>
      </w:r>
      <w:r w:rsidR="00280642">
        <w:t xml:space="preserve"> and addresses online comments about margins in 2RX</w:t>
      </w:r>
      <w:r>
        <w:t>.</w:t>
      </w:r>
    </w:p>
    <w:p w:rsidR="00F77214" w:rsidRDefault="00F77214" w:rsidP="00D813B0">
      <w:pPr>
        <w:overflowPunct/>
        <w:autoSpaceDE/>
        <w:autoSpaceDN/>
        <w:adjustRightInd/>
        <w:spacing w:after="0"/>
        <w:textAlignment w:val="auto"/>
      </w:pPr>
    </w:p>
    <w:p w:rsidR="00F77214" w:rsidRPr="005C7E87" w:rsidRDefault="00F77214" w:rsidP="00D813B0">
      <w:pPr>
        <w:overflowPunct/>
        <w:autoSpaceDE/>
        <w:autoSpaceDN/>
        <w:adjustRightInd/>
        <w:spacing w:after="0"/>
        <w:textAlignment w:val="auto"/>
      </w:pPr>
      <w:r w:rsidRPr="00F77214">
        <w:rPr>
          <w:b/>
        </w:rPr>
        <w:t>Proposal2</w:t>
      </w:r>
      <w:r>
        <w:t>: 4RX REFSENS delta to 2RX REFSENS is 2</w:t>
      </w:r>
      <w:r w:rsidR="0094643D">
        <w:t>.5</w:t>
      </w:r>
      <w:r>
        <w:t xml:space="preserve">dB for the easy bands and </w:t>
      </w:r>
      <w:r w:rsidR="004E5BBA">
        <w:rPr>
          <w:rFonts w:hint="eastAsia"/>
          <w:lang w:eastAsia="zh-CN"/>
        </w:rPr>
        <w:t>2</w:t>
      </w:r>
      <w:r w:rsidR="004E5BBA">
        <w:t xml:space="preserve">dB </w:t>
      </w:r>
      <w:r>
        <w:t>for the difficult bands</w:t>
      </w:r>
    </w:p>
    <w:p w:rsidR="00DE7DD1" w:rsidRDefault="00DE7DD1" w:rsidP="00D813B0">
      <w:pPr>
        <w:overflowPunct/>
        <w:autoSpaceDE/>
        <w:autoSpaceDN/>
        <w:adjustRightInd/>
        <w:spacing w:after="0"/>
        <w:textAlignment w:val="auto"/>
      </w:pPr>
    </w:p>
    <w:p w:rsidR="00C631EA" w:rsidRDefault="00C631EA" w:rsidP="00D813B0">
      <w:pPr>
        <w:overflowPunct/>
        <w:autoSpaceDE/>
        <w:autoSpaceDN/>
        <w:adjustRightInd/>
        <w:spacing w:after="0"/>
        <w:textAlignment w:val="auto"/>
      </w:pPr>
    </w:p>
    <w:p w:rsidR="00217D30" w:rsidRDefault="00217D30" w:rsidP="00D813B0">
      <w:pPr>
        <w:overflowPunct/>
        <w:autoSpaceDE/>
        <w:autoSpaceDN/>
        <w:adjustRightInd/>
        <w:spacing w:after="0"/>
        <w:textAlignment w:val="auto"/>
      </w:pPr>
    </w:p>
    <w:p w:rsidR="00DE5CDC" w:rsidRDefault="00DE5CDC" w:rsidP="00D813B0">
      <w:pPr>
        <w:overflowPunct/>
        <w:autoSpaceDE/>
        <w:autoSpaceDN/>
        <w:adjustRightInd/>
        <w:spacing w:after="0"/>
        <w:textAlignment w:val="auto"/>
      </w:pPr>
    </w:p>
    <w:p w:rsidR="003C2446" w:rsidRDefault="003C2446"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F77214" w:rsidRDefault="00F77214" w:rsidP="00F77214">
      <w:pPr>
        <w:pStyle w:val="Header"/>
        <w:jc w:val="both"/>
        <w:rPr>
          <w:rFonts w:ascii="Times New Roman" w:hAnsi="Times New Roman"/>
          <w:b w:val="0"/>
          <w:noProof w:val="0"/>
          <w:sz w:val="20"/>
          <w:lang w:val="en-GB"/>
        </w:rPr>
      </w:pPr>
      <w:r>
        <w:rPr>
          <w:rFonts w:ascii="Times New Roman" w:hAnsi="Times New Roman"/>
          <w:b w:val="0"/>
          <w:noProof w:val="0"/>
          <w:sz w:val="20"/>
          <w:lang w:val="en-GB"/>
        </w:rPr>
        <w:t>Considerations on the UE architecture and REFSENS for UE’s that support both 4RX AP and CA were provided with the following observations and proposals.</w:t>
      </w:r>
    </w:p>
    <w:p w:rsidR="00F77214" w:rsidRDefault="00F77214" w:rsidP="00F77214">
      <w:pPr>
        <w:pStyle w:val="Header"/>
        <w:jc w:val="both"/>
        <w:rPr>
          <w:rFonts w:ascii="Times New Roman" w:hAnsi="Times New Roman"/>
          <w:b w:val="0"/>
          <w:noProof w:val="0"/>
          <w:sz w:val="20"/>
          <w:lang w:val="en-GB"/>
        </w:rPr>
      </w:pPr>
    </w:p>
    <w:p w:rsidR="00F77214" w:rsidRDefault="00F77214" w:rsidP="00F77214">
      <w:pPr>
        <w:overflowPunct/>
        <w:autoSpaceDE/>
        <w:autoSpaceDN/>
        <w:adjustRightInd/>
        <w:spacing w:after="0"/>
        <w:textAlignment w:val="auto"/>
      </w:pPr>
      <w:r w:rsidRPr="00441EDE">
        <w:rPr>
          <w:b/>
        </w:rPr>
        <w:t>Observation1</w:t>
      </w:r>
      <w:r>
        <w:t>: In 4RX the antenna placement is challenging and may lead into higher IL due to increased trace losses</w:t>
      </w:r>
    </w:p>
    <w:p w:rsidR="00F77214" w:rsidRDefault="00F77214" w:rsidP="00F77214">
      <w:pPr>
        <w:overflowPunct/>
        <w:autoSpaceDE/>
        <w:autoSpaceDN/>
        <w:adjustRightInd/>
        <w:spacing w:after="0"/>
        <w:textAlignment w:val="auto"/>
      </w:pPr>
      <w:r w:rsidRPr="00E12F70">
        <w:rPr>
          <w:b/>
        </w:rPr>
        <w:t>Observation</w:t>
      </w:r>
      <w:r>
        <w:rPr>
          <w:b/>
        </w:rPr>
        <w:t>2</w:t>
      </w:r>
      <w:r>
        <w:t>: Supporting both inter-band CA and 4RX does not reduce the amount of RF front-end components in baseline cases. The losses present in CA are also present in 4RX mode.</w:t>
      </w:r>
    </w:p>
    <w:p w:rsidR="003668A8" w:rsidRDefault="003668A8" w:rsidP="00ED3299">
      <w:pPr>
        <w:overflowPunct/>
        <w:autoSpaceDE/>
        <w:autoSpaceDN/>
        <w:adjustRightInd/>
        <w:spacing w:after="0"/>
        <w:textAlignment w:val="auto"/>
      </w:pPr>
    </w:p>
    <w:p w:rsidR="000D1405" w:rsidRDefault="00F77214" w:rsidP="004D1C5F">
      <w:pPr>
        <w:overflowPunct/>
        <w:autoSpaceDE/>
        <w:autoSpaceDN/>
        <w:adjustRightInd/>
        <w:spacing w:after="0"/>
        <w:textAlignment w:val="auto"/>
      </w:pPr>
      <w:r w:rsidRPr="00D011B6">
        <w:rPr>
          <w:b/>
        </w:rPr>
        <w:t>Proposal1</w:t>
      </w:r>
      <w:r>
        <w:t>: ΔT</w:t>
      </w:r>
      <w:r>
        <w:rPr>
          <w:vertAlign w:val="subscript"/>
        </w:rPr>
        <w:t>IB</w:t>
      </w:r>
      <w:r>
        <w:t xml:space="preserve"> and ΔR</w:t>
      </w:r>
      <w:r>
        <w:rPr>
          <w:vertAlign w:val="subscript"/>
        </w:rPr>
        <w:t>IB</w:t>
      </w:r>
      <w:r>
        <w:t xml:space="preserve"> for a UE that supports CA+4RX should be at least on the same level as they are for UE that supports CA only. RAN4 should seek ways to account longer traces in ΔR</w:t>
      </w:r>
      <w:r>
        <w:rPr>
          <w:vertAlign w:val="subscript"/>
        </w:rPr>
        <w:t>IB</w:t>
      </w:r>
      <w:r>
        <w:t>.</w:t>
      </w:r>
    </w:p>
    <w:p w:rsidR="00F77214" w:rsidRPr="005C7E87" w:rsidRDefault="00F77214" w:rsidP="00F77214">
      <w:pPr>
        <w:overflowPunct/>
        <w:autoSpaceDE/>
        <w:autoSpaceDN/>
        <w:adjustRightInd/>
        <w:spacing w:after="0"/>
        <w:textAlignment w:val="auto"/>
      </w:pPr>
      <w:r w:rsidRPr="00F77214">
        <w:rPr>
          <w:b/>
        </w:rPr>
        <w:t>Proposal2</w:t>
      </w:r>
      <w:r>
        <w:t>: 4RX REFSENS delta to 2RX REFSENS is 2</w:t>
      </w:r>
      <w:r w:rsidR="0094643D">
        <w:t>.5</w:t>
      </w:r>
      <w:r>
        <w:t xml:space="preserve">dB for the easy bands and </w:t>
      </w:r>
      <w:r w:rsidR="00BE4D2A">
        <w:rPr>
          <w:rFonts w:hint="eastAsia"/>
          <w:lang w:eastAsia="zh-CN"/>
        </w:rPr>
        <w:t>2</w:t>
      </w:r>
      <w:r w:rsidR="00BE4D2A">
        <w:t xml:space="preserve">dB </w:t>
      </w:r>
      <w:r>
        <w:t>for the difficult bands</w:t>
      </w:r>
    </w:p>
    <w:p w:rsidR="002C201F" w:rsidRPr="00BE4D2A" w:rsidRDefault="002C201F" w:rsidP="004D1C5F">
      <w:pPr>
        <w:overflowPunct/>
        <w:autoSpaceDE/>
        <w:autoSpaceDN/>
        <w:adjustRightInd/>
        <w:spacing w:after="0"/>
        <w:textAlignment w:val="auto"/>
      </w:pPr>
    </w:p>
    <w:p w:rsidR="00EB4709" w:rsidRPr="00BF4B69" w:rsidRDefault="004A2ABD" w:rsidP="00EB4709">
      <w:pPr>
        <w:pStyle w:val="Heading1"/>
        <w:jc w:val="both"/>
      </w:pPr>
      <w:r>
        <w:t>4</w:t>
      </w:r>
      <w:r w:rsidR="00EB4709">
        <w:tab/>
        <w:t>References</w:t>
      </w:r>
    </w:p>
    <w:p w:rsidR="00EB4709" w:rsidRDefault="00EB4709" w:rsidP="00EB4709">
      <w:pPr>
        <w:overflowPunct/>
        <w:autoSpaceDE/>
        <w:autoSpaceDN/>
        <w:adjustRightInd/>
        <w:spacing w:after="0"/>
        <w:ind w:left="1440" w:hanging="1440"/>
        <w:textAlignment w:val="auto"/>
      </w:pPr>
    </w:p>
    <w:p w:rsidR="00EB4709" w:rsidRDefault="00F77214" w:rsidP="00EB4709">
      <w:pPr>
        <w:overflowPunct/>
        <w:autoSpaceDE/>
        <w:autoSpaceDN/>
        <w:adjustRightInd/>
        <w:spacing w:after="0"/>
        <w:textAlignment w:val="auto"/>
      </w:pPr>
      <w:r>
        <w:t>[1] R4-156286</w:t>
      </w:r>
      <w:r w:rsidR="003B3546">
        <w:t>, “</w:t>
      </w:r>
      <w:r w:rsidRPr="00F77214">
        <w:t>UE reference sensitivity for 4AP UE</w:t>
      </w:r>
      <w:r w:rsidR="003B3546" w:rsidRPr="003B3546">
        <w:t>”, Ericsson</w:t>
      </w:r>
    </w:p>
    <w:sectPr w:rsidR="00EB4709" w:rsidSect="00193BB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1A4" w:rsidRDefault="00D101A4">
      <w:r>
        <w:separator/>
      </w:r>
    </w:p>
  </w:endnote>
  <w:endnote w:type="continuationSeparator" w:id="0">
    <w:p w:rsidR="00D101A4" w:rsidRDefault="00D101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455B84"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455B84"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D0600B">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D0600B">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1A4" w:rsidRDefault="00D101A4">
      <w:r>
        <w:separator/>
      </w:r>
    </w:p>
  </w:footnote>
  <w:footnote w:type="continuationSeparator" w:id="0">
    <w:p w:rsidR="00D101A4" w:rsidRDefault="00D101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5"/>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trackRevisions/>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17E85"/>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22A5"/>
    <w:rsid w:val="000349B7"/>
    <w:rsid w:val="00034D7B"/>
    <w:rsid w:val="0003540B"/>
    <w:rsid w:val="0003561A"/>
    <w:rsid w:val="00035673"/>
    <w:rsid w:val="00036934"/>
    <w:rsid w:val="00037A21"/>
    <w:rsid w:val="000403D1"/>
    <w:rsid w:val="000404F2"/>
    <w:rsid w:val="00041CA3"/>
    <w:rsid w:val="00042EE4"/>
    <w:rsid w:val="00043991"/>
    <w:rsid w:val="00043B73"/>
    <w:rsid w:val="00044D03"/>
    <w:rsid w:val="000451E5"/>
    <w:rsid w:val="000453F6"/>
    <w:rsid w:val="000466DE"/>
    <w:rsid w:val="00046CD6"/>
    <w:rsid w:val="000474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3322"/>
    <w:rsid w:val="000837E2"/>
    <w:rsid w:val="00084255"/>
    <w:rsid w:val="00086B50"/>
    <w:rsid w:val="00086E61"/>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586A"/>
    <w:rsid w:val="000A6788"/>
    <w:rsid w:val="000A6CFE"/>
    <w:rsid w:val="000B1CD3"/>
    <w:rsid w:val="000B256B"/>
    <w:rsid w:val="000B34BC"/>
    <w:rsid w:val="000B3F37"/>
    <w:rsid w:val="000B4977"/>
    <w:rsid w:val="000B4B40"/>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21AD"/>
    <w:rsid w:val="000E3593"/>
    <w:rsid w:val="000E3F84"/>
    <w:rsid w:val="000E4B0E"/>
    <w:rsid w:val="000E4C9B"/>
    <w:rsid w:val="000E4D01"/>
    <w:rsid w:val="000E5616"/>
    <w:rsid w:val="000E5830"/>
    <w:rsid w:val="000E5FF4"/>
    <w:rsid w:val="000E65A7"/>
    <w:rsid w:val="000E6D1E"/>
    <w:rsid w:val="000E6F62"/>
    <w:rsid w:val="000F02F7"/>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3670"/>
    <w:rsid w:val="00104058"/>
    <w:rsid w:val="0010405D"/>
    <w:rsid w:val="00104228"/>
    <w:rsid w:val="00104894"/>
    <w:rsid w:val="00104A80"/>
    <w:rsid w:val="00105820"/>
    <w:rsid w:val="00105CEE"/>
    <w:rsid w:val="00105FC8"/>
    <w:rsid w:val="00106CC3"/>
    <w:rsid w:val="00106E7E"/>
    <w:rsid w:val="001115C0"/>
    <w:rsid w:val="00111AD9"/>
    <w:rsid w:val="00111C05"/>
    <w:rsid w:val="00112268"/>
    <w:rsid w:val="001122E9"/>
    <w:rsid w:val="001124CB"/>
    <w:rsid w:val="00112B8F"/>
    <w:rsid w:val="001134DA"/>
    <w:rsid w:val="001140FA"/>
    <w:rsid w:val="001141F0"/>
    <w:rsid w:val="001146A3"/>
    <w:rsid w:val="00114EA7"/>
    <w:rsid w:val="00116B02"/>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13B0"/>
    <w:rsid w:val="00172C20"/>
    <w:rsid w:val="00174C23"/>
    <w:rsid w:val="00174DDB"/>
    <w:rsid w:val="001752EC"/>
    <w:rsid w:val="00175B5A"/>
    <w:rsid w:val="00175EC6"/>
    <w:rsid w:val="00177A0D"/>
    <w:rsid w:val="00177EBD"/>
    <w:rsid w:val="0018016C"/>
    <w:rsid w:val="00181B3A"/>
    <w:rsid w:val="001820B2"/>
    <w:rsid w:val="00183C7B"/>
    <w:rsid w:val="00184F2D"/>
    <w:rsid w:val="0018538A"/>
    <w:rsid w:val="00185E5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676A"/>
    <w:rsid w:val="001B70CF"/>
    <w:rsid w:val="001B76F2"/>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220A"/>
    <w:rsid w:val="001E3961"/>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3F"/>
    <w:rsid w:val="002047DE"/>
    <w:rsid w:val="00204A5A"/>
    <w:rsid w:val="00205635"/>
    <w:rsid w:val="00205AD8"/>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17D30"/>
    <w:rsid w:val="002202EC"/>
    <w:rsid w:val="002203A3"/>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29AE"/>
    <w:rsid w:val="002350CB"/>
    <w:rsid w:val="002363AF"/>
    <w:rsid w:val="00236F71"/>
    <w:rsid w:val="00237268"/>
    <w:rsid w:val="00241A69"/>
    <w:rsid w:val="00241E78"/>
    <w:rsid w:val="002431B7"/>
    <w:rsid w:val="00243ACD"/>
    <w:rsid w:val="00244207"/>
    <w:rsid w:val="00244924"/>
    <w:rsid w:val="00245203"/>
    <w:rsid w:val="00245492"/>
    <w:rsid w:val="002466A8"/>
    <w:rsid w:val="00246C52"/>
    <w:rsid w:val="002474CB"/>
    <w:rsid w:val="00247CCC"/>
    <w:rsid w:val="0025104E"/>
    <w:rsid w:val="002512A9"/>
    <w:rsid w:val="0025169E"/>
    <w:rsid w:val="00251929"/>
    <w:rsid w:val="00251F5E"/>
    <w:rsid w:val="00252B9E"/>
    <w:rsid w:val="002530D6"/>
    <w:rsid w:val="0025325D"/>
    <w:rsid w:val="00253400"/>
    <w:rsid w:val="00257A62"/>
    <w:rsid w:val="0026075E"/>
    <w:rsid w:val="00260A24"/>
    <w:rsid w:val="00261957"/>
    <w:rsid w:val="00261D05"/>
    <w:rsid w:val="00262233"/>
    <w:rsid w:val="00262500"/>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0642"/>
    <w:rsid w:val="00282AC7"/>
    <w:rsid w:val="00282EAD"/>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7FC"/>
    <w:rsid w:val="002C0E50"/>
    <w:rsid w:val="002C1F5E"/>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DE8"/>
    <w:rsid w:val="00331EA6"/>
    <w:rsid w:val="003349EC"/>
    <w:rsid w:val="00335250"/>
    <w:rsid w:val="0033592C"/>
    <w:rsid w:val="0033775D"/>
    <w:rsid w:val="00337FF9"/>
    <w:rsid w:val="0034305B"/>
    <w:rsid w:val="00343263"/>
    <w:rsid w:val="00343AD9"/>
    <w:rsid w:val="00345055"/>
    <w:rsid w:val="0034511B"/>
    <w:rsid w:val="00345748"/>
    <w:rsid w:val="00345D3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8A8"/>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75F"/>
    <w:rsid w:val="0038484A"/>
    <w:rsid w:val="003848D9"/>
    <w:rsid w:val="00386B71"/>
    <w:rsid w:val="00387771"/>
    <w:rsid w:val="00391EFE"/>
    <w:rsid w:val="0039236C"/>
    <w:rsid w:val="00393869"/>
    <w:rsid w:val="00393B78"/>
    <w:rsid w:val="00393D5D"/>
    <w:rsid w:val="00394E9D"/>
    <w:rsid w:val="00395063"/>
    <w:rsid w:val="0039580F"/>
    <w:rsid w:val="0039604F"/>
    <w:rsid w:val="0039665F"/>
    <w:rsid w:val="00397A31"/>
    <w:rsid w:val="00397F86"/>
    <w:rsid w:val="003A0311"/>
    <w:rsid w:val="003A1341"/>
    <w:rsid w:val="003A19E0"/>
    <w:rsid w:val="003A1DD5"/>
    <w:rsid w:val="003A2CA7"/>
    <w:rsid w:val="003A2FA1"/>
    <w:rsid w:val="003A3250"/>
    <w:rsid w:val="003A380F"/>
    <w:rsid w:val="003A42BB"/>
    <w:rsid w:val="003A4B85"/>
    <w:rsid w:val="003A590E"/>
    <w:rsid w:val="003A5BB2"/>
    <w:rsid w:val="003A6984"/>
    <w:rsid w:val="003A714C"/>
    <w:rsid w:val="003B06B9"/>
    <w:rsid w:val="003B0B4D"/>
    <w:rsid w:val="003B12EF"/>
    <w:rsid w:val="003B1316"/>
    <w:rsid w:val="003B1B88"/>
    <w:rsid w:val="003B26FA"/>
    <w:rsid w:val="003B3546"/>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3CF1"/>
    <w:rsid w:val="003F4933"/>
    <w:rsid w:val="003F4F5F"/>
    <w:rsid w:val="003F5076"/>
    <w:rsid w:val="003F536B"/>
    <w:rsid w:val="003F586D"/>
    <w:rsid w:val="003F6561"/>
    <w:rsid w:val="003F6853"/>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6429"/>
    <w:rsid w:val="0042654A"/>
    <w:rsid w:val="004276E3"/>
    <w:rsid w:val="00427E67"/>
    <w:rsid w:val="00430178"/>
    <w:rsid w:val="0043156C"/>
    <w:rsid w:val="0043270B"/>
    <w:rsid w:val="00432F8F"/>
    <w:rsid w:val="004335DF"/>
    <w:rsid w:val="004338BC"/>
    <w:rsid w:val="0043480E"/>
    <w:rsid w:val="00434871"/>
    <w:rsid w:val="004355EB"/>
    <w:rsid w:val="00435602"/>
    <w:rsid w:val="004356FA"/>
    <w:rsid w:val="00435CCF"/>
    <w:rsid w:val="00435CF4"/>
    <w:rsid w:val="00436E38"/>
    <w:rsid w:val="004371AB"/>
    <w:rsid w:val="0044035D"/>
    <w:rsid w:val="00441522"/>
    <w:rsid w:val="00441D22"/>
    <w:rsid w:val="00441EDE"/>
    <w:rsid w:val="004430FD"/>
    <w:rsid w:val="00443C96"/>
    <w:rsid w:val="004442A7"/>
    <w:rsid w:val="0044460F"/>
    <w:rsid w:val="004447CA"/>
    <w:rsid w:val="004448FB"/>
    <w:rsid w:val="00444D2A"/>
    <w:rsid w:val="00445513"/>
    <w:rsid w:val="00445CFF"/>
    <w:rsid w:val="004462AF"/>
    <w:rsid w:val="00446991"/>
    <w:rsid w:val="00446F3E"/>
    <w:rsid w:val="00450D3B"/>
    <w:rsid w:val="00451304"/>
    <w:rsid w:val="004518D5"/>
    <w:rsid w:val="00451BEB"/>
    <w:rsid w:val="00451EDF"/>
    <w:rsid w:val="0045271B"/>
    <w:rsid w:val="00452A80"/>
    <w:rsid w:val="00453DEF"/>
    <w:rsid w:val="004543E4"/>
    <w:rsid w:val="004548E5"/>
    <w:rsid w:val="00455B84"/>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A4B"/>
    <w:rsid w:val="00474F96"/>
    <w:rsid w:val="00475260"/>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2ABD"/>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12C"/>
    <w:rsid w:val="004D1A33"/>
    <w:rsid w:val="004D1C5F"/>
    <w:rsid w:val="004D1D64"/>
    <w:rsid w:val="004D4968"/>
    <w:rsid w:val="004D555B"/>
    <w:rsid w:val="004E03BE"/>
    <w:rsid w:val="004E0CD0"/>
    <w:rsid w:val="004E2910"/>
    <w:rsid w:val="004E3E5F"/>
    <w:rsid w:val="004E3FD8"/>
    <w:rsid w:val="004E53AE"/>
    <w:rsid w:val="004E5BBA"/>
    <w:rsid w:val="004E5C61"/>
    <w:rsid w:val="004E6184"/>
    <w:rsid w:val="004E7F7C"/>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4D37"/>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3676B"/>
    <w:rsid w:val="00540C79"/>
    <w:rsid w:val="00541198"/>
    <w:rsid w:val="005417A0"/>
    <w:rsid w:val="00543A66"/>
    <w:rsid w:val="0054556F"/>
    <w:rsid w:val="00546738"/>
    <w:rsid w:val="005467D6"/>
    <w:rsid w:val="00546942"/>
    <w:rsid w:val="00547277"/>
    <w:rsid w:val="00550539"/>
    <w:rsid w:val="00552569"/>
    <w:rsid w:val="00552DBA"/>
    <w:rsid w:val="005532F3"/>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096E"/>
    <w:rsid w:val="005819D7"/>
    <w:rsid w:val="00581A99"/>
    <w:rsid w:val="00581B54"/>
    <w:rsid w:val="005823D5"/>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C7E87"/>
    <w:rsid w:val="005D02FA"/>
    <w:rsid w:val="005D0790"/>
    <w:rsid w:val="005D0ED1"/>
    <w:rsid w:val="005D1427"/>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1CF3"/>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CEE"/>
    <w:rsid w:val="00607ADE"/>
    <w:rsid w:val="00612B21"/>
    <w:rsid w:val="00612C73"/>
    <w:rsid w:val="00614CB4"/>
    <w:rsid w:val="00614EFC"/>
    <w:rsid w:val="00615648"/>
    <w:rsid w:val="00615BDB"/>
    <w:rsid w:val="00616C66"/>
    <w:rsid w:val="0061717F"/>
    <w:rsid w:val="00620651"/>
    <w:rsid w:val="00620686"/>
    <w:rsid w:val="006209E8"/>
    <w:rsid w:val="00621C0B"/>
    <w:rsid w:val="00621CAD"/>
    <w:rsid w:val="0062494C"/>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3C"/>
    <w:rsid w:val="00640E97"/>
    <w:rsid w:val="00641061"/>
    <w:rsid w:val="006418E0"/>
    <w:rsid w:val="00642D10"/>
    <w:rsid w:val="00644200"/>
    <w:rsid w:val="0064498A"/>
    <w:rsid w:val="00645CA9"/>
    <w:rsid w:val="0064799D"/>
    <w:rsid w:val="00650421"/>
    <w:rsid w:val="00650854"/>
    <w:rsid w:val="00651116"/>
    <w:rsid w:val="00651AD3"/>
    <w:rsid w:val="00651DC7"/>
    <w:rsid w:val="00651FA0"/>
    <w:rsid w:val="00653378"/>
    <w:rsid w:val="006544F6"/>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6FB"/>
    <w:rsid w:val="00682ED3"/>
    <w:rsid w:val="00682F65"/>
    <w:rsid w:val="00685D3B"/>
    <w:rsid w:val="00686BC7"/>
    <w:rsid w:val="006923EA"/>
    <w:rsid w:val="00692799"/>
    <w:rsid w:val="00692A0D"/>
    <w:rsid w:val="00693077"/>
    <w:rsid w:val="00693295"/>
    <w:rsid w:val="00693CBF"/>
    <w:rsid w:val="00693D56"/>
    <w:rsid w:val="00693DFC"/>
    <w:rsid w:val="006942A6"/>
    <w:rsid w:val="0069447C"/>
    <w:rsid w:val="00694653"/>
    <w:rsid w:val="00694B21"/>
    <w:rsid w:val="00697C52"/>
    <w:rsid w:val="006A0275"/>
    <w:rsid w:val="006A104F"/>
    <w:rsid w:val="006A194C"/>
    <w:rsid w:val="006A2196"/>
    <w:rsid w:val="006A2321"/>
    <w:rsid w:val="006A2347"/>
    <w:rsid w:val="006A24B3"/>
    <w:rsid w:val="006A33DB"/>
    <w:rsid w:val="006A45D8"/>
    <w:rsid w:val="006A49B5"/>
    <w:rsid w:val="006A57F2"/>
    <w:rsid w:val="006A67A3"/>
    <w:rsid w:val="006A6B69"/>
    <w:rsid w:val="006A71CA"/>
    <w:rsid w:val="006B0BF1"/>
    <w:rsid w:val="006B19B2"/>
    <w:rsid w:val="006B1DA2"/>
    <w:rsid w:val="006B1F5F"/>
    <w:rsid w:val="006B3D97"/>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12D"/>
    <w:rsid w:val="006E7496"/>
    <w:rsid w:val="006E7969"/>
    <w:rsid w:val="006F004E"/>
    <w:rsid w:val="006F0C12"/>
    <w:rsid w:val="006F0EB1"/>
    <w:rsid w:val="006F0FC7"/>
    <w:rsid w:val="006F314D"/>
    <w:rsid w:val="006F3577"/>
    <w:rsid w:val="006F5E95"/>
    <w:rsid w:val="006F6529"/>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36"/>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55"/>
    <w:rsid w:val="0074576E"/>
    <w:rsid w:val="00747446"/>
    <w:rsid w:val="00747F05"/>
    <w:rsid w:val="00750AA0"/>
    <w:rsid w:val="0075172E"/>
    <w:rsid w:val="00751BCA"/>
    <w:rsid w:val="00752EFE"/>
    <w:rsid w:val="00752FE7"/>
    <w:rsid w:val="007554AC"/>
    <w:rsid w:val="00755B06"/>
    <w:rsid w:val="00757A61"/>
    <w:rsid w:val="00757A6B"/>
    <w:rsid w:val="00757DBD"/>
    <w:rsid w:val="00760C6C"/>
    <w:rsid w:val="00760D79"/>
    <w:rsid w:val="007619FB"/>
    <w:rsid w:val="007623CD"/>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3FAA"/>
    <w:rsid w:val="00804867"/>
    <w:rsid w:val="00804B0B"/>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83"/>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44F8"/>
    <w:rsid w:val="00845F51"/>
    <w:rsid w:val="00846467"/>
    <w:rsid w:val="00847991"/>
    <w:rsid w:val="00847C4E"/>
    <w:rsid w:val="008511A7"/>
    <w:rsid w:val="00853E65"/>
    <w:rsid w:val="00854983"/>
    <w:rsid w:val="008569DF"/>
    <w:rsid w:val="00856E4A"/>
    <w:rsid w:val="00857AF0"/>
    <w:rsid w:val="00857B2C"/>
    <w:rsid w:val="0086037F"/>
    <w:rsid w:val="00861454"/>
    <w:rsid w:val="00861B41"/>
    <w:rsid w:val="00861DA1"/>
    <w:rsid w:val="00862173"/>
    <w:rsid w:val="008626B0"/>
    <w:rsid w:val="00863222"/>
    <w:rsid w:val="0086343B"/>
    <w:rsid w:val="00865950"/>
    <w:rsid w:val="00865DE1"/>
    <w:rsid w:val="00870793"/>
    <w:rsid w:val="00870AAF"/>
    <w:rsid w:val="00870FD3"/>
    <w:rsid w:val="008730EB"/>
    <w:rsid w:val="008734E7"/>
    <w:rsid w:val="00874DEC"/>
    <w:rsid w:val="0087504C"/>
    <w:rsid w:val="008754E4"/>
    <w:rsid w:val="00875905"/>
    <w:rsid w:val="008759C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22DF"/>
    <w:rsid w:val="00892367"/>
    <w:rsid w:val="00894747"/>
    <w:rsid w:val="008A0473"/>
    <w:rsid w:val="008A1F46"/>
    <w:rsid w:val="008A22A1"/>
    <w:rsid w:val="008A24BD"/>
    <w:rsid w:val="008A2884"/>
    <w:rsid w:val="008A36ED"/>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0AD3"/>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1870"/>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3EC"/>
    <w:rsid w:val="009045C7"/>
    <w:rsid w:val="00904AC6"/>
    <w:rsid w:val="009053B2"/>
    <w:rsid w:val="009067B8"/>
    <w:rsid w:val="00906C4C"/>
    <w:rsid w:val="00906EED"/>
    <w:rsid w:val="0090715C"/>
    <w:rsid w:val="009077AD"/>
    <w:rsid w:val="009108A7"/>
    <w:rsid w:val="00911C72"/>
    <w:rsid w:val="00911E1A"/>
    <w:rsid w:val="009123B9"/>
    <w:rsid w:val="00913571"/>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27B35"/>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643D"/>
    <w:rsid w:val="00947411"/>
    <w:rsid w:val="00951995"/>
    <w:rsid w:val="00951C7E"/>
    <w:rsid w:val="00951CF6"/>
    <w:rsid w:val="009537A7"/>
    <w:rsid w:val="009548C3"/>
    <w:rsid w:val="0095506D"/>
    <w:rsid w:val="009555E2"/>
    <w:rsid w:val="00957D9C"/>
    <w:rsid w:val="009602DE"/>
    <w:rsid w:val="009612F1"/>
    <w:rsid w:val="009642D6"/>
    <w:rsid w:val="009654F0"/>
    <w:rsid w:val="00970D5D"/>
    <w:rsid w:val="00970F7A"/>
    <w:rsid w:val="00971EC5"/>
    <w:rsid w:val="00971FCC"/>
    <w:rsid w:val="00972395"/>
    <w:rsid w:val="0097298A"/>
    <w:rsid w:val="00974182"/>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87EB3"/>
    <w:rsid w:val="00991F39"/>
    <w:rsid w:val="009922CC"/>
    <w:rsid w:val="009930C0"/>
    <w:rsid w:val="009941F3"/>
    <w:rsid w:val="009942BB"/>
    <w:rsid w:val="0099467F"/>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768"/>
    <w:rsid w:val="009C6894"/>
    <w:rsid w:val="009C6B3B"/>
    <w:rsid w:val="009C6B7B"/>
    <w:rsid w:val="009D22EA"/>
    <w:rsid w:val="009D3A5C"/>
    <w:rsid w:val="009D3F1E"/>
    <w:rsid w:val="009D4303"/>
    <w:rsid w:val="009D4A8E"/>
    <w:rsid w:val="009D5293"/>
    <w:rsid w:val="009D56B4"/>
    <w:rsid w:val="009D62E7"/>
    <w:rsid w:val="009D685B"/>
    <w:rsid w:val="009D7BDB"/>
    <w:rsid w:val="009E10CF"/>
    <w:rsid w:val="009E1F70"/>
    <w:rsid w:val="009E2CF5"/>
    <w:rsid w:val="009E2F97"/>
    <w:rsid w:val="009E3790"/>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2F51"/>
    <w:rsid w:val="00A13052"/>
    <w:rsid w:val="00A13064"/>
    <w:rsid w:val="00A136E6"/>
    <w:rsid w:val="00A13715"/>
    <w:rsid w:val="00A143AE"/>
    <w:rsid w:val="00A145D0"/>
    <w:rsid w:val="00A157EC"/>
    <w:rsid w:val="00A17345"/>
    <w:rsid w:val="00A1789B"/>
    <w:rsid w:val="00A17AB9"/>
    <w:rsid w:val="00A205BF"/>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6FE"/>
    <w:rsid w:val="00A32C37"/>
    <w:rsid w:val="00A33535"/>
    <w:rsid w:val="00A353D7"/>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076"/>
    <w:rsid w:val="00AC1904"/>
    <w:rsid w:val="00AC3431"/>
    <w:rsid w:val="00AC4D53"/>
    <w:rsid w:val="00AC63F4"/>
    <w:rsid w:val="00AC7107"/>
    <w:rsid w:val="00AD0463"/>
    <w:rsid w:val="00AD163D"/>
    <w:rsid w:val="00AD1DFE"/>
    <w:rsid w:val="00AD2D96"/>
    <w:rsid w:val="00AD30EA"/>
    <w:rsid w:val="00AD3BEC"/>
    <w:rsid w:val="00AD4E04"/>
    <w:rsid w:val="00AD6529"/>
    <w:rsid w:val="00AD732B"/>
    <w:rsid w:val="00AD7927"/>
    <w:rsid w:val="00AD7A86"/>
    <w:rsid w:val="00AE058B"/>
    <w:rsid w:val="00AE174B"/>
    <w:rsid w:val="00AE2205"/>
    <w:rsid w:val="00AE3261"/>
    <w:rsid w:val="00AE3AC0"/>
    <w:rsid w:val="00AE4557"/>
    <w:rsid w:val="00AE4A1F"/>
    <w:rsid w:val="00AE5E9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052E"/>
    <w:rsid w:val="00B3396B"/>
    <w:rsid w:val="00B33D92"/>
    <w:rsid w:val="00B40C3A"/>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5B7A"/>
    <w:rsid w:val="00B55D96"/>
    <w:rsid w:val="00B566E0"/>
    <w:rsid w:val="00B5685D"/>
    <w:rsid w:val="00B56F35"/>
    <w:rsid w:val="00B57861"/>
    <w:rsid w:val="00B57C3D"/>
    <w:rsid w:val="00B57FFD"/>
    <w:rsid w:val="00B60751"/>
    <w:rsid w:val="00B60E6E"/>
    <w:rsid w:val="00B61380"/>
    <w:rsid w:val="00B613BB"/>
    <w:rsid w:val="00B6418E"/>
    <w:rsid w:val="00B64484"/>
    <w:rsid w:val="00B65163"/>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75C"/>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4F33"/>
    <w:rsid w:val="00BB68E2"/>
    <w:rsid w:val="00BB7010"/>
    <w:rsid w:val="00BB724B"/>
    <w:rsid w:val="00BB7FF3"/>
    <w:rsid w:val="00BC16BF"/>
    <w:rsid w:val="00BC201A"/>
    <w:rsid w:val="00BC2275"/>
    <w:rsid w:val="00BC38B8"/>
    <w:rsid w:val="00BC44DA"/>
    <w:rsid w:val="00BC485A"/>
    <w:rsid w:val="00BC5387"/>
    <w:rsid w:val="00BC559D"/>
    <w:rsid w:val="00BC5F3D"/>
    <w:rsid w:val="00BC7E2C"/>
    <w:rsid w:val="00BD06EA"/>
    <w:rsid w:val="00BD082C"/>
    <w:rsid w:val="00BD0FC4"/>
    <w:rsid w:val="00BD140B"/>
    <w:rsid w:val="00BD2A08"/>
    <w:rsid w:val="00BD37C6"/>
    <w:rsid w:val="00BD386B"/>
    <w:rsid w:val="00BD3C69"/>
    <w:rsid w:val="00BD3D7A"/>
    <w:rsid w:val="00BD689C"/>
    <w:rsid w:val="00BD7D16"/>
    <w:rsid w:val="00BD7F9E"/>
    <w:rsid w:val="00BE1A06"/>
    <w:rsid w:val="00BE1AB0"/>
    <w:rsid w:val="00BE2A41"/>
    <w:rsid w:val="00BE3C01"/>
    <w:rsid w:val="00BE42A3"/>
    <w:rsid w:val="00BE4D2A"/>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F89"/>
    <w:rsid w:val="00C01116"/>
    <w:rsid w:val="00C0444C"/>
    <w:rsid w:val="00C057E0"/>
    <w:rsid w:val="00C05C20"/>
    <w:rsid w:val="00C06066"/>
    <w:rsid w:val="00C0614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7050"/>
    <w:rsid w:val="00C37DA5"/>
    <w:rsid w:val="00C4018E"/>
    <w:rsid w:val="00C4201A"/>
    <w:rsid w:val="00C42B07"/>
    <w:rsid w:val="00C4367E"/>
    <w:rsid w:val="00C447FB"/>
    <w:rsid w:val="00C46B49"/>
    <w:rsid w:val="00C46BA2"/>
    <w:rsid w:val="00C47AE8"/>
    <w:rsid w:val="00C47B85"/>
    <w:rsid w:val="00C47FDB"/>
    <w:rsid w:val="00C508E2"/>
    <w:rsid w:val="00C5257E"/>
    <w:rsid w:val="00C525B8"/>
    <w:rsid w:val="00C54C62"/>
    <w:rsid w:val="00C55143"/>
    <w:rsid w:val="00C560EC"/>
    <w:rsid w:val="00C56EE1"/>
    <w:rsid w:val="00C57CC6"/>
    <w:rsid w:val="00C60A1F"/>
    <w:rsid w:val="00C60EC1"/>
    <w:rsid w:val="00C6224B"/>
    <w:rsid w:val="00C62997"/>
    <w:rsid w:val="00C629A3"/>
    <w:rsid w:val="00C631EA"/>
    <w:rsid w:val="00C633AB"/>
    <w:rsid w:val="00C64849"/>
    <w:rsid w:val="00C65F58"/>
    <w:rsid w:val="00C66571"/>
    <w:rsid w:val="00C667F6"/>
    <w:rsid w:val="00C71242"/>
    <w:rsid w:val="00C7357D"/>
    <w:rsid w:val="00C73A5D"/>
    <w:rsid w:val="00C75004"/>
    <w:rsid w:val="00C755E8"/>
    <w:rsid w:val="00C75970"/>
    <w:rsid w:val="00C75C9D"/>
    <w:rsid w:val="00C76D64"/>
    <w:rsid w:val="00C8064B"/>
    <w:rsid w:val="00C8198E"/>
    <w:rsid w:val="00C8781D"/>
    <w:rsid w:val="00C905AC"/>
    <w:rsid w:val="00C907C0"/>
    <w:rsid w:val="00C90987"/>
    <w:rsid w:val="00C90F7A"/>
    <w:rsid w:val="00C91CFB"/>
    <w:rsid w:val="00C91F97"/>
    <w:rsid w:val="00C91FAC"/>
    <w:rsid w:val="00C922C5"/>
    <w:rsid w:val="00C92C52"/>
    <w:rsid w:val="00C93297"/>
    <w:rsid w:val="00C93B93"/>
    <w:rsid w:val="00C94CA6"/>
    <w:rsid w:val="00C95730"/>
    <w:rsid w:val="00C95962"/>
    <w:rsid w:val="00C95FC3"/>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2FEF"/>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5F0C"/>
    <w:rsid w:val="00CF6AF3"/>
    <w:rsid w:val="00CF782B"/>
    <w:rsid w:val="00D011B6"/>
    <w:rsid w:val="00D017EE"/>
    <w:rsid w:val="00D02369"/>
    <w:rsid w:val="00D02C36"/>
    <w:rsid w:val="00D03AF3"/>
    <w:rsid w:val="00D04C29"/>
    <w:rsid w:val="00D04F67"/>
    <w:rsid w:val="00D04FC8"/>
    <w:rsid w:val="00D051B3"/>
    <w:rsid w:val="00D05FD4"/>
    <w:rsid w:val="00D0600B"/>
    <w:rsid w:val="00D06088"/>
    <w:rsid w:val="00D0675C"/>
    <w:rsid w:val="00D06800"/>
    <w:rsid w:val="00D101A4"/>
    <w:rsid w:val="00D10A2D"/>
    <w:rsid w:val="00D11873"/>
    <w:rsid w:val="00D13880"/>
    <w:rsid w:val="00D14204"/>
    <w:rsid w:val="00D1624D"/>
    <w:rsid w:val="00D16573"/>
    <w:rsid w:val="00D16F05"/>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A13"/>
    <w:rsid w:val="00D422E4"/>
    <w:rsid w:val="00D44A5C"/>
    <w:rsid w:val="00D44A5D"/>
    <w:rsid w:val="00D44B7E"/>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4F3C"/>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773D7"/>
    <w:rsid w:val="00D77581"/>
    <w:rsid w:val="00D8036A"/>
    <w:rsid w:val="00D80C50"/>
    <w:rsid w:val="00D81307"/>
    <w:rsid w:val="00D813B0"/>
    <w:rsid w:val="00D820F3"/>
    <w:rsid w:val="00D8259F"/>
    <w:rsid w:val="00D84268"/>
    <w:rsid w:val="00D86DFD"/>
    <w:rsid w:val="00D8778A"/>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E8C"/>
    <w:rsid w:val="00DC02EE"/>
    <w:rsid w:val="00DC0F93"/>
    <w:rsid w:val="00DC13F2"/>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5CDC"/>
    <w:rsid w:val="00DE72CF"/>
    <w:rsid w:val="00DE7DD1"/>
    <w:rsid w:val="00DF0250"/>
    <w:rsid w:val="00DF02EC"/>
    <w:rsid w:val="00DF32AF"/>
    <w:rsid w:val="00DF4F19"/>
    <w:rsid w:val="00DF5270"/>
    <w:rsid w:val="00DF5C56"/>
    <w:rsid w:val="00DF6945"/>
    <w:rsid w:val="00E028E6"/>
    <w:rsid w:val="00E03509"/>
    <w:rsid w:val="00E046C1"/>
    <w:rsid w:val="00E04A81"/>
    <w:rsid w:val="00E05BC5"/>
    <w:rsid w:val="00E06AF4"/>
    <w:rsid w:val="00E077AF"/>
    <w:rsid w:val="00E07E45"/>
    <w:rsid w:val="00E12986"/>
    <w:rsid w:val="00E12F70"/>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53E1"/>
    <w:rsid w:val="00E564C5"/>
    <w:rsid w:val="00E573E4"/>
    <w:rsid w:val="00E57B42"/>
    <w:rsid w:val="00E6252F"/>
    <w:rsid w:val="00E64B31"/>
    <w:rsid w:val="00E66A1C"/>
    <w:rsid w:val="00E67385"/>
    <w:rsid w:val="00E70374"/>
    <w:rsid w:val="00E705E5"/>
    <w:rsid w:val="00E70B0C"/>
    <w:rsid w:val="00E723D3"/>
    <w:rsid w:val="00E72ECC"/>
    <w:rsid w:val="00E73E01"/>
    <w:rsid w:val="00E7492A"/>
    <w:rsid w:val="00E80B3E"/>
    <w:rsid w:val="00E83212"/>
    <w:rsid w:val="00E83280"/>
    <w:rsid w:val="00E832C9"/>
    <w:rsid w:val="00E83B72"/>
    <w:rsid w:val="00E83E6E"/>
    <w:rsid w:val="00E85483"/>
    <w:rsid w:val="00E87AE6"/>
    <w:rsid w:val="00E90035"/>
    <w:rsid w:val="00E91121"/>
    <w:rsid w:val="00E91BF2"/>
    <w:rsid w:val="00E9212B"/>
    <w:rsid w:val="00E92F0A"/>
    <w:rsid w:val="00E93159"/>
    <w:rsid w:val="00E93A7A"/>
    <w:rsid w:val="00E93B3D"/>
    <w:rsid w:val="00E93D82"/>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E2E"/>
    <w:rsid w:val="00EF4F32"/>
    <w:rsid w:val="00EF6710"/>
    <w:rsid w:val="00EF6E91"/>
    <w:rsid w:val="00EF719D"/>
    <w:rsid w:val="00F000F0"/>
    <w:rsid w:val="00F007F6"/>
    <w:rsid w:val="00F00923"/>
    <w:rsid w:val="00F00C9D"/>
    <w:rsid w:val="00F01A58"/>
    <w:rsid w:val="00F0220A"/>
    <w:rsid w:val="00F023A1"/>
    <w:rsid w:val="00F0248B"/>
    <w:rsid w:val="00F0301D"/>
    <w:rsid w:val="00F03891"/>
    <w:rsid w:val="00F05EED"/>
    <w:rsid w:val="00F06F02"/>
    <w:rsid w:val="00F10389"/>
    <w:rsid w:val="00F107BF"/>
    <w:rsid w:val="00F10F4D"/>
    <w:rsid w:val="00F124B2"/>
    <w:rsid w:val="00F128CC"/>
    <w:rsid w:val="00F129B1"/>
    <w:rsid w:val="00F13378"/>
    <w:rsid w:val="00F13D5F"/>
    <w:rsid w:val="00F13FFA"/>
    <w:rsid w:val="00F15FC8"/>
    <w:rsid w:val="00F16BB1"/>
    <w:rsid w:val="00F17DBA"/>
    <w:rsid w:val="00F20046"/>
    <w:rsid w:val="00F2007E"/>
    <w:rsid w:val="00F20187"/>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4966"/>
    <w:rsid w:val="00F64A72"/>
    <w:rsid w:val="00F669E3"/>
    <w:rsid w:val="00F66D87"/>
    <w:rsid w:val="00F70CDD"/>
    <w:rsid w:val="00F71F79"/>
    <w:rsid w:val="00F721A1"/>
    <w:rsid w:val="00F724E3"/>
    <w:rsid w:val="00F72E05"/>
    <w:rsid w:val="00F74A7A"/>
    <w:rsid w:val="00F7547C"/>
    <w:rsid w:val="00F7611A"/>
    <w:rsid w:val="00F7684C"/>
    <w:rsid w:val="00F7709F"/>
    <w:rsid w:val="00F77214"/>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E0D7F"/>
    <w:rsid w:val="00FE22FE"/>
    <w:rsid w:val="00FE2912"/>
    <w:rsid w:val="00FE3983"/>
    <w:rsid w:val="00FE6F9E"/>
    <w:rsid w:val="00FE74FC"/>
    <w:rsid w:val="00FE761D"/>
    <w:rsid w:val="00FE76FA"/>
    <w:rsid w:val="00FE7BEC"/>
    <w:rsid w:val="00FE7C74"/>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10">
    <w:name w:val="修订1"/>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1">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2">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FB0F8-595D-4945-A06C-A90E29D8B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924</Words>
  <Characters>4650</Characters>
  <Application>Microsoft Office Word</Application>
  <DocSecurity>0</DocSecurity>
  <Lines>38</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5563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2</cp:revision>
  <cp:lastPrinted>2009-09-29T16:58:00Z</cp:lastPrinted>
  <dcterms:created xsi:type="dcterms:W3CDTF">2015-11-09T17:41:00Z</dcterms:created>
  <dcterms:modified xsi:type="dcterms:W3CDTF">2015-11-09T17:41:00Z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1447077709</vt:lpwstr>
  </property>
</Properties>
</file>