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75</w:t>
      </w:r>
      <w:r w:rsidRPr="00DB3907">
        <w:rPr>
          <w:rFonts w:cs="Courier New"/>
          <w:sz w:val="24"/>
          <w:szCs w:val="24"/>
          <w:lang w:val="de-DE"/>
        </w:rPr>
        <w:tab/>
        <w:t>R4-</w:t>
      </w:r>
      <w:r w:rsidRPr="00454C81">
        <w:rPr>
          <w:rFonts w:cs="Courier New"/>
          <w:sz w:val="24"/>
          <w:szCs w:val="24"/>
          <w:lang w:val="de-DE"/>
        </w:rPr>
        <w:t>15</w:t>
      </w:r>
      <w:r w:rsidR="000048AD" w:rsidRPr="000048AD">
        <w:rPr>
          <w:rFonts w:cs="Courier New"/>
          <w:sz w:val="24"/>
          <w:szCs w:val="24"/>
          <w:lang w:val="de-DE"/>
        </w:rPr>
        <w:t>2888</w:t>
      </w:r>
    </w:p>
    <w:p w:rsidR="0032671E" w:rsidRPr="00DB3907" w:rsidRDefault="0032671E" w:rsidP="0032671E">
      <w:pPr>
        <w:pStyle w:val="Header"/>
        <w:tabs>
          <w:tab w:val="left" w:pos="6521"/>
        </w:tabs>
        <w:rPr>
          <w:rFonts w:cs="Courier New"/>
          <w:sz w:val="24"/>
          <w:szCs w:val="24"/>
        </w:rPr>
      </w:pPr>
      <w:r>
        <w:rPr>
          <w:rFonts w:cs="Courier New"/>
          <w:sz w:val="24"/>
          <w:szCs w:val="24"/>
        </w:rPr>
        <w:t>May 25</w:t>
      </w:r>
      <w:r>
        <w:rPr>
          <w:rFonts w:cs="Courier New"/>
          <w:sz w:val="24"/>
          <w:szCs w:val="24"/>
          <w:vertAlign w:val="superscript"/>
        </w:rPr>
        <w:t>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29</w:t>
      </w:r>
      <w:r>
        <w:rPr>
          <w:rFonts w:cs="Courier New"/>
          <w:sz w:val="24"/>
          <w:szCs w:val="24"/>
          <w:vertAlign w:val="superscript"/>
        </w:rPr>
        <w:t>th</w:t>
      </w:r>
      <w:r>
        <w:rPr>
          <w:rFonts w:cs="Courier New"/>
          <w:sz w:val="24"/>
          <w:szCs w:val="24"/>
        </w:rPr>
        <w:t>, 2015</w:t>
      </w:r>
    </w:p>
    <w:p w:rsidR="0032671E" w:rsidRPr="00DB3907" w:rsidRDefault="0032671E" w:rsidP="0032671E">
      <w:pPr>
        <w:pStyle w:val="Header"/>
        <w:rPr>
          <w:rFonts w:cs="Courier New"/>
          <w:sz w:val="24"/>
          <w:szCs w:val="24"/>
        </w:rPr>
      </w:pPr>
      <w:r>
        <w:rPr>
          <w:rFonts w:cs="Courier New"/>
          <w:sz w:val="24"/>
          <w:szCs w:val="24"/>
        </w:rPr>
        <w:t>Fukuoka, Japan</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F7A0E">
        <w:rPr>
          <w:rFonts w:ascii="Arial" w:hAnsi="Arial"/>
          <w:sz w:val="24"/>
          <w:lang w:val="en-US"/>
        </w:rPr>
        <w:t>9</w:t>
      </w:r>
      <w:r w:rsidR="0042352E">
        <w:rPr>
          <w:rFonts w:ascii="Arial" w:hAnsi="Arial"/>
          <w:sz w:val="24"/>
          <w:lang w:val="en-US"/>
        </w:rPr>
        <w:t>.</w:t>
      </w:r>
      <w:r w:rsidR="00B04CD5">
        <w:rPr>
          <w:rFonts w:ascii="Arial" w:hAnsi="Arial"/>
          <w:sz w:val="24"/>
          <w:lang w:val="en-US"/>
        </w:rPr>
        <w:t>3</w:t>
      </w:r>
      <w:r w:rsidR="0043453D">
        <w:rPr>
          <w:rFonts w:ascii="Arial" w:hAnsi="Arial"/>
          <w:sz w:val="24"/>
          <w:lang w:val="en-US"/>
        </w:rPr>
        <w:t>.</w:t>
      </w:r>
      <w:r w:rsidR="004431AA">
        <w:rPr>
          <w:rFonts w:ascii="Arial" w:hAnsi="Arial"/>
          <w:sz w:val="24"/>
          <w:lang w:val="en-US"/>
        </w:rPr>
        <w:t>3</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7F7A0E">
        <w:rPr>
          <w:rFonts w:ascii="Arial" w:hAnsi="Arial"/>
          <w:sz w:val="24"/>
          <w:lang w:val="en-US"/>
        </w:rPr>
        <w:t>.</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0152">
        <w:rPr>
          <w:rFonts w:ascii="Arial" w:hAnsi="Arial"/>
          <w:sz w:val="24"/>
          <w:lang w:val="en-US"/>
        </w:rPr>
        <w:t xml:space="preserve">LAA </w:t>
      </w:r>
      <w:r w:rsidR="00DE43E9">
        <w:rPr>
          <w:rFonts w:ascii="Arial" w:hAnsi="Arial"/>
          <w:sz w:val="24"/>
          <w:lang w:val="en-US"/>
        </w:rPr>
        <w:t xml:space="preserve">to LAA </w:t>
      </w:r>
      <w:r w:rsidR="00673963">
        <w:rPr>
          <w:rFonts w:ascii="Arial" w:hAnsi="Arial"/>
          <w:sz w:val="24"/>
          <w:lang w:val="en-US"/>
        </w:rPr>
        <w:t xml:space="preserve">adjacent channel coexistence </w:t>
      </w:r>
      <w:r w:rsidR="00DE43E9">
        <w:rPr>
          <w:rFonts w:ascii="Arial" w:hAnsi="Arial"/>
          <w:sz w:val="24"/>
          <w:lang w:val="en-US"/>
        </w:rPr>
        <w:t>requirements.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rsidR="0042352E" w:rsidRDefault="000E0602" w:rsidP="000446FD">
      <w:pPr>
        <w:pStyle w:val="Heading1"/>
        <w:tabs>
          <w:tab w:val="clear" w:pos="432"/>
          <w:tab w:val="num" w:pos="522"/>
        </w:tabs>
        <w:ind w:left="522" w:hanging="522"/>
        <w:rPr>
          <w:lang w:val="en-US"/>
        </w:rPr>
      </w:pPr>
      <w:r>
        <w:rPr>
          <w:lang w:val="en-US"/>
        </w:rPr>
        <w:t>Introduction</w:t>
      </w:r>
    </w:p>
    <w:p w:rsidR="00F52796" w:rsidRDefault="00541355" w:rsidP="0059323C">
      <w:pPr>
        <w:jc w:val="both"/>
        <w:rPr>
          <w:lang w:val="en-US"/>
        </w:rPr>
      </w:pPr>
      <w:r>
        <w:rPr>
          <w:lang w:val="en-US"/>
        </w:rPr>
        <w:t>In previous RAN4 meeting held in Rio de Janeiro (RAN4 #74bis), it was agreed that in terms of Adjacent Channel Coexistence LAA is a better neighbor to</w:t>
      </w:r>
      <w:r w:rsidR="00F52796">
        <w:rPr>
          <w:lang w:val="en-US"/>
        </w:rPr>
        <w:t xml:space="preserve"> Wi-Fi compare</w:t>
      </w:r>
      <w:r w:rsidR="0008686F">
        <w:rPr>
          <w:lang w:val="en-US"/>
        </w:rPr>
        <w:t>d</w:t>
      </w:r>
      <w:r w:rsidR="00F52796">
        <w:rPr>
          <w:lang w:val="en-US"/>
        </w:rPr>
        <w:t xml:space="preserve"> to Wi-Fi itself. In this contribution, we present simulation results for LAA to LAA coexistence and show the sensitiveness of coexistence performance to different ACLR values.</w:t>
      </w:r>
    </w:p>
    <w:p w:rsidR="00F52796" w:rsidRDefault="00F52796" w:rsidP="00F52796">
      <w:pPr>
        <w:rPr>
          <w:lang w:val="en-US"/>
        </w:rPr>
      </w:pPr>
    </w:p>
    <w:p w:rsidR="007C6E00" w:rsidRDefault="007C6E00" w:rsidP="007C6E00">
      <w:pPr>
        <w:pStyle w:val="Heading1"/>
        <w:tabs>
          <w:tab w:val="clear" w:pos="432"/>
          <w:tab w:val="num" w:pos="522"/>
        </w:tabs>
        <w:ind w:left="522" w:hanging="522"/>
        <w:rPr>
          <w:lang w:val="en-US"/>
        </w:rPr>
      </w:pPr>
      <w:r>
        <w:rPr>
          <w:lang w:val="en-US"/>
        </w:rPr>
        <w:t>Discussion</w:t>
      </w:r>
    </w:p>
    <w:p w:rsidR="00FD6938" w:rsidRDefault="00FD6938" w:rsidP="0059323C">
      <w:pPr>
        <w:jc w:val="both"/>
      </w:pPr>
      <w:r>
        <w:t>In RAN4 #74</w:t>
      </w:r>
      <w:r w:rsidR="00F52796">
        <w:t>bis several contributions were presented addressing LAA to Wi-Fi coexistence</w:t>
      </w:r>
      <w:r w:rsidR="00DE43E9">
        <w:t xml:space="preserve"> </w:t>
      </w:r>
      <w:r w:rsidR="00DE43E9">
        <w:fldChar w:fldCharType="begin"/>
      </w:r>
      <w:r w:rsidR="00DE43E9">
        <w:instrText xml:space="preserve"> REF _Ref419388419 \r \h </w:instrText>
      </w:r>
      <w:r w:rsidR="0059323C">
        <w:instrText xml:space="preserve"> \* MERGEFORMAT </w:instrText>
      </w:r>
      <w:r w:rsidR="00DE43E9">
        <w:fldChar w:fldCharType="separate"/>
      </w:r>
      <w:r w:rsidR="00405C64">
        <w:t>[7]</w:t>
      </w:r>
      <w:r w:rsidR="00DE43E9">
        <w:fldChar w:fldCharType="end"/>
      </w:r>
      <w:r w:rsidR="00DE43E9">
        <w:fldChar w:fldCharType="begin"/>
      </w:r>
      <w:r w:rsidR="00DE43E9">
        <w:instrText xml:space="preserve"> REF _Ref419388422 \r \h </w:instrText>
      </w:r>
      <w:r w:rsidR="0059323C">
        <w:instrText xml:space="preserve"> \* MERGEFORMAT </w:instrText>
      </w:r>
      <w:r w:rsidR="00DE43E9">
        <w:fldChar w:fldCharType="separate"/>
      </w:r>
      <w:r w:rsidR="00405C64">
        <w:t>[8]</w:t>
      </w:r>
      <w:r w:rsidR="00DE43E9">
        <w:fldChar w:fldCharType="end"/>
      </w:r>
      <w:r w:rsidR="00DE43E9">
        <w:fldChar w:fldCharType="begin"/>
      </w:r>
      <w:r w:rsidR="00DE43E9">
        <w:instrText xml:space="preserve"> REF _Ref419388425 \r \h </w:instrText>
      </w:r>
      <w:r w:rsidR="0059323C">
        <w:instrText xml:space="preserve"> \* MERGEFORMAT </w:instrText>
      </w:r>
      <w:r w:rsidR="00DE43E9">
        <w:fldChar w:fldCharType="separate"/>
      </w:r>
      <w:r w:rsidR="00405C64">
        <w:t>[9]</w:t>
      </w:r>
      <w:r w:rsidR="00DE43E9">
        <w:fldChar w:fldCharType="end"/>
      </w:r>
      <w:r w:rsidR="00DE43E9">
        <w:fldChar w:fldCharType="begin"/>
      </w:r>
      <w:r w:rsidR="00DE43E9">
        <w:instrText xml:space="preserve"> REF _Ref419388427 \r \h </w:instrText>
      </w:r>
      <w:r w:rsidR="0059323C">
        <w:instrText xml:space="preserve"> \* MERGEFORMAT </w:instrText>
      </w:r>
      <w:r w:rsidR="00DE43E9">
        <w:fldChar w:fldCharType="separate"/>
      </w:r>
      <w:r w:rsidR="00405C64">
        <w:t>[10]</w:t>
      </w:r>
      <w:r w:rsidR="00DE43E9">
        <w:fldChar w:fldCharType="end"/>
      </w:r>
      <w:r w:rsidR="00DE43E9">
        <w:fldChar w:fldCharType="begin"/>
      </w:r>
      <w:r w:rsidR="00DE43E9">
        <w:instrText xml:space="preserve"> REF _Ref419388430 \r \h </w:instrText>
      </w:r>
      <w:r w:rsidR="0059323C">
        <w:instrText xml:space="preserve"> \* MERGEFORMAT </w:instrText>
      </w:r>
      <w:r w:rsidR="00DE43E9">
        <w:fldChar w:fldCharType="separate"/>
      </w:r>
      <w:r w:rsidR="00405C64">
        <w:t>[11]</w:t>
      </w:r>
      <w:r w:rsidR="00DE43E9">
        <w:fldChar w:fldCharType="end"/>
      </w:r>
      <w:r w:rsidR="00DE43E9">
        <w:fldChar w:fldCharType="begin"/>
      </w:r>
      <w:r w:rsidR="00DE43E9">
        <w:instrText xml:space="preserve"> REF _Ref419388435 \r \h </w:instrText>
      </w:r>
      <w:r w:rsidR="0059323C">
        <w:instrText xml:space="preserve"> \* MERGEFORMAT </w:instrText>
      </w:r>
      <w:r w:rsidR="00DE43E9">
        <w:fldChar w:fldCharType="separate"/>
      </w:r>
      <w:r w:rsidR="00405C64">
        <w:t>[12]</w:t>
      </w:r>
      <w:r w:rsidR="00DE43E9">
        <w:fldChar w:fldCharType="end"/>
      </w:r>
      <w:r w:rsidR="00DE43E9">
        <w:fldChar w:fldCharType="begin"/>
      </w:r>
      <w:r w:rsidR="00DE43E9">
        <w:instrText xml:space="preserve"> REF _Ref419388438 \r \h </w:instrText>
      </w:r>
      <w:r w:rsidR="0059323C">
        <w:instrText xml:space="preserve"> \* MERGEFORMAT </w:instrText>
      </w:r>
      <w:r w:rsidR="00DE43E9">
        <w:fldChar w:fldCharType="separate"/>
      </w:r>
      <w:r w:rsidR="00405C64">
        <w:t>[13]</w:t>
      </w:r>
      <w:r w:rsidR="00DE43E9">
        <w:fldChar w:fldCharType="end"/>
      </w:r>
      <w:r w:rsidR="00F52796">
        <w:t xml:space="preserve">. Although some companies also provided results for the LAA to LAA coexistence case, the main focus of the meeting was </w:t>
      </w:r>
      <w:r w:rsidR="00DE43E9">
        <w:t>on the impact of LAA aggressor to Wi-Fi victim</w:t>
      </w:r>
      <w:r w:rsidR="00A73C49">
        <w:t>.</w:t>
      </w:r>
      <w:r w:rsidR="00E1637B">
        <w:t xml:space="preserve"> </w:t>
      </w:r>
      <w:r w:rsidR="00DE43E9">
        <w:t xml:space="preserve">The conclusions of this study were summarized in a text proposal </w:t>
      </w:r>
      <w:r w:rsidR="007D2CD1">
        <w:t>to</w:t>
      </w:r>
      <w:r w:rsidR="00DE43E9">
        <w:t xml:space="preserve"> TR 36.899 </w:t>
      </w:r>
      <w:r w:rsidR="00DE43E9">
        <w:fldChar w:fldCharType="begin"/>
      </w:r>
      <w:r w:rsidR="00DE43E9">
        <w:instrText xml:space="preserve"> REF _Ref419388595 \r \h </w:instrText>
      </w:r>
      <w:r w:rsidR="0059323C">
        <w:instrText xml:space="preserve"> \* MERGEFORMAT </w:instrText>
      </w:r>
      <w:r w:rsidR="00DE43E9">
        <w:fldChar w:fldCharType="separate"/>
      </w:r>
      <w:r w:rsidR="00405C64">
        <w:t>[1]</w:t>
      </w:r>
      <w:r w:rsidR="00DE43E9">
        <w:fldChar w:fldCharType="end"/>
      </w:r>
      <w:r w:rsidR="00DE43E9">
        <w:t>: from ACI point of view LAA is a better neighbour to Wi-Fi compared to Wi-Fi itself. Th</w:t>
      </w:r>
      <w:r w:rsidR="007D2CD1">
        <w:t>ese</w:t>
      </w:r>
      <w:r w:rsidR="00DE43E9">
        <w:t xml:space="preserve"> conclusions were expected because of the better RF performance of UEs and BSs compared to Wi-Fi STAs and APs. In particular, the better ACLR available for LAA nodes makes the amount of adjacent channel leakage lower compared to the one generated by Wi-Fi nodes. </w:t>
      </w:r>
    </w:p>
    <w:p w:rsidR="007D2CD1" w:rsidRDefault="007D2CD1" w:rsidP="0059323C">
      <w:pPr>
        <w:jc w:val="both"/>
      </w:pPr>
      <w:r>
        <w:t>In this contribution we discuss LAA to LAA coexistence requirements. We will take into account several factors, i</w:t>
      </w:r>
      <w:r w:rsidR="001A35DF">
        <w:t xml:space="preserve">ncluding the difference between licensed and unlicensed spectrum in terms co-channel and adjacent channel interference. </w:t>
      </w:r>
      <w:r w:rsidR="0008686F">
        <w:t>We will also present some preliminary results showing the sensitiveness of SINR to different BS ACLR values.</w:t>
      </w:r>
    </w:p>
    <w:p w:rsidR="007D2CD1" w:rsidRDefault="007D2CD1" w:rsidP="0059323C">
      <w:pPr>
        <w:jc w:val="both"/>
      </w:pPr>
    </w:p>
    <w:p w:rsidR="007D2CD1" w:rsidRDefault="007D2CD1" w:rsidP="007D2CD1">
      <w:pPr>
        <w:pStyle w:val="Heading1"/>
        <w:tabs>
          <w:tab w:val="clear" w:pos="432"/>
          <w:tab w:val="num" w:pos="522"/>
        </w:tabs>
        <w:ind w:left="522" w:hanging="522"/>
        <w:rPr>
          <w:lang w:val="en-US"/>
        </w:rPr>
      </w:pPr>
      <w:r>
        <w:rPr>
          <w:lang w:val="en-US"/>
        </w:rPr>
        <w:t>LAA to LAA coexistence</w:t>
      </w:r>
    </w:p>
    <w:p w:rsidR="001A35DF" w:rsidRPr="001A35DF" w:rsidRDefault="001A35DF" w:rsidP="0059323C">
      <w:pPr>
        <w:jc w:val="both"/>
        <w:rPr>
          <w:lang w:val="en-US"/>
        </w:rPr>
      </w:pPr>
      <w:r>
        <w:rPr>
          <w:lang w:val="en-US"/>
        </w:rPr>
        <w:t>In this section we provide observations and simulation results considering the LAA to LAA adjacent coexistence scenario. We first give some general considerations about the difference between licensed and unlicensed spectrum and then show simulation results for LAA to LAA coexistence.</w:t>
      </w:r>
    </w:p>
    <w:p w:rsidR="007D2CD1" w:rsidRDefault="007D2CD1" w:rsidP="007D2CD1">
      <w:pPr>
        <w:pStyle w:val="Heading2"/>
        <w:rPr>
          <w:lang w:val="en-US"/>
        </w:rPr>
      </w:pPr>
      <w:r>
        <w:rPr>
          <w:lang w:val="en-US"/>
        </w:rPr>
        <w:t>Considerations on unlicensed spectrum</w:t>
      </w:r>
    </w:p>
    <w:p w:rsidR="001A35DF" w:rsidRDefault="001A35DF" w:rsidP="0059323C">
      <w:pPr>
        <w:jc w:val="both"/>
        <w:rPr>
          <w:lang w:val="en-US"/>
        </w:rPr>
      </w:pPr>
      <w:r>
        <w:rPr>
          <w:lang w:val="en-US"/>
        </w:rPr>
        <w:t>During last RAN4 meeting operators raised concern</w:t>
      </w:r>
      <w:r w:rsidR="002050A4">
        <w:rPr>
          <w:lang w:val="en-US"/>
        </w:rPr>
        <w:t>s</w:t>
      </w:r>
      <w:r>
        <w:rPr>
          <w:lang w:val="en-US"/>
        </w:rPr>
        <w:t xml:space="preserve"> about </w:t>
      </w:r>
      <w:r w:rsidR="0008686F">
        <w:rPr>
          <w:lang w:val="en-US"/>
        </w:rPr>
        <w:t>a</w:t>
      </w:r>
      <w:r>
        <w:rPr>
          <w:lang w:val="en-US"/>
        </w:rPr>
        <w:t xml:space="preserve"> possible relaxation of LAA RF requirements. </w:t>
      </w:r>
      <w:r w:rsidR="0008686F">
        <w:rPr>
          <w:lang w:val="en-US"/>
        </w:rPr>
        <w:t>In our opinion, i</w:t>
      </w:r>
      <w:r>
        <w:rPr>
          <w:lang w:val="en-US"/>
        </w:rPr>
        <w:t xml:space="preserve">t is </w:t>
      </w:r>
      <w:r w:rsidR="0008686F">
        <w:rPr>
          <w:lang w:val="en-US"/>
        </w:rPr>
        <w:t xml:space="preserve">first of all </w:t>
      </w:r>
      <w:r>
        <w:rPr>
          <w:lang w:val="en-US"/>
        </w:rPr>
        <w:t xml:space="preserve">important to </w:t>
      </w:r>
      <w:r w:rsidR="0008686F">
        <w:rPr>
          <w:lang w:val="en-US"/>
        </w:rPr>
        <w:t>clarify</w:t>
      </w:r>
      <w:r>
        <w:rPr>
          <w:lang w:val="en-US"/>
        </w:rPr>
        <w:t xml:space="preserve"> the difference between licensed and unlicensed operations. In general, in licensed spectrum the communication reliability is much higher because of the more controlled spectrum management. When we consider a legacy LTE band, operators that use that band</w:t>
      </w:r>
      <w:r w:rsidR="00122DA6">
        <w:rPr>
          <w:lang w:val="en-US"/>
        </w:rPr>
        <w:t xml:space="preserve"> has the guarantee that a certain level of requirements are satisfied. For instance, UE and BS transmitting on that band needs to satisfy 3GPP requirements which were determined mainly based on DL and UL coexistence across d</w:t>
      </w:r>
      <w:r w:rsidR="002050A4">
        <w:rPr>
          <w:lang w:val="en-US"/>
        </w:rPr>
        <w:t>ifferent UEs and BSs operating i</w:t>
      </w:r>
      <w:r w:rsidR="00122DA6">
        <w:rPr>
          <w:lang w:val="en-US"/>
        </w:rPr>
        <w:t xml:space="preserve">n adjacent channels. Of course, coexistence with existing systems operating in adjacent bands were also taken into account. By looking at how the ACLR requirements was derived, it can be noted that the study performed in </w:t>
      </w:r>
      <w:r w:rsidR="00122DA6">
        <w:rPr>
          <w:lang w:val="en-US"/>
        </w:rPr>
        <w:fldChar w:fldCharType="begin"/>
      </w:r>
      <w:r w:rsidR="00122DA6">
        <w:rPr>
          <w:lang w:val="en-US"/>
        </w:rPr>
        <w:instrText xml:space="preserve"> REF _Ref419451504 \r \h </w:instrText>
      </w:r>
      <w:r w:rsidR="0059323C">
        <w:rPr>
          <w:lang w:val="en-US"/>
        </w:rPr>
        <w:instrText xml:space="preserve"> \* MERGEFORMAT </w:instrText>
      </w:r>
      <w:r w:rsidR="00122DA6">
        <w:rPr>
          <w:lang w:val="en-US"/>
        </w:rPr>
      </w:r>
      <w:r w:rsidR="00122DA6">
        <w:rPr>
          <w:lang w:val="en-US"/>
        </w:rPr>
        <w:fldChar w:fldCharType="separate"/>
      </w:r>
      <w:r w:rsidR="00405C64">
        <w:rPr>
          <w:lang w:val="en-US"/>
        </w:rPr>
        <w:t>[4]</w:t>
      </w:r>
      <w:r w:rsidR="00122DA6">
        <w:rPr>
          <w:lang w:val="en-US"/>
        </w:rPr>
        <w:fldChar w:fldCharType="end"/>
      </w:r>
      <w:r w:rsidR="00122DA6">
        <w:rPr>
          <w:lang w:val="en-US"/>
        </w:rPr>
        <w:t xml:space="preserve"> assumed LTE systems (from same or different operators) operating in adjacent channels. Therefore the ACLR was derived considering the impact of an aggressor LTE system to a victim LTE system. The situation is very different when unlicensed spectrum is taken into account. Indeed, in this case there is no guarantee about the ACLR adopted by other technologies. In other words</w:t>
      </w:r>
      <w:r w:rsidR="0008686F">
        <w:rPr>
          <w:lang w:val="en-US"/>
        </w:rPr>
        <w:t>,</w:t>
      </w:r>
      <w:r w:rsidR="00122DA6">
        <w:rPr>
          <w:lang w:val="en-US"/>
        </w:rPr>
        <w:t xml:space="preserve"> other technologies need to satisfy the same regulatory requirements in terms of maximum transmit power,</w:t>
      </w:r>
      <w:r w:rsidR="002050A4">
        <w:rPr>
          <w:lang w:val="en-US"/>
        </w:rPr>
        <w:t xml:space="preserve"> maximum power spectral density,</w:t>
      </w:r>
      <w:r w:rsidR="00122DA6">
        <w:rPr>
          <w:lang w:val="en-US"/>
        </w:rPr>
        <w:t xml:space="preserve"> in-band emissions, out of band emissions</w:t>
      </w:r>
      <w:r w:rsidR="00C35CD2">
        <w:rPr>
          <w:lang w:val="en-US"/>
        </w:rPr>
        <w:t>, but in most of the regional regulations a requirement similar to ACLR</w:t>
      </w:r>
      <w:r w:rsidR="002050A4">
        <w:rPr>
          <w:lang w:val="en-US"/>
        </w:rPr>
        <w:t xml:space="preserve"> is not specified</w:t>
      </w:r>
      <w:r w:rsidR="00C35CD2">
        <w:rPr>
          <w:lang w:val="en-US"/>
        </w:rPr>
        <w:t xml:space="preserve">. Indeed, since </w:t>
      </w:r>
      <w:r w:rsidR="0008686F">
        <w:rPr>
          <w:lang w:val="en-US"/>
        </w:rPr>
        <w:t>our goal was</w:t>
      </w:r>
      <w:r w:rsidR="00C35CD2">
        <w:rPr>
          <w:lang w:val="en-US"/>
        </w:rPr>
        <w:t xml:space="preserve"> to evaluate the impact from LAA to Wi-Fi in RAN4 study, we computed an equivalent ACLR </w:t>
      </w:r>
      <w:r w:rsidR="00C35CD2">
        <w:rPr>
          <w:lang w:val="en-US"/>
        </w:rPr>
        <w:lastRenderedPageBreak/>
        <w:t xml:space="preserve">requirement based on IEEE specifications </w:t>
      </w:r>
      <w:r w:rsidR="00C35CD2">
        <w:rPr>
          <w:lang w:val="en-US"/>
        </w:rPr>
        <w:fldChar w:fldCharType="begin"/>
      </w:r>
      <w:r w:rsidR="00C35CD2">
        <w:rPr>
          <w:lang w:val="en-US"/>
        </w:rPr>
        <w:instrText xml:space="preserve"> REF _Ref419388422 \r \h </w:instrText>
      </w:r>
      <w:r w:rsidR="0059323C">
        <w:rPr>
          <w:lang w:val="en-US"/>
        </w:rPr>
        <w:instrText xml:space="preserve"> \* MERGEFORMAT </w:instrText>
      </w:r>
      <w:r w:rsidR="00C35CD2">
        <w:rPr>
          <w:lang w:val="en-US"/>
        </w:rPr>
      </w:r>
      <w:r w:rsidR="00C35CD2">
        <w:rPr>
          <w:lang w:val="en-US"/>
        </w:rPr>
        <w:fldChar w:fldCharType="separate"/>
      </w:r>
      <w:r w:rsidR="00405C64">
        <w:rPr>
          <w:lang w:val="en-US"/>
        </w:rPr>
        <w:t>[8]</w:t>
      </w:r>
      <w:r w:rsidR="00C35CD2">
        <w:rPr>
          <w:lang w:val="en-US"/>
        </w:rPr>
        <w:fldChar w:fldCharType="end"/>
      </w:r>
      <w:r w:rsidR="00C35CD2">
        <w:rPr>
          <w:lang w:val="en-US"/>
        </w:rPr>
        <w:t xml:space="preserve">. It is worth noticing that the system with worst ACLR performance will be the bottleneck in terms of ACI. This is indeed what we observed and what we concluded in </w:t>
      </w:r>
      <w:r w:rsidR="00C35CD2">
        <w:rPr>
          <w:lang w:val="en-US"/>
        </w:rPr>
        <w:fldChar w:fldCharType="begin"/>
      </w:r>
      <w:r w:rsidR="00C35CD2">
        <w:rPr>
          <w:lang w:val="en-US"/>
        </w:rPr>
        <w:instrText xml:space="preserve"> REF _Ref419388595 \r \h </w:instrText>
      </w:r>
      <w:r w:rsidR="0059323C">
        <w:rPr>
          <w:lang w:val="en-US"/>
        </w:rPr>
        <w:instrText xml:space="preserve"> \* MERGEFORMAT </w:instrText>
      </w:r>
      <w:r w:rsidR="00C35CD2">
        <w:rPr>
          <w:lang w:val="en-US"/>
        </w:rPr>
      </w:r>
      <w:r w:rsidR="00C35CD2">
        <w:rPr>
          <w:lang w:val="en-US"/>
        </w:rPr>
        <w:fldChar w:fldCharType="separate"/>
      </w:r>
      <w:r w:rsidR="00405C64">
        <w:rPr>
          <w:lang w:val="en-US"/>
        </w:rPr>
        <w:t>[1]</w:t>
      </w:r>
      <w:r w:rsidR="00C35CD2">
        <w:rPr>
          <w:lang w:val="en-US"/>
        </w:rPr>
        <w:fldChar w:fldCharType="end"/>
      </w:r>
      <w:r w:rsidR="00C35CD2">
        <w:rPr>
          <w:lang w:val="en-US"/>
        </w:rPr>
        <w:t xml:space="preserve">. In other words, even if LAA has excellent ACLR performance it will be still affected by adjacent interference coming from nodes </w:t>
      </w:r>
      <w:r w:rsidR="006105CF">
        <w:rPr>
          <w:lang w:val="en-US"/>
        </w:rPr>
        <w:t xml:space="preserve">operating in the same 5GHz band </w:t>
      </w:r>
      <w:r w:rsidR="00C35CD2">
        <w:rPr>
          <w:lang w:val="en-US"/>
        </w:rPr>
        <w:t xml:space="preserve">belonging to other technologies </w:t>
      </w:r>
      <w:r w:rsidR="006105CF">
        <w:rPr>
          <w:lang w:val="en-US"/>
        </w:rPr>
        <w:t xml:space="preserve">and </w:t>
      </w:r>
      <w:r w:rsidR="00C35CD2">
        <w:rPr>
          <w:lang w:val="en-US"/>
        </w:rPr>
        <w:t>with wors</w:t>
      </w:r>
      <w:r w:rsidR="006105CF">
        <w:rPr>
          <w:lang w:val="en-US"/>
        </w:rPr>
        <w:t>e</w:t>
      </w:r>
      <w:r w:rsidR="00C35CD2">
        <w:rPr>
          <w:lang w:val="en-US"/>
        </w:rPr>
        <w:t xml:space="preserve"> ACLR requirements. Therefore, when looking at LAA </w:t>
      </w:r>
      <w:r w:rsidR="0008686F">
        <w:rPr>
          <w:lang w:val="en-US"/>
        </w:rPr>
        <w:t>performance</w:t>
      </w:r>
      <w:r w:rsidR="00C35CD2">
        <w:rPr>
          <w:lang w:val="en-US"/>
        </w:rPr>
        <w:t xml:space="preserve"> it </w:t>
      </w:r>
      <w:r w:rsidR="0008686F">
        <w:rPr>
          <w:lang w:val="en-US"/>
        </w:rPr>
        <w:t>is worth considering that imposing</w:t>
      </w:r>
      <w:r w:rsidR="00C35CD2">
        <w:rPr>
          <w:lang w:val="en-US"/>
        </w:rPr>
        <w:t xml:space="preserve"> a very tight requirement does not guarantee that ACI will be very low.  </w:t>
      </w:r>
    </w:p>
    <w:p w:rsidR="006105CF" w:rsidRDefault="006105CF" w:rsidP="0059323C">
      <w:pPr>
        <w:jc w:val="both"/>
        <w:rPr>
          <w:lang w:val="en-US"/>
        </w:rPr>
      </w:pPr>
      <w:r w:rsidRPr="006105CF">
        <w:rPr>
          <w:b/>
          <w:i/>
          <w:lang w:val="en-US"/>
        </w:rPr>
        <w:t>Observation 1:</w:t>
      </w:r>
      <w:r>
        <w:rPr>
          <w:b/>
          <w:i/>
          <w:lang w:val="en-US"/>
        </w:rPr>
        <w:t xml:space="preserve"> </w:t>
      </w:r>
      <w:r w:rsidRPr="006105CF">
        <w:rPr>
          <w:b/>
          <w:i/>
          <w:lang w:val="en-US"/>
        </w:rPr>
        <w:t xml:space="preserve">when looking at LAA </w:t>
      </w:r>
      <w:r w:rsidR="0008686F">
        <w:rPr>
          <w:b/>
          <w:i/>
          <w:lang w:val="en-US"/>
        </w:rPr>
        <w:t>performance</w:t>
      </w:r>
      <w:r w:rsidRPr="006105CF">
        <w:rPr>
          <w:b/>
          <w:i/>
          <w:lang w:val="en-US"/>
        </w:rPr>
        <w:t xml:space="preserve"> </w:t>
      </w:r>
      <w:r>
        <w:rPr>
          <w:b/>
          <w:i/>
          <w:lang w:val="en-US"/>
        </w:rPr>
        <w:t>in 5GHz unlicensed band, imposing</w:t>
      </w:r>
      <w:r w:rsidRPr="006105CF">
        <w:rPr>
          <w:b/>
          <w:i/>
          <w:lang w:val="en-US"/>
        </w:rPr>
        <w:t xml:space="preserve"> a tight</w:t>
      </w:r>
      <w:r>
        <w:rPr>
          <w:b/>
          <w:i/>
          <w:lang w:val="en-US"/>
        </w:rPr>
        <w:t xml:space="preserve"> ACLR</w:t>
      </w:r>
      <w:r w:rsidRPr="006105CF">
        <w:rPr>
          <w:b/>
          <w:i/>
          <w:lang w:val="en-US"/>
        </w:rPr>
        <w:t xml:space="preserve"> requirement does not guarantee </w:t>
      </w:r>
      <w:r>
        <w:rPr>
          <w:b/>
          <w:i/>
          <w:lang w:val="en-US"/>
        </w:rPr>
        <w:t>a very low perceived adjacent channel interference</w:t>
      </w:r>
      <w:r>
        <w:rPr>
          <w:lang w:val="en-US"/>
        </w:rPr>
        <w:t xml:space="preserve">.  </w:t>
      </w:r>
    </w:p>
    <w:p w:rsidR="006105CF" w:rsidRPr="006105CF" w:rsidRDefault="006105CF" w:rsidP="001A35DF">
      <w:pPr>
        <w:rPr>
          <w:b/>
          <w:i/>
          <w:lang w:val="en-US"/>
        </w:rPr>
      </w:pPr>
    </w:p>
    <w:p w:rsidR="007D2CD1" w:rsidRDefault="007D2CD1" w:rsidP="007D2CD1">
      <w:pPr>
        <w:pStyle w:val="Heading2"/>
        <w:rPr>
          <w:lang w:val="en-US"/>
        </w:rPr>
      </w:pPr>
      <w:r>
        <w:rPr>
          <w:lang w:val="en-US"/>
        </w:rPr>
        <w:t>Simulation methodology and assumptions</w:t>
      </w:r>
    </w:p>
    <w:p w:rsidR="0024002C" w:rsidRDefault="006105CF" w:rsidP="0059323C">
      <w:pPr>
        <w:jc w:val="both"/>
        <w:rPr>
          <w:lang w:val="en-US"/>
        </w:rPr>
      </w:pPr>
      <w:r>
        <w:rPr>
          <w:lang w:val="en-US"/>
        </w:rPr>
        <w:t>Keeping in mind the observations made in the previous section, we will know present simulation results for the LAA to LAA coexistence case. The methodology and assumptions are the one</w:t>
      </w:r>
      <w:r w:rsidR="0008686F">
        <w:rPr>
          <w:lang w:val="en-US"/>
        </w:rPr>
        <w:t>s</w:t>
      </w:r>
      <w:r>
        <w:rPr>
          <w:lang w:val="en-US"/>
        </w:rPr>
        <w:t xml:space="preserve"> agreed in </w:t>
      </w:r>
      <w:r>
        <w:rPr>
          <w:lang w:val="en-US"/>
        </w:rPr>
        <w:fldChar w:fldCharType="begin"/>
      </w:r>
      <w:r>
        <w:rPr>
          <w:lang w:val="en-US"/>
        </w:rPr>
        <w:instrText xml:space="preserve"> REF _Ref419452987 \r \h </w:instrText>
      </w:r>
      <w:r w:rsidR="0059323C">
        <w:rPr>
          <w:lang w:val="en-US"/>
        </w:rPr>
        <w:instrText xml:space="preserve"> \* MERGEFORMAT </w:instrText>
      </w:r>
      <w:r>
        <w:rPr>
          <w:lang w:val="en-US"/>
        </w:rPr>
      </w:r>
      <w:r>
        <w:rPr>
          <w:lang w:val="en-US"/>
        </w:rPr>
        <w:fldChar w:fldCharType="separate"/>
      </w:r>
      <w:r w:rsidR="00405C64">
        <w:rPr>
          <w:lang w:val="en-US"/>
        </w:rPr>
        <w:t>[6]</w:t>
      </w:r>
      <w:r>
        <w:rPr>
          <w:lang w:val="en-US"/>
        </w:rPr>
        <w:fldChar w:fldCharType="end"/>
      </w:r>
      <w:r>
        <w:rPr>
          <w:lang w:val="en-US"/>
        </w:rPr>
        <w:t xml:space="preserve"> and described in </w:t>
      </w:r>
      <w:r>
        <w:rPr>
          <w:lang w:val="en-US"/>
        </w:rPr>
        <w:fldChar w:fldCharType="begin"/>
      </w:r>
      <w:r>
        <w:rPr>
          <w:lang w:val="en-US"/>
        </w:rPr>
        <w:instrText xml:space="preserve"> REF _Ref419388422 \r \h </w:instrText>
      </w:r>
      <w:r w:rsidR="0059323C">
        <w:rPr>
          <w:lang w:val="en-US"/>
        </w:rPr>
        <w:instrText xml:space="preserve"> \* MERGEFORMAT </w:instrText>
      </w:r>
      <w:r>
        <w:rPr>
          <w:lang w:val="en-US"/>
        </w:rPr>
      </w:r>
      <w:r>
        <w:rPr>
          <w:lang w:val="en-US"/>
        </w:rPr>
        <w:fldChar w:fldCharType="separate"/>
      </w:r>
      <w:r w:rsidR="00405C64">
        <w:rPr>
          <w:lang w:val="en-US"/>
        </w:rPr>
        <w:t>[8]</w:t>
      </w:r>
      <w:r>
        <w:rPr>
          <w:lang w:val="en-US"/>
        </w:rPr>
        <w:fldChar w:fldCharType="end"/>
      </w:r>
      <w:r>
        <w:rPr>
          <w:lang w:val="en-US"/>
        </w:rPr>
        <w:t xml:space="preserve">. </w:t>
      </w:r>
    </w:p>
    <w:p w:rsidR="006105CF" w:rsidRDefault="006105CF" w:rsidP="0059323C">
      <w:pPr>
        <w:jc w:val="both"/>
        <w:rPr>
          <w:lang w:val="en-US"/>
        </w:rPr>
      </w:pPr>
      <w:r>
        <w:rPr>
          <w:lang w:val="en-US"/>
        </w:rPr>
        <w:t xml:space="preserve">In this contributions we will consider indoor only deployment (since this is the most challenging </w:t>
      </w:r>
      <w:r w:rsidR="0008686F">
        <w:rPr>
          <w:lang w:val="en-US"/>
        </w:rPr>
        <w:t>case</w:t>
      </w:r>
      <w:r>
        <w:rPr>
          <w:lang w:val="en-US"/>
        </w:rPr>
        <w:t>). The baseline layout is made of a total of 8 nodes: 4 LAA nodes from operator A and 4 LAA nodes from operator B.</w:t>
      </w:r>
      <w:r w:rsidR="002050A4">
        <w:rPr>
          <w:lang w:val="en-US"/>
        </w:rPr>
        <w:t xml:space="preserve"> Operators A and B operate on adjacent channels.</w:t>
      </w:r>
      <w:r>
        <w:rPr>
          <w:lang w:val="en-US"/>
        </w:rPr>
        <w:t xml:space="preserve"> We will also consider three different configurations in terms of active node</w:t>
      </w:r>
      <w:r w:rsidR="0008686F">
        <w:rPr>
          <w:lang w:val="en-US"/>
        </w:rPr>
        <w:t>s</w:t>
      </w:r>
      <w:r w:rsidR="00873DAC">
        <w:rPr>
          <w:lang w:val="en-US"/>
        </w:rPr>
        <w:t xml:space="preserve"> (as illustrated in </w:t>
      </w:r>
      <w:r w:rsidR="00873DAC">
        <w:rPr>
          <w:lang w:val="en-US"/>
        </w:rPr>
        <w:fldChar w:fldCharType="begin"/>
      </w:r>
      <w:r w:rsidR="00873DAC">
        <w:rPr>
          <w:lang w:val="en-US"/>
        </w:rPr>
        <w:instrText xml:space="preserve"> REF _Ref419454778 \h </w:instrText>
      </w:r>
      <w:r w:rsidR="0059323C">
        <w:rPr>
          <w:lang w:val="en-US"/>
        </w:rPr>
        <w:instrText xml:space="preserve"> \* MERGEFORMAT </w:instrText>
      </w:r>
      <w:r w:rsidR="00873DAC">
        <w:rPr>
          <w:lang w:val="en-US"/>
        </w:rPr>
      </w:r>
      <w:r w:rsidR="00873DAC">
        <w:rPr>
          <w:lang w:val="en-US"/>
        </w:rPr>
        <w:fldChar w:fldCharType="separate"/>
      </w:r>
      <w:r w:rsidR="00405C64">
        <w:t xml:space="preserve">Figure </w:t>
      </w:r>
      <w:r w:rsidR="00405C64">
        <w:rPr>
          <w:noProof/>
        </w:rPr>
        <w:t>1</w:t>
      </w:r>
      <w:r w:rsidR="00873DAC">
        <w:rPr>
          <w:lang w:val="en-US"/>
        </w:rPr>
        <w:fldChar w:fldCharType="end"/>
      </w:r>
      <w:r w:rsidR="00873DAC">
        <w:rPr>
          <w:lang w:val="en-US"/>
        </w:rPr>
        <w:t>)</w:t>
      </w:r>
      <w:r>
        <w:rPr>
          <w:lang w:val="en-US"/>
        </w:rPr>
        <w:t>:</w:t>
      </w:r>
    </w:p>
    <w:p w:rsidR="006105CF" w:rsidRDefault="00BA6EFD" w:rsidP="0059323C">
      <w:pPr>
        <w:pStyle w:val="ListParagraph"/>
        <w:numPr>
          <w:ilvl w:val="0"/>
          <w:numId w:val="19"/>
        </w:numPr>
        <w:jc w:val="both"/>
        <w:rPr>
          <w:lang w:val="en-US"/>
        </w:rPr>
      </w:pPr>
      <w:r w:rsidRPr="00BA6EFD">
        <w:rPr>
          <w:b/>
          <w:lang w:val="en-US"/>
        </w:rPr>
        <w:t>Configurations A</w:t>
      </w:r>
      <w:r>
        <w:rPr>
          <w:lang w:val="en-US"/>
        </w:rPr>
        <w:t xml:space="preserve">: </w:t>
      </w:r>
      <w:r w:rsidR="006105CF">
        <w:rPr>
          <w:lang w:val="en-US"/>
        </w:rPr>
        <w:t>8 nodes are active</w:t>
      </w:r>
      <w:r w:rsidR="00854E60">
        <w:rPr>
          <w:lang w:val="en-US"/>
        </w:rPr>
        <w:t xml:space="preserve"> (</w:t>
      </w:r>
      <w:r w:rsidR="00061C12">
        <w:rPr>
          <w:lang w:val="en-US"/>
        </w:rPr>
        <w:t>4</w:t>
      </w:r>
      <w:r w:rsidR="00854E60">
        <w:rPr>
          <w:lang w:val="en-US"/>
        </w:rPr>
        <w:t xml:space="preserve"> nodes per operator)</w:t>
      </w:r>
      <w:r w:rsidR="006105CF">
        <w:rPr>
          <w:lang w:val="en-US"/>
        </w:rPr>
        <w:t>.</w:t>
      </w:r>
    </w:p>
    <w:p w:rsidR="006105CF" w:rsidRDefault="00BA6EFD" w:rsidP="0059323C">
      <w:pPr>
        <w:pStyle w:val="ListParagraph"/>
        <w:numPr>
          <w:ilvl w:val="0"/>
          <w:numId w:val="19"/>
        </w:numPr>
        <w:jc w:val="both"/>
        <w:rPr>
          <w:lang w:val="en-US"/>
        </w:rPr>
      </w:pPr>
      <w:r w:rsidRPr="00BA6EFD">
        <w:rPr>
          <w:b/>
          <w:lang w:val="en-US"/>
        </w:rPr>
        <w:t>Configurations</w:t>
      </w:r>
      <w:r>
        <w:rPr>
          <w:b/>
          <w:lang w:val="en-US"/>
        </w:rPr>
        <w:t xml:space="preserve"> B:</w:t>
      </w:r>
      <w:r>
        <w:rPr>
          <w:lang w:val="en-US"/>
        </w:rPr>
        <w:t xml:space="preserve"> </w:t>
      </w:r>
      <w:r w:rsidR="0030390C">
        <w:rPr>
          <w:lang w:val="en-US"/>
        </w:rPr>
        <w:t>4 nodes ar</w:t>
      </w:r>
      <w:r w:rsidR="00854E60">
        <w:rPr>
          <w:lang w:val="en-US"/>
        </w:rPr>
        <w:t>e active (2 nodes per operator)</w:t>
      </w:r>
      <w:r w:rsidR="0030390C">
        <w:rPr>
          <w:lang w:val="en-US"/>
        </w:rPr>
        <w:t>.</w:t>
      </w:r>
    </w:p>
    <w:p w:rsidR="0030390C" w:rsidRDefault="00BA6EFD" w:rsidP="0059323C">
      <w:pPr>
        <w:pStyle w:val="ListParagraph"/>
        <w:numPr>
          <w:ilvl w:val="0"/>
          <w:numId w:val="19"/>
        </w:numPr>
        <w:jc w:val="both"/>
        <w:rPr>
          <w:lang w:val="en-US"/>
        </w:rPr>
      </w:pPr>
      <w:r w:rsidRPr="00BA6EFD">
        <w:rPr>
          <w:b/>
          <w:lang w:val="en-US"/>
        </w:rPr>
        <w:t xml:space="preserve">Configurations </w:t>
      </w:r>
      <w:r>
        <w:rPr>
          <w:b/>
          <w:lang w:val="en-US"/>
        </w:rPr>
        <w:t xml:space="preserve">C: </w:t>
      </w:r>
      <w:r w:rsidR="00854E60">
        <w:rPr>
          <w:lang w:val="en-US"/>
        </w:rPr>
        <w:t>2</w:t>
      </w:r>
      <w:r w:rsidR="0030390C">
        <w:rPr>
          <w:lang w:val="en-US"/>
        </w:rPr>
        <w:t xml:space="preserve"> nodes are active (</w:t>
      </w:r>
      <w:r w:rsidR="00854E60">
        <w:rPr>
          <w:lang w:val="en-US"/>
        </w:rPr>
        <w:t>1 nodes per operator)</w:t>
      </w:r>
      <w:r w:rsidR="0030390C">
        <w:rPr>
          <w:lang w:val="en-US"/>
        </w:rPr>
        <w:t>.</w:t>
      </w:r>
    </w:p>
    <w:p w:rsidR="00873DAC" w:rsidRDefault="00854E60" w:rsidP="00854E60">
      <w:pPr>
        <w:keepNext/>
        <w:jc w:val="center"/>
      </w:pPr>
      <w:r>
        <w:rPr>
          <w:noProof/>
          <w:lang w:val="en-US"/>
        </w:rPr>
        <w:drawing>
          <wp:inline distT="0" distB="0" distL="0" distR="0" wp14:anchorId="61D99865">
            <wp:extent cx="6287770" cy="173670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7125" cy="1742054"/>
                    </a:xfrm>
                    <a:prstGeom prst="rect">
                      <a:avLst/>
                    </a:prstGeom>
                    <a:noFill/>
                  </pic:spPr>
                </pic:pic>
              </a:graphicData>
            </a:graphic>
          </wp:inline>
        </w:drawing>
      </w:r>
    </w:p>
    <w:p w:rsidR="00873DAC" w:rsidRDefault="00873DAC" w:rsidP="0059323C">
      <w:pPr>
        <w:pStyle w:val="Caption"/>
        <w:jc w:val="both"/>
      </w:pPr>
      <w:bookmarkStart w:id="0" w:name="_Ref419454778"/>
      <w:r>
        <w:t xml:space="preserve">Figure </w:t>
      </w:r>
      <w:r>
        <w:fldChar w:fldCharType="begin"/>
      </w:r>
      <w:r>
        <w:instrText xml:space="preserve"> SEQ Figure \* ARABIC </w:instrText>
      </w:r>
      <w:r>
        <w:fldChar w:fldCharType="separate"/>
      </w:r>
      <w:r w:rsidR="00405C64">
        <w:rPr>
          <w:noProof/>
        </w:rPr>
        <w:t>1</w:t>
      </w:r>
      <w:r>
        <w:fldChar w:fldCharType="end"/>
      </w:r>
      <w:bookmarkEnd w:id="0"/>
      <w:r>
        <w:t xml:space="preserve">. Illustration of the three </w:t>
      </w:r>
      <w:r w:rsidR="0008686F">
        <w:t>active nodes configurations</w:t>
      </w:r>
      <w:r>
        <w:t xml:space="preserve"> analysed</w:t>
      </w:r>
      <w:r w:rsidR="0008686F">
        <w:t xml:space="preserve"> in this contribution.</w:t>
      </w:r>
      <w:r>
        <w:t xml:space="preserve"> Red Markers = BSs from LAA operator A; green markers = BSs from LAA operator B; blue marker = UEs from LAA operator A; black marker = UEs from LAA operator B. </w:t>
      </w:r>
      <w:r w:rsidR="002050A4">
        <w:t xml:space="preserve">Configurations A, B, C are depicted from left to right, respectively. </w:t>
      </w:r>
      <w:r>
        <w:t>Distance in axis are</w:t>
      </w:r>
      <w:r w:rsidR="002050A4">
        <w:t xml:space="preserve"> expressed</w:t>
      </w:r>
      <w:r>
        <w:t xml:space="preserve"> in meters.</w:t>
      </w:r>
    </w:p>
    <w:p w:rsidR="0008686F" w:rsidRPr="002050A4" w:rsidRDefault="0008686F" w:rsidP="0008686F"/>
    <w:p w:rsidR="00BA6EFD" w:rsidRDefault="0008686F" w:rsidP="0059323C">
      <w:pPr>
        <w:jc w:val="both"/>
        <w:rPr>
          <w:lang w:val="en-US"/>
        </w:rPr>
      </w:pPr>
      <w:r>
        <w:rPr>
          <w:lang w:val="en-US"/>
        </w:rPr>
        <w:t>The s</w:t>
      </w:r>
      <w:r w:rsidR="00BA6EFD">
        <w:rPr>
          <w:lang w:val="en-US"/>
        </w:rPr>
        <w:t>imulated UE ACS, ACLR BS and corresponding ACIR are reported in</w:t>
      </w:r>
      <w:r>
        <w:rPr>
          <w:lang w:val="en-US"/>
        </w:rPr>
        <w:t xml:space="preserve"> </w:t>
      </w:r>
      <w:r>
        <w:rPr>
          <w:lang w:val="en-US"/>
        </w:rPr>
        <w:fldChar w:fldCharType="begin"/>
      </w:r>
      <w:r>
        <w:rPr>
          <w:lang w:val="en-US"/>
        </w:rPr>
        <w:instrText xml:space="preserve"> REF _Ref419469902 \h </w:instrText>
      </w:r>
      <w:r>
        <w:rPr>
          <w:lang w:val="en-US"/>
        </w:rPr>
      </w:r>
      <w:r>
        <w:rPr>
          <w:lang w:val="en-US"/>
        </w:rPr>
        <w:fldChar w:fldCharType="separate"/>
      </w:r>
      <w:r w:rsidR="00405C64">
        <w:t xml:space="preserve">Table </w:t>
      </w:r>
      <w:r w:rsidR="00405C64">
        <w:rPr>
          <w:noProof/>
        </w:rPr>
        <w:t>1</w:t>
      </w:r>
      <w:r>
        <w:rPr>
          <w:lang w:val="en-US"/>
        </w:rPr>
        <w:fldChar w:fldCharType="end"/>
      </w:r>
      <w:r>
        <w:rPr>
          <w:lang w:val="en-US"/>
        </w:rPr>
        <w:t>.</w:t>
      </w:r>
      <w:r w:rsidR="00BA6EFD">
        <w:rPr>
          <w:lang w:val="en-US"/>
        </w:rPr>
        <w:t xml:space="preserve"> </w:t>
      </w:r>
    </w:p>
    <w:p w:rsidR="00BA6EFD" w:rsidRDefault="00BA6EFD" w:rsidP="00BA6EFD">
      <w:pPr>
        <w:pStyle w:val="Caption"/>
        <w:keepNext/>
        <w:jc w:val="center"/>
      </w:pPr>
      <w:bookmarkStart w:id="1" w:name="_Ref419469902"/>
      <w:r>
        <w:t xml:space="preserve">Table </w:t>
      </w:r>
      <w:r>
        <w:fldChar w:fldCharType="begin"/>
      </w:r>
      <w:r>
        <w:instrText xml:space="preserve"> SEQ Table \* ARABIC </w:instrText>
      </w:r>
      <w:r>
        <w:fldChar w:fldCharType="separate"/>
      </w:r>
      <w:r w:rsidR="00405C64">
        <w:rPr>
          <w:noProof/>
        </w:rPr>
        <w:t>1</w:t>
      </w:r>
      <w:r>
        <w:fldChar w:fldCharType="end"/>
      </w:r>
      <w:bookmarkEnd w:id="1"/>
      <w:r>
        <w:t xml:space="preserve">. </w:t>
      </w:r>
      <w:r w:rsidRPr="001A1543">
        <w:t>Summary of ACLR and ACS parameters</w:t>
      </w:r>
      <w:r>
        <w:t xml:space="preserve"> analysed in this contribution</w:t>
      </w:r>
      <w:r w:rsidRPr="001A1543">
        <w:t>.</w:t>
      </w:r>
    </w:p>
    <w:tbl>
      <w:tblPr>
        <w:tblW w:w="7010" w:type="dxa"/>
        <w:jc w:val="center"/>
        <w:tblLook w:val="04A0" w:firstRow="1" w:lastRow="0" w:firstColumn="1" w:lastColumn="0" w:noHBand="0" w:noVBand="1"/>
      </w:tblPr>
      <w:tblGrid>
        <w:gridCol w:w="1500"/>
        <w:gridCol w:w="1730"/>
        <w:gridCol w:w="2080"/>
        <w:gridCol w:w="1700"/>
      </w:tblGrid>
      <w:tr w:rsidR="00BA6EFD" w:rsidRPr="00BA6EFD" w:rsidTr="00061C12">
        <w:trPr>
          <w:trHeight w:val="300"/>
          <w:jc w:val="center"/>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b/>
                <w:bCs/>
                <w:color w:val="000000"/>
                <w:sz w:val="22"/>
                <w:szCs w:val="22"/>
                <w:lang w:val="en-US"/>
              </w:rPr>
            </w:pPr>
            <w:r w:rsidRPr="00BA6EFD">
              <w:rPr>
                <w:rFonts w:ascii="Calibri" w:hAnsi="Calibri"/>
                <w:b/>
                <w:bCs/>
                <w:color w:val="000000"/>
                <w:sz w:val="22"/>
                <w:szCs w:val="22"/>
                <w:lang w:val="en-US"/>
              </w:rPr>
              <w:t>Study Case</w:t>
            </w:r>
          </w:p>
        </w:tc>
        <w:tc>
          <w:tcPr>
            <w:tcW w:w="1730" w:type="dxa"/>
            <w:tcBorders>
              <w:top w:val="single" w:sz="8" w:space="0" w:color="auto"/>
              <w:left w:val="nil"/>
              <w:bottom w:val="single" w:sz="8" w:space="0" w:color="auto"/>
              <w:right w:val="single" w:sz="8" w:space="0" w:color="auto"/>
            </w:tcBorders>
            <w:shd w:val="clear" w:color="auto" w:fill="auto"/>
            <w:noWrap/>
            <w:vAlign w:val="center"/>
            <w:hideMark/>
          </w:tcPr>
          <w:p w:rsidR="00BA6EFD" w:rsidRPr="00BA6EFD" w:rsidRDefault="00061C12" w:rsidP="00BA6EFD">
            <w:pPr>
              <w:spacing w:after="0"/>
              <w:jc w:val="center"/>
              <w:rPr>
                <w:rFonts w:ascii="Calibri" w:hAnsi="Calibri"/>
                <w:b/>
                <w:bCs/>
                <w:color w:val="000000"/>
                <w:sz w:val="22"/>
                <w:szCs w:val="22"/>
                <w:lang w:val="en-US"/>
              </w:rPr>
            </w:pPr>
            <w:r>
              <w:rPr>
                <w:rFonts w:ascii="Calibri" w:hAnsi="Calibri"/>
                <w:b/>
                <w:bCs/>
                <w:color w:val="000000"/>
                <w:sz w:val="22"/>
                <w:szCs w:val="22"/>
                <w:lang w:val="en-US"/>
              </w:rPr>
              <w:t>LAA UE</w:t>
            </w:r>
            <w:r w:rsidR="00BA6EFD" w:rsidRPr="00BA6EFD">
              <w:rPr>
                <w:rFonts w:ascii="Calibri" w:hAnsi="Calibri"/>
                <w:b/>
                <w:bCs/>
                <w:color w:val="000000"/>
                <w:sz w:val="22"/>
                <w:szCs w:val="22"/>
                <w:lang w:val="en-US"/>
              </w:rPr>
              <w:t xml:space="preserve"> ACS (dB)</w:t>
            </w:r>
          </w:p>
        </w:tc>
        <w:tc>
          <w:tcPr>
            <w:tcW w:w="2080" w:type="dxa"/>
            <w:tcBorders>
              <w:top w:val="single" w:sz="8" w:space="0" w:color="auto"/>
              <w:left w:val="nil"/>
              <w:bottom w:val="single" w:sz="8" w:space="0" w:color="auto"/>
              <w:right w:val="single" w:sz="8" w:space="0" w:color="auto"/>
            </w:tcBorders>
            <w:shd w:val="clear" w:color="auto" w:fill="auto"/>
            <w:noWrap/>
            <w:vAlign w:val="center"/>
            <w:hideMark/>
          </w:tcPr>
          <w:p w:rsidR="00BA6EFD" w:rsidRPr="00BA6EFD" w:rsidRDefault="00061C12" w:rsidP="00BA6EFD">
            <w:pPr>
              <w:spacing w:after="0"/>
              <w:jc w:val="center"/>
              <w:rPr>
                <w:rFonts w:ascii="Calibri" w:hAnsi="Calibri"/>
                <w:b/>
                <w:bCs/>
                <w:color w:val="000000"/>
                <w:sz w:val="22"/>
                <w:szCs w:val="22"/>
                <w:lang w:val="en-US"/>
              </w:rPr>
            </w:pPr>
            <w:r>
              <w:rPr>
                <w:rFonts w:ascii="Calibri" w:hAnsi="Calibri"/>
                <w:b/>
                <w:bCs/>
                <w:color w:val="000000"/>
                <w:sz w:val="22"/>
                <w:szCs w:val="22"/>
                <w:lang w:val="en-US"/>
              </w:rPr>
              <w:t>LAA BS</w:t>
            </w:r>
            <w:r w:rsidR="00BA6EFD" w:rsidRPr="00BA6EFD">
              <w:rPr>
                <w:rFonts w:ascii="Calibri" w:hAnsi="Calibri"/>
                <w:b/>
                <w:bCs/>
                <w:color w:val="000000"/>
                <w:sz w:val="22"/>
                <w:szCs w:val="22"/>
                <w:lang w:val="en-US"/>
              </w:rPr>
              <w:t xml:space="preserve"> ACLR (dBc)</w:t>
            </w:r>
          </w:p>
        </w:tc>
        <w:tc>
          <w:tcPr>
            <w:tcW w:w="1700" w:type="dxa"/>
            <w:tcBorders>
              <w:top w:val="single" w:sz="8" w:space="0" w:color="auto"/>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b/>
                <w:bCs/>
                <w:color w:val="000000"/>
                <w:sz w:val="22"/>
                <w:szCs w:val="22"/>
                <w:lang w:val="en-US"/>
              </w:rPr>
            </w:pPr>
            <w:r w:rsidRPr="00BA6EFD">
              <w:rPr>
                <w:rFonts w:ascii="Calibri" w:hAnsi="Calibri"/>
                <w:b/>
                <w:bCs/>
                <w:color w:val="000000"/>
                <w:sz w:val="22"/>
                <w:szCs w:val="22"/>
                <w:lang w:val="en-US"/>
              </w:rPr>
              <w:t>ACIR (dB)</w:t>
            </w:r>
          </w:p>
        </w:tc>
      </w:tr>
      <w:tr w:rsidR="00BA6EFD" w:rsidRPr="00BA6EFD" w:rsidTr="00061C1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BS to UE</w:t>
            </w:r>
          </w:p>
        </w:tc>
        <w:tc>
          <w:tcPr>
            <w:tcW w:w="173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27</w:t>
            </w:r>
          </w:p>
        </w:tc>
        <w:tc>
          <w:tcPr>
            <w:tcW w:w="208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45</w:t>
            </w:r>
          </w:p>
        </w:tc>
        <w:tc>
          <w:tcPr>
            <w:tcW w:w="170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26.93</w:t>
            </w:r>
          </w:p>
        </w:tc>
      </w:tr>
      <w:tr w:rsidR="00BA6EFD" w:rsidRPr="00BA6EFD" w:rsidTr="00061C1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BS to UE</w:t>
            </w:r>
          </w:p>
        </w:tc>
        <w:tc>
          <w:tcPr>
            <w:tcW w:w="173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27</w:t>
            </w:r>
          </w:p>
        </w:tc>
        <w:tc>
          <w:tcPr>
            <w:tcW w:w="208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40</w:t>
            </w:r>
          </w:p>
        </w:tc>
        <w:tc>
          <w:tcPr>
            <w:tcW w:w="170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26.79</w:t>
            </w:r>
          </w:p>
        </w:tc>
      </w:tr>
      <w:tr w:rsidR="00BA6EFD" w:rsidRPr="00BA6EFD" w:rsidTr="00061C1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BS to UE</w:t>
            </w:r>
          </w:p>
        </w:tc>
        <w:tc>
          <w:tcPr>
            <w:tcW w:w="173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27</w:t>
            </w:r>
          </w:p>
        </w:tc>
        <w:tc>
          <w:tcPr>
            <w:tcW w:w="208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35</w:t>
            </w:r>
          </w:p>
        </w:tc>
        <w:tc>
          <w:tcPr>
            <w:tcW w:w="170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26.36</w:t>
            </w:r>
          </w:p>
        </w:tc>
      </w:tr>
      <w:tr w:rsidR="00BA6EFD" w:rsidRPr="00BA6EFD" w:rsidTr="00061C1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BS to UE</w:t>
            </w:r>
          </w:p>
        </w:tc>
        <w:tc>
          <w:tcPr>
            <w:tcW w:w="173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27</w:t>
            </w:r>
          </w:p>
        </w:tc>
        <w:tc>
          <w:tcPr>
            <w:tcW w:w="208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30</w:t>
            </w:r>
          </w:p>
        </w:tc>
        <w:tc>
          <w:tcPr>
            <w:tcW w:w="1700" w:type="dxa"/>
            <w:tcBorders>
              <w:top w:val="nil"/>
              <w:left w:val="nil"/>
              <w:bottom w:val="single" w:sz="8" w:space="0" w:color="auto"/>
              <w:right w:val="single" w:sz="8" w:space="0" w:color="auto"/>
            </w:tcBorders>
            <w:shd w:val="clear" w:color="auto" w:fill="auto"/>
            <w:noWrap/>
            <w:vAlign w:val="center"/>
            <w:hideMark/>
          </w:tcPr>
          <w:p w:rsidR="00BA6EFD" w:rsidRPr="00BA6EFD" w:rsidRDefault="00BA6EFD" w:rsidP="00BA6EFD">
            <w:pPr>
              <w:spacing w:after="0"/>
              <w:jc w:val="center"/>
              <w:rPr>
                <w:rFonts w:ascii="Calibri" w:hAnsi="Calibri"/>
                <w:color w:val="000000"/>
                <w:sz w:val="22"/>
                <w:szCs w:val="22"/>
                <w:lang w:val="en-US"/>
              </w:rPr>
            </w:pPr>
            <w:r w:rsidRPr="00BA6EFD">
              <w:rPr>
                <w:rFonts w:ascii="Calibri" w:hAnsi="Calibri"/>
                <w:color w:val="000000"/>
                <w:sz w:val="22"/>
                <w:szCs w:val="22"/>
                <w:lang w:val="en-US"/>
              </w:rPr>
              <w:t>25.24</w:t>
            </w:r>
          </w:p>
        </w:tc>
      </w:tr>
    </w:tbl>
    <w:p w:rsidR="0024002C" w:rsidRDefault="0024002C" w:rsidP="0030390C">
      <w:pPr>
        <w:rPr>
          <w:lang w:val="en-US"/>
        </w:rPr>
      </w:pPr>
      <w:r>
        <w:rPr>
          <w:lang w:val="en-US"/>
        </w:rPr>
        <w:t xml:space="preserve"> </w:t>
      </w:r>
    </w:p>
    <w:p w:rsidR="0030390C" w:rsidRDefault="0030390C" w:rsidP="0059323C">
      <w:pPr>
        <w:jc w:val="both"/>
        <w:rPr>
          <w:lang w:val="en-US"/>
        </w:rPr>
      </w:pPr>
      <w:r>
        <w:rPr>
          <w:lang w:val="en-US"/>
        </w:rPr>
        <w:t>Results will be</w:t>
      </w:r>
      <w:r w:rsidR="005C7809">
        <w:rPr>
          <w:lang w:val="en-US"/>
        </w:rPr>
        <w:t xml:space="preserve"> presented in terms of received powers (useful power, co-channel interference and adjacent channel interference) and </w:t>
      </w:r>
      <w:r w:rsidR="008B4239">
        <w:rPr>
          <w:lang w:val="en-US"/>
        </w:rPr>
        <w:t>SINR</w:t>
      </w:r>
      <w:r>
        <w:rPr>
          <w:lang w:val="en-US"/>
        </w:rPr>
        <w:t xml:space="preserve"> measured at the UE</w:t>
      </w:r>
      <w:r w:rsidR="0008686F">
        <w:rPr>
          <w:lang w:val="en-US"/>
        </w:rPr>
        <w:t xml:space="preserve">, i.e. DL </w:t>
      </w:r>
      <w:r w:rsidR="00E556A6">
        <w:rPr>
          <w:lang w:val="en-US"/>
        </w:rPr>
        <w:t xml:space="preserve">to DL coexistence </w:t>
      </w:r>
      <w:r w:rsidR="0008686F">
        <w:rPr>
          <w:lang w:val="en-US"/>
        </w:rPr>
        <w:t>scenario is taken into account</w:t>
      </w:r>
      <w:r>
        <w:rPr>
          <w:lang w:val="en-US"/>
        </w:rPr>
        <w:t>.</w:t>
      </w:r>
    </w:p>
    <w:p w:rsidR="0024002C" w:rsidRPr="0030390C" w:rsidRDefault="0024002C" w:rsidP="0030390C">
      <w:pPr>
        <w:rPr>
          <w:lang w:val="en-US"/>
        </w:rPr>
      </w:pPr>
    </w:p>
    <w:p w:rsidR="007D2CD1" w:rsidRDefault="007D2CD1" w:rsidP="007D2CD1">
      <w:pPr>
        <w:pStyle w:val="Heading2"/>
        <w:rPr>
          <w:lang w:val="en-US"/>
        </w:rPr>
      </w:pPr>
      <w:r>
        <w:rPr>
          <w:lang w:val="en-US"/>
        </w:rPr>
        <w:lastRenderedPageBreak/>
        <w:t>Simulation Results</w:t>
      </w:r>
    </w:p>
    <w:p w:rsidR="007D2CD1" w:rsidRDefault="00BA6EFD" w:rsidP="00D82D41">
      <w:pPr>
        <w:jc w:val="both"/>
        <w:rPr>
          <w:lang w:val="en-US"/>
        </w:rPr>
      </w:pPr>
      <w:r>
        <w:rPr>
          <w:lang w:val="en-US"/>
        </w:rPr>
        <w:t>In t</w:t>
      </w:r>
      <w:r w:rsidR="005C7809">
        <w:rPr>
          <w:lang w:val="en-US"/>
        </w:rPr>
        <w:t xml:space="preserve">his section we present received powers and </w:t>
      </w:r>
      <w:r w:rsidR="008B4239">
        <w:rPr>
          <w:lang w:val="en-US"/>
        </w:rPr>
        <w:t>SINR</w:t>
      </w:r>
      <w:r>
        <w:rPr>
          <w:lang w:val="en-US"/>
        </w:rPr>
        <w:t xml:space="preserve"> CDF</w:t>
      </w:r>
      <w:r w:rsidR="0008686F">
        <w:rPr>
          <w:lang w:val="en-US"/>
        </w:rPr>
        <w:t>s</w:t>
      </w:r>
      <w:r w:rsidR="002050A4">
        <w:rPr>
          <w:lang w:val="en-US"/>
        </w:rPr>
        <w:t>. The distributions refer</w:t>
      </w:r>
      <w:r>
        <w:rPr>
          <w:lang w:val="en-US"/>
        </w:rPr>
        <w:t xml:space="preserve"> to the DL</w:t>
      </w:r>
      <w:r w:rsidR="00061C12">
        <w:rPr>
          <w:lang w:val="en-US"/>
        </w:rPr>
        <w:t xml:space="preserve"> to DL coexistence </w:t>
      </w:r>
      <w:r w:rsidR="00E556A6">
        <w:rPr>
          <w:lang w:val="en-US"/>
        </w:rPr>
        <w:t>case</w:t>
      </w:r>
      <w:r>
        <w:rPr>
          <w:lang w:val="en-US"/>
        </w:rPr>
        <w:t>, hence all statistics are collected at UE side.</w:t>
      </w:r>
    </w:p>
    <w:p w:rsidR="00BA6EFD" w:rsidRDefault="00BA6EFD" w:rsidP="00BA6EFD">
      <w:pPr>
        <w:pStyle w:val="Heading3"/>
        <w:rPr>
          <w:lang w:val="en-US"/>
        </w:rPr>
      </w:pPr>
      <w:r>
        <w:rPr>
          <w:lang w:val="en-US"/>
        </w:rPr>
        <w:t xml:space="preserve"> Configuration A</w:t>
      </w:r>
    </w:p>
    <w:p w:rsidR="00026A8A" w:rsidRPr="00026A8A" w:rsidRDefault="00026A8A" w:rsidP="003A5A21">
      <w:pPr>
        <w:jc w:val="both"/>
        <w:rPr>
          <w:lang w:val="en-US"/>
        </w:rPr>
      </w:pPr>
      <w:r>
        <w:rPr>
          <w:lang w:val="en-US"/>
        </w:rPr>
        <w:fldChar w:fldCharType="begin"/>
      </w:r>
      <w:r>
        <w:rPr>
          <w:lang w:val="en-US"/>
        </w:rPr>
        <w:instrText xml:space="preserve"> REF _Ref419456719 \h </w:instrText>
      </w:r>
      <w:r w:rsidR="003A5A21">
        <w:rPr>
          <w:lang w:val="en-US"/>
        </w:rPr>
        <w:instrText xml:space="preserve"> \* MERGEFORMAT </w:instrText>
      </w:r>
      <w:r>
        <w:rPr>
          <w:lang w:val="en-US"/>
        </w:rPr>
      </w:r>
      <w:r>
        <w:rPr>
          <w:lang w:val="en-US"/>
        </w:rPr>
        <w:fldChar w:fldCharType="separate"/>
      </w:r>
      <w:r w:rsidR="00405C64">
        <w:t xml:space="preserve">Figure </w:t>
      </w:r>
      <w:r w:rsidR="00405C64">
        <w:rPr>
          <w:noProof/>
        </w:rPr>
        <w:t>2</w:t>
      </w:r>
      <w:r>
        <w:rPr>
          <w:lang w:val="en-US"/>
        </w:rPr>
        <w:fldChar w:fldCharType="end"/>
      </w:r>
      <w:r>
        <w:rPr>
          <w:lang w:val="en-US"/>
        </w:rPr>
        <w:t xml:space="preserve"> and </w:t>
      </w:r>
      <w:r>
        <w:rPr>
          <w:lang w:val="en-US"/>
        </w:rPr>
        <w:fldChar w:fldCharType="begin"/>
      </w:r>
      <w:r>
        <w:rPr>
          <w:lang w:val="en-US"/>
        </w:rPr>
        <w:instrText xml:space="preserve"> REF _Ref419456725 \h </w:instrText>
      </w:r>
      <w:r w:rsidR="003A5A21">
        <w:rPr>
          <w:lang w:val="en-US"/>
        </w:rPr>
        <w:instrText xml:space="preserve"> \* MERGEFORMAT </w:instrText>
      </w:r>
      <w:r>
        <w:rPr>
          <w:lang w:val="en-US"/>
        </w:rPr>
      </w:r>
      <w:r>
        <w:rPr>
          <w:lang w:val="en-US"/>
        </w:rPr>
        <w:fldChar w:fldCharType="separate"/>
      </w:r>
      <w:r w:rsidR="00405C64">
        <w:t xml:space="preserve">Figure </w:t>
      </w:r>
      <w:r w:rsidR="00405C64">
        <w:rPr>
          <w:noProof/>
        </w:rPr>
        <w:t>3</w:t>
      </w:r>
      <w:r>
        <w:rPr>
          <w:lang w:val="en-US"/>
        </w:rPr>
        <w:fldChar w:fldCharType="end"/>
      </w:r>
      <w:r>
        <w:rPr>
          <w:lang w:val="en-US"/>
        </w:rPr>
        <w:t xml:space="preserve"> show the </w:t>
      </w:r>
      <w:r w:rsidR="005C7809">
        <w:rPr>
          <w:lang w:val="en-US"/>
        </w:rPr>
        <w:t>received</w:t>
      </w:r>
      <w:r>
        <w:rPr>
          <w:lang w:val="en-US"/>
        </w:rPr>
        <w:t xml:space="preserve"> power</w:t>
      </w:r>
      <w:r w:rsidR="005C7809">
        <w:rPr>
          <w:lang w:val="en-US"/>
        </w:rPr>
        <w:t xml:space="preserve">s and </w:t>
      </w:r>
      <w:r w:rsidR="008B4239">
        <w:rPr>
          <w:lang w:val="en-US"/>
        </w:rPr>
        <w:t>SINR</w:t>
      </w:r>
      <w:r>
        <w:rPr>
          <w:lang w:val="en-US"/>
        </w:rPr>
        <w:t xml:space="preserve"> distributions at UE side considerin</w:t>
      </w:r>
      <w:r w:rsidR="00C15413">
        <w:rPr>
          <w:lang w:val="en-US"/>
        </w:rPr>
        <w:t>g configuration A</w:t>
      </w:r>
      <w:r>
        <w:rPr>
          <w:lang w:val="en-US"/>
        </w:rPr>
        <w:t xml:space="preserve"> (all nodes</w:t>
      </w:r>
      <w:r w:rsidR="00E556A6">
        <w:rPr>
          <w:lang w:val="en-US"/>
        </w:rPr>
        <w:t xml:space="preserve"> are</w:t>
      </w:r>
      <w:r>
        <w:rPr>
          <w:lang w:val="en-US"/>
        </w:rPr>
        <w:t xml:space="preserve"> active). As it can be observed </w:t>
      </w:r>
      <w:r w:rsidR="005C7809">
        <w:rPr>
          <w:lang w:val="en-US"/>
        </w:rPr>
        <w:t xml:space="preserve">from the </w:t>
      </w:r>
      <w:r w:rsidR="008B4239">
        <w:rPr>
          <w:lang w:val="en-US"/>
        </w:rPr>
        <w:t>SINR</w:t>
      </w:r>
      <w:r w:rsidR="005C7809">
        <w:rPr>
          <w:lang w:val="en-US"/>
        </w:rPr>
        <w:t xml:space="preserve"> CDF the impact of a reduced ACLR at BS is very marginal.</w:t>
      </w:r>
      <w:r w:rsidR="002050A4">
        <w:rPr>
          <w:lang w:val="en-US"/>
        </w:rPr>
        <w:t xml:space="preserve"> It is worth noticing that this configuration represents a super loaded scenario in which nodes close to each other transmit in the same channel. In this particular case SINR will be dominated by CCI and the impact of ACI will be negligible. We believe that scenarios B and C are more accurate in representing what could be a realistic operation. Of course, the numbers of active nodes for a given deployment will be determined based on the </w:t>
      </w:r>
      <w:r w:rsidR="00704DB0">
        <w:rPr>
          <w:lang w:val="en-US"/>
        </w:rPr>
        <w:t>access mechanism defined by RAN1 (including CCA threshold). In this study we proposed three different configurations in order to accommodate a wide range interference scenarios.</w:t>
      </w:r>
      <w:r w:rsidR="002050A4">
        <w:rPr>
          <w:lang w:val="en-US"/>
        </w:rPr>
        <w:t xml:space="preserve"> </w:t>
      </w:r>
    </w:p>
    <w:p w:rsidR="00BA6EFD" w:rsidRDefault="000B2203" w:rsidP="00BA6EFD">
      <w:pPr>
        <w:keepNext/>
      </w:pPr>
      <w:r w:rsidRPr="000B2203">
        <w:rPr>
          <w:noProof/>
          <w:lang w:val="en-US"/>
        </w:rPr>
        <w:drawing>
          <wp:inline distT="0" distB="0" distL="0" distR="0">
            <wp:extent cx="6115685" cy="459728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4597282"/>
                    </a:xfrm>
                    <a:prstGeom prst="rect">
                      <a:avLst/>
                    </a:prstGeom>
                    <a:noFill/>
                    <a:ln>
                      <a:noFill/>
                    </a:ln>
                  </pic:spPr>
                </pic:pic>
              </a:graphicData>
            </a:graphic>
          </wp:inline>
        </w:drawing>
      </w:r>
    </w:p>
    <w:p w:rsidR="00BA6EFD" w:rsidRDefault="00BA6EFD" w:rsidP="005C7809">
      <w:pPr>
        <w:pStyle w:val="Caption"/>
        <w:jc w:val="both"/>
      </w:pPr>
      <w:bookmarkStart w:id="2" w:name="_Ref419456719"/>
      <w:r>
        <w:t xml:space="preserve">Figure </w:t>
      </w:r>
      <w:r>
        <w:fldChar w:fldCharType="begin"/>
      </w:r>
      <w:r>
        <w:instrText xml:space="preserve"> SEQ Figure \* ARABIC </w:instrText>
      </w:r>
      <w:r>
        <w:fldChar w:fldCharType="separate"/>
      </w:r>
      <w:r w:rsidR="00405C64">
        <w:rPr>
          <w:noProof/>
        </w:rPr>
        <w:t>2</w:t>
      </w:r>
      <w:r>
        <w:fldChar w:fldCharType="end"/>
      </w:r>
      <w:bookmarkEnd w:id="2"/>
      <w:r>
        <w:t xml:space="preserve">. </w:t>
      </w:r>
      <w:r w:rsidR="005C7809">
        <w:t>Received</w:t>
      </w:r>
      <w:r w:rsidRPr="00AE710A">
        <w:t xml:space="preserve"> power distributions at </w:t>
      </w:r>
      <w:r>
        <w:t xml:space="preserve">UEs </w:t>
      </w:r>
      <w:r w:rsidR="005C7809">
        <w:t>for configuration A. A</w:t>
      </w:r>
      <w:r>
        <w:t>ll nodes from LAA operator A and B are active</w:t>
      </w:r>
      <w:r w:rsidRPr="00AE710A">
        <w:t>.</w:t>
      </w:r>
      <w:r w:rsidR="005C7809">
        <w:t xml:space="preserve"> Useful received power, co-channel interference (CCI) and adjacent channel interference (ACI) are shown.</w:t>
      </w:r>
    </w:p>
    <w:p w:rsidR="00927DB4" w:rsidRDefault="008B4239" w:rsidP="00927DB4">
      <w:pPr>
        <w:keepNext/>
      </w:pPr>
      <w:r w:rsidRPr="008B4239">
        <w:rPr>
          <w:noProof/>
          <w:lang w:val="en-US"/>
        </w:rPr>
        <w:lastRenderedPageBreak/>
        <w:drawing>
          <wp:inline distT="0" distB="0" distL="0" distR="0">
            <wp:extent cx="6115685" cy="4586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4586764"/>
                    </a:xfrm>
                    <a:prstGeom prst="rect">
                      <a:avLst/>
                    </a:prstGeom>
                    <a:noFill/>
                    <a:ln>
                      <a:noFill/>
                    </a:ln>
                  </pic:spPr>
                </pic:pic>
              </a:graphicData>
            </a:graphic>
          </wp:inline>
        </w:drawing>
      </w:r>
    </w:p>
    <w:p w:rsidR="00BA6EFD" w:rsidRPr="00BA6EFD" w:rsidRDefault="00927DB4" w:rsidP="005C7809">
      <w:pPr>
        <w:pStyle w:val="Caption"/>
        <w:jc w:val="both"/>
      </w:pPr>
      <w:bookmarkStart w:id="3" w:name="_Ref419456725"/>
      <w:r>
        <w:t xml:space="preserve">Figure </w:t>
      </w:r>
      <w:r>
        <w:fldChar w:fldCharType="begin"/>
      </w:r>
      <w:r>
        <w:instrText xml:space="preserve"> SEQ Figure \* ARABIC </w:instrText>
      </w:r>
      <w:r>
        <w:fldChar w:fldCharType="separate"/>
      </w:r>
      <w:r w:rsidR="00405C64">
        <w:rPr>
          <w:noProof/>
        </w:rPr>
        <w:t>3</w:t>
      </w:r>
      <w:r>
        <w:fldChar w:fldCharType="end"/>
      </w:r>
      <w:bookmarkEnd w:id="3"/>
      <w:r>
        <w:t xml:space="preserve">. </w:t>
      </w:r>
      <w:r w:rsidR="008B4239">
        <w:t>SINR</w:t>
      </w:r>
      <w:r w:rsidRPr="00F52C96">
        <w:t xml:space="preserve"> distributions at UEs for configuration A: all nodes from LAA operator A and B are active.</w:t>
      </w:r>
    </w:p>
    <w:p w:rsidR="00BA6EFD" w:rsidRPr="00BA6EFD" w:rsidRDefault="00BA6EFD" w:rsidP="00BA6EFD">
      <w:pPr>
        <w:rPr>
          <w:lang w:val="en-US"/>
        </w:rPr>
      </w:pPr>
    </w:p>
    <w:p w:rsidR="00BA6EFD" w:rsidRDefault="00BA6EFD" w:rsidP="00BA6EFD">
      <w:pPr>
        <w:pStyle w:val="Heading3"/>
        <w:rPr>
          <w:lang w:val="en-US"/>
        </w:rPr>
      </w:pPr>
      <w:r>
        <w:rPr>
          <w:lang w:val="en-US"/>
        </w:rPr>
        <w:t>Configuration B</w:t>
      </w:r>
    </w:p>
    <w:p w:rsidR="005C7809" w:rsidRPr="00026A8A" w:rsidRDefault="005C7809" w:rsidP="00C3370A">
      <w:pPr>
        <w:jc w:val="both"/>
        <w:rPr>
          <w:lang w:val="en-US"/>
        </w:rPr>
      </w:pPr>
      <w:r>
        <w:rPr>
          <w:lang w:val="en-US"/>
        </w:rPr>
        <w:fldChar w:fldCharType="begin"/>
      </w:r>
      <w:r>
        <w:rPr>
          <w:lang w:val="en-US"/>
        </w:rPr>
        <w:instrText xml:space="preserve"> REF _Ref419456967 \h </w:instrText>
      </w:r>
      <w:r w:rsidR="00C3370A">
        <w:rPr>
          <w:lang w:val="en-US"/>
        </w:rPr>
        <w:instrText xml:space="preserve"> \* MERGEFORMAT </w:instrText>
      </w:r>
      <w:r>
        <w:rPr>
          <w:lang w:val="en-US"/>
        </w:rPr>
      </w:r>
      <w:r>
        <w:rPr>
          <w:lang w:val="en-US"/>
        </w:rPr>
        <w:fldChar w:fldCharType="separate"/>
      </w:r>
      <w:r w:rsidR="00405C64">
        <w:t xml:space="preserve">Figure </w:t>
      </w:r>
      <w:r w:rsidR="00405C64">
        <w:rPr>
          <w:noProof/>
        </w:rPr>
        <w:t>4</w:t>
      </w:r>
      <w:r>
        <w:rPr>
          <w:lang w:val="en-US"/>
        </w:rPr>
        <w:fldChar w:fldCharType="end"/>
      </w:r>
      <w:r>
        <w:rPr>
          <w:lang w:val="en-US"/>
        </w:rPr>
        <w:t xml:space="preserve"> and </w:t>
      </w:r>
      <w:r>
        <w:rPr>
          <w:lang w:val="en-US"/>
        </w:rPr>
        <w:fldChar w:fldCharType="begin"/>
      </w:r>
      <w:r>
        <w:rPr>
          <w:lang w:val="en-US"/>
        </w:rPr>
        <w:instrText xml:space="preserve"> REF _Ref419456970 \h </w:instrText>
      </w:r>
      <w:r w:rsidR="00C3370A">
        <w:rPr>
          <w:lang w:val="en-US"/>
        </w:rPr>
        <w:instrText xml:space="preserve"> \* MERGEFORMAT </w:instrText>
      </w:r>
      <w:r>
        <w:rPr>
          <w:lang w:val="en-US"/>
        </w:rPr>
      </w:r>
      <w:r>
        <w:rPr>
          <w:lang w:val="en-US"/>
        </w:rPr>
        <w:fldChar w:fldCharType="separate"/>
      </w:r>
      <w:r w:rsidR="00405C64">
        <w:t xml:space="preserve">Figure </w:t>
      </w:r>
      <w:r w:rsidR="00405C64">
        <w:rPr>
          <w:noProof/>
        </w:rPr>
        <w:t>5</w:t>
      </w:r>
      <w:r>
        <w:rPr>
          <w:lang w:val="en-US"/>
        </w:rPr>
        <w:fldChar w:fldCharType="end"/>
      </w:r>
      <w:r>
        <w:rPr>
          <w:lang w:val="en-US"/>
        </w:rPr>
        <w:t xml:space="preserve"> show the received powers and </w:t>
      </w:r>
      <w:r w:rsidR="008B4239">
        <w:rPr>
          <w:lang w:val="en-US"/>
        </w:rPr>
        <w:t>SINR</w:t>
      </w:r>
      <w:r>
        <w:rPr>
          <w:lang w:val="en-US"/>
        </w:rPr>
        <w:t xml:space="preserve"> distributions at UE side considering configuration B (</w:t>
      </w:r>
      <w:r w:rsidR="00854E60">
        <w:rPr>
          <w:lang w:val="en-US"/>
        </w:rPr>
        <w:t>2 nodes per operator are active</w:t>
      </w:r>
      <w:r>
        <w:rPr>
          <w:lang w:val="en-US"/>
        </w:rPr>
        <w:t xml:space="preserve">). Even in this case, the impact on </w:t>
      </w:r>
      <w:r w:rsidR="008B4239">
        <w:rPr>
          <w:lang w:val="en-US"/>
        </w:rPr>
        <w:t>SINR</w:t>
      </w:r>
      <w:r>
        <w:rPr>
          <w:lang w:val="en-US"/>
        </w:rPr>
        <w:t xml:space="preserve"> of a reduced ACLR at BS is marginal.</w:t>
      </w:r>
      <w:r w:rsidR="00704DB0">
        <w:rPr>
          <w:lang w:val="en-US"/>
        </w:rPr>
        <w:t xml:space="preserve"> Comparing </w:t>
      </w:r>
      <w:r w:rsidR="00704DB0">
        <w:rPr>
          <w:lang w:val="en-US"/>
        </w:rPr>
        <w:fldChar w:fldCharType="begin"/>
      </w:r>
      <w:r w:rsidR="00704DB0">
        <w:rPr>
          <w:lang w:val="en-US"/>
        </w:rPr>
        <w:instrText xml:space="preserve"> REF _Ref419456725 \h </w:instrText>
      </w:r>
      <w:r w:rsidR="00704DB0">
        <w:rPr>
          <w:lang w:val="en-US"/>
        </w:rPr>
      </w:r>
      <w:r w:rsidR="00704DB0">
        <w:rPr>
          <w:lang w:val="en-US"/>
        </w:rPr>
        <w:fldChar w:fldCharType="separate"/>
      </w:r>
      <w:r w:rsidR="00405C64">
        <w:t xml:space="preserve">Figure </w:t>
      </w:r>
      <w:r w:rsidR="00405C64">
        <w:rPr>
          <w:noProof/>
        </w:rPr>
        <w:t>3</w:t>
      </w:r>
      <w:r w:rsidR="00704DB0">
        <w:rPr>
          <w:lang w:val="en-US"/>
        </w:rPr>
        <w:fldChar w:fldCharType="end"/>
      </w:r>
      <w:r w:rsidR="00704DB0">
        <w:rPr>
          <w:lang w:val="en-US"/>
        </w:rPr>
        <w:t xml:space="preserve"> and </w:t>
      </w:r>
      <w:r w:rsidR="00704DB0">
        <w:rPr>
          <w:lang w:val="en-US"/>
        </w:rPr>
        <w:fldChar w:fldCharType="begin"/>
      </w:r>
      <w:r w:rsidR="00704DB0">
        <w:rPr>
          <w:lang w:val="en-US"/>
        </w:rPr>
        <w:instrText xml:space="preserve"> REF _Ref419456970 \h </w:instrText>
      </w:r>
      <w:r w:rsidR="00704DB0">
        <w:rPr>
          <w:lang w:val="en-US"/>
        </w:rPr>
      </w:r>
      <w:r w:rsidR="00704DB0">
        <w:rPr>
          <w:lang w:val="en-US"/>
        </w:rPr>
        <w:fldChar w:fldCharType="separate"/>
      </w:r>
      <w:r w:rsidR="00405C64">
        <w:t xml:space="preserve">Figure </w:t>
      </w:r>
      <w:r w:rsidR="00405C64">
        <w:rPr>
          <w:noProof/>
        </w:rPr>
        <w:t>5</w:t>
      </w:r>
      <w:r w:rsidR="00704DB0">
        <w:rPr>
          <w:lang w:val="en-US"/>
        </w:rPr>
        <w:fldChar w:fldCharType="end"/>
      </w:r>
      <w:r w:rsidR="00704DB0">
        <w:rPr>
          <w:lang w:val="en-US"/>
        </w:rPr>
        <w:t>, it can be observed that the impact of ACI is slightly higher in configuration B. This is indeed expected because of the lower co-channel interference due to the lower number of active nodes. In other words, because of the lower CCI the weight of ACI in SINR distribution will be higher.</w:t>
      </w:r>
    </w:p>
    <w:p w:rsidR="005C7809" w:rsidRPr="005C7809" w:rsidRDefault="005C7809" w:rsidP="005C7809">
      <w:pPr>
        <w:rPr>
          <w:lang w:val="en-US"/>
        </w:rPr>
      </w:pPr>
    </w:p>
    <w:p w:rsidR="00927DB4" w:rsidRDefault="00854E60" w:rsidP="00927DB4">
      <w:pPr>
        <w:keepNext/>
      </w:pPr>
      <w:r w:rsidRPr="00854E60">
        <w:rPr>
          <w:noProof/>
          <w:lang w:val="en-US"/>
        </w:rPr>
        <w:lastRenderedPageBreak/>
        <w:drawing>
          <wp:inline distT="0" distB="0" distL="0" distR="0">
            <wp:extent cx="6115685" cy="45867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4586764"/>
                    </a:xfrm>
                    <a:prstGeom prst="rect">
                      <a:avLst/>
                    </a:prstGeom>
                    <a:noFill/>
                    <a:ln>
                      <a:noFill/>
                    </a:ln>
                  </pic:spPr>
                </pic:pic>
              </a:graphicData>
            </a:graphic>
          </wp:inline>
        </w:drawing>
      </w:r>
    </w:p>
    <w:p w:rsidR="005C7809" w:rsidRDefault="00927DB4" w:rsidP="005C7809">
      <w:pPr>
        <w:pStyle w:val="Caption"/>
        <w:jc w:val="both"/>
      </w:pPr>
      <w:bookmarkStart w:id="4" w:name="_Ref419456967"/>
      <w:r>
        <w:t xml:space="preserve">Figure </w:t>
      </w:r>
      <w:r>
        <w:fldChar w:fldCharType="begin"/>
      </w:r>
      <w:r>
        <w:instrText xml:space="preserve"> SEQ Figure \* ARABIC </w:instrText>
      </w:r>
      <w:r>
        <w:fldChar w:fldCharType="separate"/>
      </w:r>
      <w:r w:rsidR="00405C64">
        <w:rPr>
          <w:noProof/>
        </w:rPr>
        <w:t>4</w:t>
      </w:r>
      <w:r>
        <w:fldChar w:fldCharType="end"/>
      </w:r>
      <w:bookmarkEnd w:id="4"/>
      <w:r>
        <w:t xml:space="preserve">. </w:t>
      </w:r>
      <w:r w:rsidR="005C7809">
        <w:t>Received</w:t>
      </w:r>
      <w:r w:rsidRPr="00AE710A">
        <w:t xml:space="preserve"> power distributions at </w:t>
      </w:r>
      <w:r>
        <w:t>UEs for configuration B. Half of the nodes from L</w:t>
      </w:r>
      <w:r w:rsidR="00854E60">
        <w:t>AA operator A and B are active.</w:t>
      </w:r>
      <w:r w:rsidR="005C7809">
        <w:t xml:space="preserve"> Useful received power, co-channel interference (CCI) and adjacent channel interference (ACI) are shown.</w:t>
      </w:r>
    </w:p>
    <w:p w:rsidR="00927DB4" w:rsidRDefault="00927DB4" w:rsidP="00927DB4">
      <w:pPr>
        <w:pStyle w:val="Caption"/>
        <w:jc w:val="both"/>
      </w:pPr>
    </w:p>
    <w:p w:rsidR="00927DB4" w:rsidRDefault="008B4239" w:rsidP="00927DB4">
      <w:pPr>
        <w:keepNext/>
      </w:pPr>
      <w:r w:rsidRPr="008B4239">
        <w:rPr>
          <w:noProof/>
          <w:lang w:val="en-US"/>
        </w:rPr>
        <w:lastRenderedPageBreak/>
        <w:drawing>
          <wp:inline distT="0" distB="0" distL="0" distR="0" wp14:anchorId="5525DF5F" wp14:editId="28F71FB9">
            <wp:extent cx="6115685" cy="45867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586764"/>
                    </a:xfrm>
                    <a:prstGeom prst="rect">
                      <a:avLst/>
                    </a:prstGeom>
                    <a:noFill/>
                    <a:ln>
                      <a:noFill/>
                    </a:ln>
                  </pic:spPr>
                </pic:pic>
              </a:graphicData>
            </a:graphic>
          </wp:inline>
        </w:drawing>
      </w:r>
    </w:p>
    <w:p w:rsidR="00927DB4" w:rsidRPr="00BA6EFD" w:rsidRDefault="00927DB4" w:rsidP="00C3370A">
      <w:pPr>
        <w:pStyle w:val="Caption"/>
        <w:jc w:val="both"/>
      </w:pPr>
      <w:bookmarkStart w:id="5" w:name="_Ref419456970"/>
      <w:r>
        <w:t xml:space="preserve">Figure </w:t>
      </w:r>
      <w:r>
        <w:fldChar w:fldCharType="begin"/>
      </w:r>
      <w:r>
        <w:instrText xml:space="preserve"> SEQ Figure \* ARABIC </w:instrText>
      </w:r>
      <w:r>
        <w:fldChar w:fldCharType="separate"/>
      </w:r>
      <w:r w:rsidR="00405C64">
        <w:rPr>
          <w:noProof/>
        </w:rPr>
        <w:t>5</w:t>
      </w:r>
      <w:r>
        <w:fldChar w:fldCharType="end"/>
      </w:r>
      <w:bookmarkEnd w:id="5"/>
      <w:r>
        <w:t xml:space="preserve">. </w:t>
      </w:r>
      <w:r w:rsidR="008B4239">
        <w:t>SINR</w:t>
      </w:r>
      <w:r w:rsidRPr="00F52C96">
        <w:t xml:space="preserve"> distribut</w:t>
      </w:r>
      <w:r>
        <w:t>ions at UEs for configuration B.</w:t>
      </w:r>
      <w:r w:rsidRPr="00F52C96">
        <w:t xml:space="preserve"> </w:t>
      </w:r>
      <w:r>
        <w:t xml:space="preserve">Half of the nodes from LAA operator A and B are active. </w:t>
      </w:r>
    </w:p>
    <w:p w:rsidR="00927DB4" w:rsidRPr="00927DB4" w:rsidRDefault="00927DB4" w:rsidP="00927DB4"/>
    <w:p w:rsidR="00BA6EFD" w:rsidRDefault="00BA6EFD" w:rsidP="00BA6EFD">
      <w:pPr>
        <w:pStyle w:val="Heading3"/>
        <w:rPr>
          <w:lang w:val="en-US"/>
        </w:rPr>
      </w:pPr>
      <w:r>
        <w:rPr>
          <w:lang w:val="en-US"/>
        </w:rPr>
        <w:t>Configuration C</w:t>
      </w:r>
    </w:p>
    <w:p w:rsidR="00854E60" w:rsidRPr="00854E60" w:rsidRDefault="00854E60" w:rsidP="00854E60">
      <w:pPr>
        <w:rPr>
          <w:lang w:val="en-US"/>
        </w:rPr>
      </w:pPr>
      <w:r>
        <w:rPr>
          <w:lang w:val="en-US"/>
        </w:rPr>
        <w:t>In configuration C only one node per operator</w:t>
      </w:r>
      <w:r w:rsidR="000350D3">
        <w:rPr>
          <w:lang w:val="en-US"/>
        </w:rPr>
        <w:t xml:space="preserve"> is active in the same snapshot</w:t>
      </w:r>
      <w:r w:rsidR="00C03098">
        <w:rPr>
          <w:lang w:val="en-US"/>
        </w:rPr>
        <w:t xml:space="preserve">, therefore in this case co-channel interference is not present. In this case, SINR is very high and the impact of ACI depends strongly depends on the distance between aggressor and victim.  </w:t>
      </w:r>
    </w:p>
    <w:p w:rsidR="00C03098" w:rsidRDefault="005C7809" w:rsidP="00C3370A">
      <w:pPr>
        <w:jc w:val="both"/>
        <w:rPr>
          <w:lang w:val="en-US"/>
        </w:rPr>
      </w:pPr>
      <w:r>
        <w:rPr>
          <w:lang w:val="en-US"/>
        </w:rPr>
        <w:fldChar w:fldCharType="begin"/>
      </w:r>
      <w:r>
        <w:rPr>
          <w:lang w:val="en-US"/>
        </w:rPr>
        <w:instrText xml:space="preserve"> REF _Ref419457361 \h </w:instrText>
      </w:r>
      <w:r w:rsidR="00C3370A">
        <w:rPr>
          <w:lang w:val="en-US"/>
        </w:rPr>
        <w:instrText xml:space="preserve"> \* MERGEFORMAT </w:instrText>
      </w:r>
      <w:r>
        <w:rPr>
          <w:lang w:val="en-US"/>
        </w:rPr>
      </w:r>
      <w:r>
        <w:rPr>
          <w:lang w:val="en-US"/>
        </w:rPr>
        <w:fldChar w:fldCharType="separate"/>
      </w:r>
      <w:r w:rsidR="00405C64">
        <w:t xml:space="preserve">Figure </w:t>
      </w:r>
      <w:r w:rsidR="00405C64">
        <w:rPr>
          <w:noProof/>
        </w:rPr>
        <w:t>6</w:t>
      </w:r>
      <w:r>
        <w:rPr>
          <w:lang w:val="en-US"/>
        </w:rPr>
        <w:fldChar w:fldCharType="end"/>
      </w:r>
      <w:r>
        <w:rPr>
          <w:lang w:val="en-US"/>
        </w:rPr>
        <w:t xml:space="preserve"> and </w:t>
      </w:r>
      <w:r>
        <w:rPr>
          <w:lang w:val="en-US"/>
        </w:rPr>
        <w:fldChar w:fldCharType="begin"/>
      </w:r>
      <w:r>
        <w:rPr>
          <w:lang w:val="en-US"/>
        </w:rPr>
        <w:instrText xml:space="preserve"> REF _Ref419457363 \h </w:instrText>
      </w:r>
      <w:r w:rsidR="00C3370A">
        <w:rPr>
          <w:lang w:val="en-US"/>
        </w:rPr>
        <w:instrText xml:space="preserve"> \* MERGEFORMAT </w:instrText>
      </w:r>
      <w:r>
        <w:rPr>
          <w:lang w:val="en-US"/>
        </w:rPr>
      </w:r>
      <w:r>
        <w:rPr>
          <w:lang w:val="en-US"/>
        </w:rPr>
        <w:fldChar w:fldCharType="separate"/>
      </w:r>
      <w:r w:rsidR="00405C64">
        <w:t xml:space="preserve">Figure </w:t>
      </w:r>
      <w:r w:rsidR="00405C64">
        <w:rPr>
          <w:noProof/>
        </w:rPr>
        <w:t>7</w:t>
      </w:r>
      <w:r>
        <w:rPr>
          <w:lang w:val="en-US"/>
        </w:rPr>
        <w:fldChar w:fldCharType="end"/>
      </w:r>
      <w:r>
        <w:rPr>
          <w:lang w:val="en-US"/>
        </w:rPr>
        <w:t xml:space="preserve"> show the received powers at UE side considering configuration </w:t>
      </w:r>
      <w:r w:rsidR="00C15413">
        <w:rPr>
          <w:lang w:val="en-US"/>
        </w:rPr>
        <w:t>C</w:t>
      </w:r>
      <w:r w:rsidR="00C03098">
        <w:rPr>
          <w:lang w:val="en-US"/>
        </w:rPr>
        <w:t xml:space="preserve">: </w:t>
      </w:r>
      <w:r w:rsidR="00C03098">
        <w:rPr>
          <w:lang w:val="en-US"/>
        </w:rPr>
        <w:fldChar w:fldCharType="begin"/>
      </w:r>
      <w:r w:rsidR="00C03098">
        <w:rPr>
          <w:lang w:val="en-US"/>
        </w:rPr>
        <w:instrText xml:space="preserve"> REF _Ref419457361 \h  \* MERGEFORMAT </w:instrText>
      </w:r>
      <w:r w:rsidR="00C03098">
        <w:rPr>
          <w:lang w:val="en-US"/>
        </w:rPr>
      </w:r>
      <w:r w:rsidR="00C03098">
        <w:rPr>
          <w:lang w:val="en-US"/>
        </w:rPr>
        <w:fldChar w:fldCharType="separate"/>
      </w:r>
      <w:r w:rsidR="00405C64">
        <w:t xml:space="preserve">Figure </w:t>
      </w:r>
      <w:r w:rsidR="00405C64">
        <w:rPr>
          <w:noProof/>
        </w:rPr>
        <w:t>6</w:t>
      </w:r>
      <w:r w:rsidR="00C03098">
        <w:rPr>
          <w:lang w:val="en-US"/>
        </w:rPr>
        <w:fldChar w:fldCharType="end"/>
      </w:r>
      <w:r w:rsidR="00C03098">
        <w:rPr>
          <w:lang w:val="en-US"/>
        </w:rPr>
        <w:t xml:space="preserve"> shows the case in which active nodes from operator A and B are adjacent, while in </w:t>
      </w:r>
      <w:r w:rsidR="00C03098">
        <w:rPr>
          <w:lang w:val="en-US"/>
        </w:rPr>
        <w:fldChar w:fldCharType="begin"/>
      </w:r>
      <w:r w:rsidR="00C03098">
        <w:rPr>
          <w:lang w:val="en-US"/>
        </w:rPr>
        <w:instrText xml:space="preserve"> REF _Ref419457363 \h  \* MERGEFORMAT </w:instrText>
      </w:r>
      <w:r w:rsidR="00C03098">
        <w:rPr>
          <w:lang w:val="en-US"/>
        </w:rPr>
      </w:r>
      <w:r w:rsidR="00C03098">
        <w:rPr>
          <w:lang w:val="en-US"/>
        </w:rPr>
        <w:fldChar w:fldCharType="separate"/>
      </w:r>
      <w:r w:rsidR="00405C64">
        <w:t xml:space="preserve">Figure </w:t>
      </w:r>
      <w:r w:rsidR="00405C64">
        <w:rPr>
          <w:noProof/>
        </w:rPr>
        <w:t>7</w:t>
      </w:r>
      <w:r w:rsidR="00C03098">
        <w:rPr>
          <w:lang w:val="en-US"/>
        </w:rPr>
        <w:fldChar w:fldCharType="end"/>
      </w:r>
      <w:r w:rsidR="00C03098">
        <w:rPr>
          <w:lang w:val="en-US"/>
        </w:rPr>
        <w:t xml:space="preserve"> the two active nodes in the system are not adjacent.</w:t>
      </w:r>
      <w:r>
        <w:rPr>
          <w:lang w:val="en-US"/>
        </w:rPr>
        <w:t xml:space="preserve"> </w:t>
      </w:r>
    </w:p>
    <w:p w:rsidR="005C7809" w:rsidRPr="00026A8A" w:rsidRDefault="00B66534" w:rsidP="00C3370A">
      <w:pPr>
        <w:jc w:val="both"/>
        <w:rPr>
          <w:lang w:val="en-US"/>
        </w:rPr>
      </w:pPr>
      <w:r>
        <w:rPr>
          <w:lang w:val="en-US"/>
        </w:rPr>
        <w:t>In is worth noticing that in this particular scenario</w:t>
      </w:r>
      <w:r w:rsidR="00C03098">
        <w:rPr>
          <w:lang w:val="en-US"/>
        </w:rPr>
        <w:t xml:space="preserve"> </w:t>
      </w:r>
      <w:r>
        <w:rPr>
          <w:lang w:val="en-US"/>
        </w:rPr>
        <w:t>because of the absence</w:t>
      </w:r>
      <w:r w:rsidR="00C03098">
        <w:rPr>
          <w:lang w:val="en-US"/>
        </w:rPr>
        <w:t xml:space="preserve"> </w:t>
      </w:r>
      <w:r>
        <w:rPr>
          <w:lang w:val="en-US"/>
        </w:rPr>
        <w:t>of</w:t>
      </w:r>
      <w:r w:rsidR="00C03098">
        <w:rPr>
          <w:lang w:val="en-US"/>
        </w:rPr>
        <w:t xml:space="preserve"> co-channel interference the SINR distribution will be </w:t>
      </w:r>
      <w:r w:rsidR="0036010A">
        <w:rPr>
          <w:lang w:val="en-US"/>
        </w:rPr>
        <w:t xml:space="preserve">closely related </w:t>
      </w:r>
      <w:r>
        <w:rPr>
          <w:lang w:val="en-US"/>
        </w:rPr>
        <w:t xml:space="preserve">and more sensitive </w:t>
      </w:r>
      <w:r w:rsidR="0036010A">
        <w:rPr>
          <w:lang w:val="en-US"/>
        </w:rPr>
        <w:t xml:space="preserve">to ACI distributions. </w:t>
      </w:r>
    </w:p>
    <w:p w:rsidR="005C7809" w:rsidRPr="005C7809" w:rsidRDefault="005C7809" w:rsidP="005C7809">
      <w:pPr>
        <w:rPr>
          <w:lang w:val="en-US"/>
        </w:rPr>
      </w:pPr>
    </w:p>
    <w:p w:rsidR="00927DB4" w:rsidRDefault="00C03098" w:rsidP="00927DB4">
      <w:pPr>
        <w:keepNext/>
      </w:pPr>
      <w:r w:rsidRPr="00C03098">
        <w:rPr>
          <w:noProof/>
          <w:lang w:val="en-US"/>
        </w:rPr>
        <w:lastRenderedPageBreak/>
        <w:drawing>
          <wp:inline distT="0" distB="0" distL="0" distR="0">
            <wp:extent cx="6115685" cy="458676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586764"/>
                    </a:xfrm>
                    <a:prstGeom prst="rect">
                      <a:avLst/>
                    </a:prstGeom>
                    <a:noFill/>
                    <a:ln>
                      <a:noFill/>
                    </a:ln>
                  </pic:spPr>
                </pic:pic>
              </a:graphicData>
            </a:graphic>
          </wp:inline>
        </w:drawing>
      </w:r>
    </w:p>
    <w:p w:rsidR="005C7809" w:rsidRDefault="00927DB4" w:rsidP="005C7809">
      <w:pPr>
        <w:pStyle w:val="Caption"/>
        <w:jc w:val="both"/>
      </w:pPr>
      <w:bookmarkStart w:id="6" w:name="_Ref419457361"/>
      <w:r>
        <w:t xml:space="preserve">Figure </w:t>
      </w:r>
      <w:r>
        <w:fldChar w:fldCharType="begin"/>
      </w:r>
      <w:r>
        <w:instrText xml:space="preserve"> SEQ Figure \* ARABIC </w:instrText>
      </w:r>
      <w:r>
        <w:fldChar w:fldCharType="separate"/>
      </w:r>
      <w:r w:rsidR="00405C64">
        <w:rPr>
          <w:noProof/>
        </w:rPr>
        <w:t>6</w:t>
      </w:r>
      <w:r>
        <w:fldChar w:fldCharType="end"/>
      </w:r>
      <w:bookmarkEnd w:id="6"/>
      <w:r>
        <w:t xml:space="preserve">. </w:t>
      </w:r>
      <w:r w:rsidR="005C7809">
        <w:t>Received</w:t>
      </w:r>
      <w:r w:rsidRPr="00AE710A">
        <w:t xml:space="preserve"> power distributions at </w:t>
      </w:r>
      <w:r>
        <w:t xml:space="preserve">UEs for configuration C. </w:t>
      </w:r>
      <w:r w:rsidR="00854E60">
        <w:t>One</w:t>
      </w:r>
      <w:r>
        <w:t xml:space="preserve"> </w:t>
      </w:r>
      <w:r w:rsidR="00854E60">
        <w:t>node per operator</w:t>
      </w:r>
      <w:r>
        <w:t xml:space="preserve"> </w:t>
      </w:r>
      <w:r w:rsidR="00854E60">
        <w:t>is</w:t>
      </w:r>
      <w:r w:rsidR="00C03098">
        <w:t xml:space="preserve"> active: active nodes are adjacent.</w:t>
      </w:r>
      <w:r w:rsidR="005C7809">
        <w:t xml:space="preserve"> Useful received power, co-channel interference (CCI) and adjacent channel interference (ACI) are shown.</w:t>
      </w:r>
    </w:p>
    <w:p w:rsidR="00927DB4" w:rsidRDefault="00927DB4" w:rsidP="00927DB4">
      <w:pPr>
        <w:pStyle w:val="Caption"/>
        <w:jc w:val="both"/>
      </w:pPr>
    </w:p>
    <w:p w:rsidR="00927DB4" w:rsidRDefault="00C03098" w:rsidP="00927DB4">
      <w:pPr>
        <w:keepNext/>
      </w:pPr>
      <w:r w:rsidRPr="00C03098">
        <w:rPr>
          <w:noProof/>
          <w:lang w:val="en-US"/>
        </w:rPr>
        <w:lastRenderedPageBreak/>
        <w:drawing>
          <wp:inline distT="0" distB="0" distL="0" distR="0">
            <wp:extent cx="6115685" cy="458676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4586764"/>
                    </a:xfrm>
                    <a:prstGeom prst="rect">
                      <a:avLst/>
                    </a:prstGeom>
                    <a:noFill/>
                    <a:ln>
                      <a:noFill/>
                    </a:ln>
                  </pic:spPr>
                </pic:pic>
              </a:graphicData>
            </a:graphic>
          </wp:inline>
        </w:drawing>
      </w:r>
    </w:p>
    <w:p w:rsidR="00927DB4" w:rsidRDefault="00927DB4" w:rsidP="00C3370A">
      <w:pPr>
        <w:pStyle w:val="Caption"/>
        <w:jc w:val="both"/>
      </w:pPr>
      <w:bookmarkStart w:id="7" w:name="_Ref419457363"/>
      <w:r>
        <w:t xml:space="preserve">Figure </w:t>
      </w:r>
      <w:r>
        <w:fldChar w:fldCharType="begin"/>
      </w:r>
      <w:r>
        <w:instrText xml:space="preserve"> SEQ Figure \* ARABIC </w:instrText>
      </w:r>
      <w:r>
        <w:fldChar w:fldCharType="separate"/>
      </w:r>
      <w:r w:rsidR="00405C64">
        <w:rPr>
          <w:noProof/>
        </w:rPr>
        <w:t>7</w:t>
      </w:r>
      <w:r>
        <w:fldChar w:fldCharType="end"/>
      </w:r>
      <w:bookmarkEnd w:id="7"/>
      <w:r>
        <w:t xml:space="preserve">. </w:t>
      </w:r>
      <w:r w:rsidR="00C03098">
        <w:t>Received</w:t>
      </w:r>
      <w:r w:rsidR="00C03098" w:rsidRPr="00AE710A">
        <w:t xml:space="preserve"> power distributions at </w:t>
      </w:r>
      <w:r w:rsidR="00C03098">
        <w:t>UEs for configuration C. One node per operator is active: active nodes are not adjacent. Useful received power, co-channel interference (CCI) and adjacent channel interference (ACI) are shown.</w:t>
      </w:r>
    </w:p>
    <w:p w:rsidR="00026A8A" w:rsidRPr="00026A8A" w:rsidRDefault="00026A8A" w:rsidP="00026A8A"/>
    <w:p w:rsidR="00026A8A" w:rsidRDefault="00026A8A" w:rsidP="00026A8A">
      <w:pPr>
        <w:pStyle w:val="Heading3"/>
        <w:rPr>
          <w:lang w:val="en-US"/>
        </w:rPr>
      </w:pPr>
      <w:r>
        <w:rPr>
          <w:lang w:val="en-US"/>
        </w:rPr>
        <w:t>Observations</w:t>
      </w:r>
    </w:p>
    <w:p w:rsidR="0036010A" w:rsidRDefault="00992EE5" w:rsidP="0076609A">
      <w:pPr>
        <w:overflowPunct w:val="0"/>
        <w:autoSpaceDE w:val="0"/>
        <w:autoSpaceDN w:val="0"/>
        <w:adjustRightInd w:val="0"/>
        <w:jc w:val="both"/>
        <w:textAlignment w:val="baseline"/>
      </w:pPr>
      <w:r w:rsidRPr="00992EE5">
        <w:t>From</w:t>
      </w:r>
      <w:r>
        <w:t xml:space="preserve"> the </w:t>
      </w:r>
      <w:r w:rsidR="008B4239">
        <w:t>SINR</w:t>
      </w:r>
      <w:r>
        <w:t xml:space="preserve"> distributions analysed in previous sec</w:t>
      </w:r>
      <w:r w:rsidR="00E82DC2">
        <w:t>tions it can be observed that a possible</w:t>
      </w:r>
      <w:r>
        <w:t xml:space="preserve"> ACLR relaxation </w:t>
      </w:r>
      <w:r w:rsidR="00E82DC2">
        <w:t xml:space="preserve">within certain </w:t>
      </w:r>
      <w:r w:rsidR="0036010A">
        <w:t>range</w:t>
      </w:r>
      <w:r w:rsidR="00E82DC2">
        <w:t xml:space="preserve"> will have </w:t>
      </w:r>
      <w:r w:rsidR="0036010A">
        <w:t>limited</w:t>
      </w:r>
      <w:r w:rsidR="00E82DC2">
        <w:t xml:space="preserve"> </w:t>
      </w:r>
      <w:r w:rsidR="00E21234">
        <w:t xml:space="preserve">impact </w:t>
      </w:r>
      <w:r w:rsidR="00E82DC2">
        <w:t>on SINR and, therefore, on throughput</w:t>
      </w:r>
      <w:r>
        <w:t xml:space="preserve">. </w:t>
      </w:r>
    </w:p>
    <w:p w:rsidR="007C10C8" w:rsidRDefault="0036010A" w:rsidP="0076609A">
      <w:pPr>
        <w:overflowPunct w:val="0"/>
        <w:autoSpaceDE w:val="0"/>
        <w:autoSpaceDN w:val="0"/>
        <w:adjustRightInd w:val="0"/>
        <w:jc w:val="both"/>
        <w:textAlignment w:val="baseline"/>
      </w:pPr>
      <w:r>
        <w:t xml:space="preserve">We analysed several configurations of number of active nodes, however it is worth noticing that the actual number of nodes active at the same time depends on the access mechanism specified for LAA. </w:t>
      </w:r>
      <w:r w:rsidR="00D82B35">
        <w:t>Indeed, some of the scenarios w</w:t>
      </w:r>
      <w:r w:rsidR="00B66534">
        <w:t xml:space="preserve">ould be not possible because </w:t>
      </w:r>
      <w:r w:rsidR="00D82B35">
        <w:t xml:space="preserve">eNodeB would detect a transmitting </w:t>
      </w:r>
      <w:r w:rsidR="00B66534">
        <w:t xml:space="preserve">device </w:t>
      </w:r>
      <w:r w:rsidR="00D82B35">
        <w:t>within CCA threshold. As already mentioned</w:t>
      </w:r>
      <w:r w:rsidR="00B66534">
        <w:t>,</w:t>
      </w:r>
      <w:r w:rsidR="00D82B35">
        <w:t xml:space="preserve"> this would depend on the access mechanism designed by RAN1. </w:t>
      </w:r>
      <w:r>
        <w:t xml:space="preserve">We therefore showed results considering different scenarios which </w:t>
      </w:r>
      <w:r w:rsidR="00405C64">
        <w:t>cover</w:t>
      </w:r>
      <w:r w:rsidR="007C10C8">
        <w:t xml:space="preserve"> a</w:t>
      </w:r>
      <w:r w:rsidR="00405C64">
        <w:t xml:space="preserve"> wide range of operating</w:t>
      </w:r>
      <w:r>
        <w:t xml:space="preserve"> conditions. </w:t>
      </w:r>
    </w:p>
    <w:p w:rsidR="00387D24" w:rsidRDefault="007C10C8" w:rsidP="0076609A">
      <w:pPr>
        <w:overflowPunct w:val="0"/>
        <w:autoSpaceDE w:val="0"/>
        <w:autoSpaceDN w:val="0"/>
        <w:adjustRightInd w:val="0"/>
        <w:jc w:val="both"/>
        <w:textAlignment w:val="baseline"/>
      </w:pPr>
      <w:r>
        <w:t>The goal of this contribution is not to</w:t>
      </w:r>
      <w:r w:rsidR="00992EE5">
        <w:t xml:space="preserve"> propos</w:t>
      </w:r>
      <w:r>
        <w:t>e</w:t>
      </w:r>
      <w:r w:rsidR="00992EE5">
        <w:t xml:space="preserve"> a specific value, but rather </w:t>
      </w:r>
      <w:r>
        <w:t>to give</w:t>
      </w:r>
      <w:r w:rsidR="00992EE5">
        <w:t xml:space="preserve"> </w:t>
      </w:r>
      <w:r w:rsidR="00B66534">
        <w:t>the</w:t>
      </w:r>
      <w:r w:rsidR="00992EE5">
        <w:t xml:space="preserve"> indication that</w:t>
      </w:r>
      <w:r w:rsidR="00E82DC2">
        <w:t>,</w:t>
      </w:r>
      <w:r w:rsidR="00992EE5">
        <w:t xml:space="preserve"> based on these preliminary results</w:t>
      </w:r>
      <w:r w:rsidR="00E82DC2">
        <w:t>,</w:t>
      </w:r>
      <w:r w:rsidR="00992EE5">
        <w:t xml:space="preserve"> if </w:t>
      </w:r>
      <w:r w:rsidR="00E82DC2">
        <w:t>needed</w:t>
      </w:r>
      <w:r w:rsidR="00E21234">
        <w:t>,</w:t>
      </w:r>
      <w:r w:rsidR="00E82DC2">
        <w:t xml:space="preserve"> a </w:t>
      </w:r>
      <w:r w:rsidR="00992EE5">
        <w:t xml:space="preserve">relaxation </w:t>
      </w:r>
      <w:r w:rsidR="00B66534">
        <w:t>would be</w:t>
      </w:r>
      <w:r w:rsidR="00E82DC2">
        <w:t xml:space="preserve"> feasible from </w:t>
      </w:r>
      <w:r w:rsidR="00B66534">
        <w:t xml:space="preserve">ACI </w:t>
      </w:r>
      <w:r w:rsidR="00E82DC2">
        <w:t xml:space="preserve">performance point of view. </w:t>
      </w:r>
      <w:r>
        <w:t>In this contribution we look</w:t>
      </w:r>
      <w:r w:rsidR="00405C64">
        <w:t>ed</w:t>
      </w:r>
      <w:r>
        <w:t xml:space="preserve"> at DL only case, however similar results are expected for UL as far as ACLR is within the same range. Finally, as described in </w:t>
      </w:r>
      <w:r>
        <w:fldChar w:fldCharType="begin"/>
      </w:r>
      <w:r>
        <w:instrText xml:space="preserve"> REF _Ref419732261 \r \h </w:instrText>
      </w:r>
      <w:r>
        <w:fldChar w:fldCharType="separate"/>
      </w:r>
      <w:r w:rsidR="00405C64">
        <w:t>[3]</w:t>
      </w:r>
      <w:r>
        <w:fldChar w:fldCharType="end"/>
      </w:r>
      <w:r>
        <w:t xml:space="preserve">, another potential study case would be DL to UL scenario. For this particular case, more detailed information such as frame structure, </w:t>
      </w:r>
      <w:r w:rsidR="00B66534">
        <w:t>scheduling, operation across eNodeBs and</w:t>
      </w:r>
      <w:r>
        <w:t xml:space="preserve"> access scheme, are needed. </w:t>
      </w:r>
      <w:r w:rsidR="002367FE">
        <w:t xml:space="preserve">However, for </w:t>
      </w:r>
      <w:r w:rsidR="00B66534">
        <w:t>DL to UL coexistence case</w:t>
      </w:r>
      <w:bookmarkStart w:id="8" w:name="_GoBack"/>
      <w:bookmarkEnd w:id="8"/>
      <w:r w:rsidR="00387D24">
        <w:t>,</w:t>
      </w:r>
      <w:r w:rsidR="002367FE">
        <w:t xml:space="preserve"> we can foresee a much better level of coordination compared to interaction with a different tech</w:t>
      </w:r>
      <w:r w:rsidR="00387D24">
        <w:t>nology like Wi-Fi, meaning that interference caused by Wi-Fi will likely be the bottleneck.</w:t>
      </w:r>
    </w:p>
    <w:p w:rsidR="001E3856" w:rsidRDefault="002367FE" w:rsidP="0076609A">
      <w:pPr>
        <w:overflowPunct w:val="0"/>
        <w:autoSpaceDE w:val="0"/>
        <w:autoSpaceDN w:val="0"/>
        <w:adjustRightInd w:val="0"/>
        <w:jc w:val="both"/>
        <w:textAlignment w:val="baseline"/>
      </w:pPr>
      <w:r>
        <w:t xml:space="preserve">Based on all the above observations, we can conclude that a relaxation to RF requirements </w:t>
      </w:r>
      <w:r w:rsidR="00387D24">
        <w:t>is</w:t>
      </w:r>
      <w:r>
        <w:t xml:space="preserve"> possible, however furt</w:t>
      </w:r>
      <w:r w:rsidR="00B66534">
        <w:t>her study is needed in the Work</w:t>
      </w:r>
      <w:r>
        <w:t xml:space="preserve"> </w:t>
      </w:r>
      <w:r w:rsidR="00B66534">
        <w:t>I</w:t>
      </w:r>
      <w:r>
        <w:t>tem phase.</w:t>
      </w:r>
    </w:p>
    <w:p w:rsidR="00CF4067" w:rsidRPr="00CF4067" w:rsidRDefault="00CF4067" w:rsidP="0076609A">
      <w:pPr>
        <w:overflowPunct w:val="0"/>
        <w:autoSpaceDE w:val="0"/>
        <w:autoSpaceDN w:val="0"/>
        <w:adjustRightInd w:val="0"/>
        <w:jc w:val="both"/>
        <w:textAlignment w:val="baseline"/>
        <w:rPr>
          <w:b/>
          <w:i/>
        </w:rPr>
      </w:pPr>
      <w:r w:rsidRPr="00CF4067">
        <w:rPr>
          <w:b/>
          <w:i/>
        </w:rPr>
        <w:t>Observation 2: from ACI point of view relaxing ACLR is possible with limited impact in throughput performance.</w:t>
      </w:r>
      <w:r>
        <w:rPr>
          <w:b/>
          <w:i/>
        </w:rPr>
        <w:t xml:space="preserve"> Any possible relaxation of RF requirements is however conditioned to further study during Work Item phase.</w:t>
      </w:r>
    </w:p>
    <w:p w:rsidR="00E82DC2" w:rsidRDefault="00E82DC2" w:rsidP="0076609A">
      <w:pPr>
        <w:overflowPunct w:val="0"/>
        <w:autoSpaceDE w:val="0"/>
        <w:autoSpaceDN w:val="0"/>
        <w:adjustRightInd w:val="0"/>
        <w:jc w:val="both"/>
        <w:textAlignment w:val="baseline"/>
      </w:pPr>
      <w:r>
        <w:lastRenderedPageBreak/>
        <w:t xml:space="preserve">Of course, if and when a specific number will be proposed, several factors need to be taken into account. First of all, a </w:t>
      </w:r>
      <w:r w:rsidR="00CF4067">
        <w:t>relaxation will be justified based on specific implementation constraints. In particular, having a transceiver operating in the entire 5GHz spectrum with single filter architecture could impose some design limitation. Another important factor which should be taken into account is the impact on Wi-Fi nodes. In order to avoid negative impact on Wi-Fi performance, any LAA RF requirements relaxation should be such that new requirements are still better compared to Wi-Fi requirements. If this is guaranteed LAA will still introduce lower ACI compared to Wi-Fi network.</w:t>
      </w:r>
    </w:p>
    <w:p w:rsidR="00CF4067" w:rsidRPr="00CF4067" w:rsidRDefault="00CF4067" w:rsidP="0076609A">
      <w:pPr>
        <w:overflowPunct w:val="0"/>
        <w:autoSpaceDE w:val="0"/>
        <w:autoSpaceDN w:val="0"/>
        <w:adjustRightInd w:val="0"/>
        <w:jc w:val="both"/>
        <w:textAlignment w:val="baseline"/>
        <w:rPr>
          <w:b/>
          <w:i/>
          <w:lang w:val="en-US"/>
        </w:rPr>
      </w:pPr>
      <w:r w:rsidRPr="00CF4067">
        <w:rPr>
          <w:b/>
          <w:i/>
        </w:rPr>
        <w:t>Observation 3:</w:t>
      </w:r>
      <w:r>
        <w:rPr>
          <w:b/>
          <w:i/>
        </w:rPr>
        <w:t xml:space="preserve"> any possible RF requirements relaxation for LAA should take into account Wi-Fi RF requirements. As far as LAA ACLR is tighter than Wi-Fi ACLR, LAA will introduce lower adjacent channel interference compared to Wi-Fi system. </w:t>
      </w:r>
    </w:p>
    <w:p w:rsidR="00027F27" w:rsidRDefault="0069757C" w:rsidP="00027F27">
      <w:pPr>
        <w:pStyle w:val="Heading1"/>
      </w:pPr>
      <w:r>
        <w:t>Conclusion</w:t>
      </w:r>
    </w:p>
    <w:p w:rsidR="00DA1C0B" w:rsidRDefault="00A32D26" w:rsidP="00C3370A">
      <w:pPr>
        <w:jc w:val="both"/>
      </w:pPr>
      <w:r>
        <w:t xml:space="preserve">In this contribution we </w:t>
      </w:r>
      <w:r w:rsidR="005A049E">
        <w:t xml:space="preserve">analysed LAA to LAA coexistence considering several factors. We made some </w:t>
      </w:r>
      <w:r w:rsidR="00DA1C0B">
        <w:t xml:space="preserve">considerations about the difference between licensed and unlicensed spectrum in terms of possible interference scenarios. </w:t>
      </w:r>
      <w:r w:rsidR="00CA4672">
        <w:t>These considerations are summarized in the following observation:</w:t>
      </w:r>
    </w:p>
    <w:p w:rsidR="00DA1C0B" w:rsidRPr="00DA1C0B" w:rsidRDefault="00DA1C0B" w:rsidP="00C3370A">
      <w:pPr>
        <w:jc w:val="both"/>
        <w:rPr>
          <w:lang w:val="en-US"/>
        </w:rPr>
      </w:pPr>
      <w:r w:rsidRPr="006105CF">
        <w:rPr>
          <w:b/>
          <w:i/>
          <w:lang w:val="en-US"/>
        </w:rPr>
        <w:t>Observation 1:</w:t>
      </w:r>
      <w:r>
        <w:rPr>
          <w:b/>
          <w:i/>
          <w:lang w:val="en-US"/>
        </w:rPr>
        <w:t xml:space="preserve"> </w:t>
      </w:r>
      <w:r w:rsidRPr="006105CF">
        <w:rPr>
          <w:b/>
          <w:i/>
          <w:lang w:val="en-US"/>
        </w:rPr>
        <w:t xml:space="preserve">when looking at LAA </w:t>
      </w:r>
      <w:r>
        <w:rPr>
          <w:b/>
          <w:i/>
          <w:lang w:val="en-US"/>
        </w:rPr>
        <w:t>performance</w:t>
      </w:r>
      <w:r w:rsidRPr="006105CF">
        <w:rPr>
          <w:b/>
          <w:i/>
          <w:lang w:val="en-US"/>
        </w:rPr>
        <w:t xml:space="preserve"> </w:t>
      </w:r>
      <w:r>
        <w:rPr>
          <w:b/>
          <w:i/>
          <w:lang w:val="en-US"/>
        </w:rPr>
        <w:t>in 5GHz unlicensed band, imposing</w:t>
      </w:r>
      <w:r w:rsidRPr="006105CF">
        <w:rPr>
          <w:b/>
          <w:i/>
          <w:lang w:val="en-US"/>
        </w:rPr>
        <w:t xml:space="preserve"> a tight</w:t>
      </w:r>
      <w:r>
        <w:rPr>
          <w:b/>
          <w:i/>
          <w:lang w:val="en-US"/>
        </w:rPr>
        <w:t xml:space="preserve"> ACLR</w:t>
      </w:r>
      <w:r w:rsidRPr="006105CF">
        <w:rPr>
          <w:b/>
          <w:i/>
          <w:lang w:val="en-US"/>
        </w:rPr>
        <w:t xml:space="preserve"> requirement does not guarantee </w:t>
      </w:r>
      <w:r>
        <w:rPr>
          <w:b/>
          <w:i/>
          <w:lang w:val="en-US"/>
        </w:rPr>
        <w:t>a very low perceived adjacent channel interference</w:t>
      </w:r>
      <w:r>
        <w:rPr>
          <w:lang w:val="en-US"/>
        </w:rPr>
        <w:t xml:space="preserve">.  </w:t>
      </w:r>
    </w:p>
    <w:p w:rsidR="0077781E" w:rsidRDefault="00DA1C0B" w:rsidP="00C3370A">
      <w:pPr>
        <w:jc w:val="both"/>
      </w:pPr>
      <w:r>
        <w:t xml:space="preserve">We also analysed </w:t>
      </w:r>
      <w:r w:rsidR="008B4239">
        <w:t>SINR</w:t>
      </w:r>
      <w:r>
        <w:t xml:space="preserve"> distributions as a function of the BS ACLR in order to understand whether a possible relaxation to ACLR requirement would be feasible without impacting LAA throughput performance. Based on the preliminary simulation results, we made the following observations:</w:t>
      </w:r>
    </w:p>
    <w:p w:rsidR="00DA1C0B" w:rsidRDefault="00DA1C0B" w:rsidP="00C3370A">
      <w:pPr>
        <w:overflowPunct w:val="0"/>
        <w:autoSpaceDE w:val="0"/>
        <w:autoSpaceDN w:val="0"/>
        <w:adjustRightInd w:val="0"/>
        <w:jc w:val="both"/>
        <w:textAlignment w:val="baseline"/>
        <w:rPr>
          <w:b/>
          <w:i/>
        </w:rPr>
      </w:pPr>
      <w:r w:rsidRPr="00CF4067">
        <w:rPr>
          <w:b/>
          <w:i/>
        </w:rPr>
        <w:t>Observation 2: from ACI point of view relaxing ACLR is possible with limited impact in throughput performance.</w:t>
      </w:r>
      <w:r>
        <w:rPr>
          <w:b/>
          <w:i/>
        </w:rPr>
        <w:t xml:space="preserve"> Any possible relaxation of RF requirements is however conditioned to further study during Work Item phase.</w:t>
      </w:r>
    </w:p>
    <w:p w:rsidR="00DA1C0B" w:rsidRPr="00CF4067" w:rsidRDefault="00DA1C0B" w:rsidP="00C3370A">
      <w:pPr>
        <w:overflowPunct w:val="0"/>
        <w:autoSpaceDE w:val="0"/>
        <w:autoSpaceDN w:val="0"/>
        <w:adjustRightInd w:val="0"/>
        <w:jc w:val="both"/>
        <w:textAlignment w:val="baseline"/>
        <w:rPr>
          <w:b/>
          <w:i/>
          <w:lang w:val="en-US"/>
        </w:rPr>
      </w:pPr>
      <w:r w:rsidRPr="00CF4067">
        <w:rPr>
          <w:b/>
          <w:i/>
        </w:rPr>
        <w:t>Observation 3:</w:t>
      </w:r>
      <w:r>
        <w:rPr>
          <w:b/>
          <w:i/>
        </w:rPr>
        <w:t xml:space="preserve"> any possible RF requirements relaxation for LAA should take into account Wi-Fi RF requirements. As far as LAA ACLR is tighter than Wi-Fi ACLR, LAA will introduce lower adjacent channel interference compared to Wi-Fi system. </w:t>
      </w:r>
    </w:p>
    <w:p w:rsidR="00DA1C0B" w:rsidRPr="00DA1C0B" w:rsidRDefault="00DA1C0B" w:rsidP="005A049E">
      <w:pPr>
        <w:rPr>
          <w:b/>
          <w:i/>
          <w:lang w:val="en-US"/>
        </w:rPr>
      </w:pPr>
    </w:p>
    <w:p w:rsidR="0077781E" w:rsidRDefault="0077781E" w:rsidP="009E43A5">
      <w:pPr>
        <w:rPr>
          <w:b/>
        </w:rPr>
      </w:pPr>
    </w:p>
    <w:p w:rsidR="00A43791" w:rsidRDefault="00A43791" w:rsidP="00A43791">
      <w:pPr>
        <w:pStyle w:val="Heading1"/>
        <w:numPr>
          <w:ilvl w:val="0"/>
          <w:numId w:val="0"/>
        </w:numPr>
        <w:tabs>
          <w:tab w:val="num" w:pos="432"/>
        </w:tabs>
        <w:ind w:left="432" w:hanging="432"/>
        <w:rPr>
          <w:lang w:val="en-US"/>
        </w:rPr>
      </w:pPr>
      <w:r>
        <w:rPr>
          <w:lang w:val="en-US"/>
        </w:rPr>
        <w:t>Reference</w:t>
      </w:r>
    </w:p>
    <w:p w:rsidR="00F83D30" w:rsidRPr="00F83D30" w:rsidRDefault="00F83D30" w:rsidP="00F83D30">
      <w:pPr>
        <w:numPr>
          <w:ilvl w:val="0"/>
          <w:numId w:val="2"/>
        </w:numPr>
        <w:tabs>
          <w:tab w:val="left" w:pos="1080"/>
        </w:tabs>
        <w:rPr>
          <w:lang w:val="en-US"/>
        </w:rPr>
      </w:pPr>
      <w:bookmarkStart w:id="9" w:name="_Ref419388595"/>
      <w:bookmarkStart w:id="10" w:name="_Ref419289036"/>
      <w:r w:rsidRPr="009E6F02">
        <w:rPr>
          <w:rFonts w:eastAsia="MS Mincho"/>
          <w:lang w:eastAsia="x-none"/>
        </w:rPr>
        <w:t>R4-152568</w:t>
      </w:r>
      <w:r>
        <w:rPr>
          <w:lang w:val="en-US"/>
        </w:rPr>
        <w:t>, “</w:t>
      </w:r>
      <w:r w:rsidRPr="00F83D30">
        <w:rPr>
          <w:lang w:val="en-US"/>
        </w:rPr>
        <w:t>TP for simulation assumptions of LAA and Wi-Fi coexistence study</w:t>
      </w:r>
      <w:r>
        <w:rPr>
          <w:lang w:val="en-US"/>
        </w:rPr>
        <w:t>”, Huawei.</w:t>
      </w:r>
      <w:bookmarkEnd w:id="9"/>
    </w:p>
    <w:p w:rsidR="00A43791" w:rsidRPr="00A43791" w:rsidRDefault="00A43791" w:rsidP="00A43791">
      <w:pPr>
        <w:numPr>
          <w:ilvl w:val="0"/>
          <w:numId w:val="2"/>
        </w:numPr>
        <w:tabs>
          <w:tab w:val="left" w:pos="1080"/>
        </w:tabs>
        <w:rPr>
          <w:lang w:val="en-US"/>
        </w:rPr>
      </w:pPr>
      <w:r>
        <w:rPr>
          <w:noProof/>
        </w:rPr>
        <w:t>“3GPP TR 36.889”.</w:t>
      </w:r>
    </w:p>
    <w:p w:rsidR="00A43791" w:rsidRPr="00A43791" w:rsidRDefault="00A43791" w:rsidP="00A43791">
      <w:pPr>
        <w:numPr>
          <w:ilvl w:val="0"/>
          <w:numId w:val="2"/>
        </w:numPr>
        <w:tabs>
          <w:tab w:val="left" w:pos="1080"/>
        </w:tabs>
        <w:rPr>
          <w:lang w:val="en-US"/>
        </w:rPr>
      </w:pPr>
      <w:bookmarkStart w:id="11" w:name="_Ref419732261"/>
      <w:r>
        <w:rPr>
          <w:noProof/>
        </w:rPr>
        <w:t>R4-150222, "LAA coexistence scenarios", Qualcomm Inc.,” Athens, Feb 2015.</w:t>
      </w:r>
      <w:bookmarkEnd w:id="11"/>
    </w:p>
    <w:p w:rsidR="00A43791" w:rsidRPr="00A43791" w:rsidRDefault="00A43791" w:rsidP="00A43791">
      <w:pPr>
        <w:numPr>
          <w:ilvl w:val="0"/>
          <w:numId w:val="2"/>
        </w:numPr>
        <w:tabs>
          <w:tab w:val="left" w:pos="1080"/>
        </w:tabs>
        <w:rPr>
          <w:lang w:val="en-US"/>
        </w:rPr>
      </w:pPr>
      <w:bookmarkStart w:id="12" w:name="_Ref419451504"/>
      <w:bookmarkEnd w:id="10"/>
      <w:r>
        <w:rPr>
          <w:noProof/>
        </w:rPr>
        <w:t>“3GPP TR 36.942 V11.0.0, “Radio Frequency (RF) system scenarios,”,” Sept. 2012.</w:t>
      </w:r>
      <w:bookmarkEnd w:id="12"/>
    </w:p>
    <w:p w:rsidR="00A43791" w:rsidRPr="00A43791" w:rsidRDefault="00A43791" w:rsidP="00A43791">
      <w:pPr>
        <w:numPr>
          <w:ilvl w:val="0"/>
          <w:numId w:val="2"/>
        </w:numPr>
        <w:tabs>
          <w:tab w:val="left" w:pos="1080"/>
        </w:tabs>
        <w:rPr>
          <w:lang w:val="en-US"/>
        </w:rPr>
      </w:pPr>
      <w:r>
        <w:rPr>
          <w:noProof/>
        </w:rPr>
        <w:t>“RP-141664, "Study on Licensed-Assisted Access using LTE", Qualcomm, Huawei, Alcatel-Lucent”.</w:t>
      </w:r>
    </w:p>
    <w:p w:rsidR="00A43791" w:rsidRPr="00A43791" w:rsidRDefault="00A43791" w:rsidP="00A43791">
      <w:pPr>
        <w:numPr>
          <w:ilvl w:val="0"/>
          <w:numId w:val="2"/>
        </w:numPr>
        <w:tabs>
          <w:tab w:val="left" w:pos="1080"/>
        </w:tabs>
        <w:rPr>
          <w:lang w:val="en-US"/>
        </w:rPr>
      </w:pPr>
      <w:bookmarkStart w:id="13" w:name="_Ref419452987"/>
      <w:r>
        <w:rPr>
          <w:noProof/>
        </w:rPr>
        <w:t>“R4-151278, "Way forward on Adjacent channel coexistence evaluation parameters and methodology for LAA", Ericsson, Huawei, Nokia Corporation, InterDigital, Verizon, Qualcomm, China Telecom, Alcatel-Lucent, ZTE,” Athens, 9-13 Feb, 2015.</w:t>
      </w:r>
      <w:bookmarkEnd w:id="13"/>
    </w:p>
    <w:p w:rsidR="00A43791" w:rsidRPr="00A43791" w:rsidRDefault="00A43791" w:rsidP="00A43791">
      <w:pPr>
        <w:numPr>
          <w:ilvl w:val="0"/>
          <w:numId w:val="2"/>
        </w:numPr>
        <w:tabs>
          <w:tab w:val="left" w:pos="1080"/>
        </w:tabs>
        <w:rPr>
          <w:lang w:val="en-US"/>
        </w:rPr>
      </w:pPr>
      <w:bookmarkStart w:id="14" w:name="_Ref419388419"/>
      <w:r>
        <w:rPr>
          <w:noProof/>
        </w:rPr>
        <w:t>R4-151537, “LAA Adjacent channel coexistence simulation results”, Nokia Networks.</w:t>
      </w:r>
      <w:bookmarkEnd w:id="14"/>
    </w:p>
    <w:p w:rsidR="00A43791" w:rsidRDefault="00A43791" w:rsidP="00A43791">
      <w:pPr>
        <w:numPr>
          <w:ilvl w:val="0"/>
          <w:numId w:val="2"/>
        </w:numPr>
        <w:tabs>
          <w:tab w:val="left" w:pos="1080"/>
        </w:tabs>
        <w:rPr>
          <w:lang w:val="en-US"/>
        </w:rPr>
      </w:pPr>
      <w:bookmarkStart w:id="15" w:name="_Ref419388422"/>
      <w:r>
        <w:rPr>
          <w:noProof/>
        </w:rPr>
        <w:t>R4-151542, “Adjacent Channel Coexistence simulations for LAA”, Qualcomm Inc.</w:t>
      </w:r>
      <w:bookmarkEnd w:id="15"/>
    </w:p>
    <w:p w:rsidR="00A43791" w:rsidRPr="00A43791" w:rsidRDefault="00A43791" w:rsidP="00A43791">
      <w:pPr>
        <w:numPr>
          <w:ilvl w:val="0"/>
          <w:numId w:val="2"/>
        </w:numPr>
        <w:tabs>
          <w:tab w:val="left" w:pos="1080"/>
        </w:tabs>
        <w:rPr>
          <w:lang w:val="en-US"/>
        </w:rPr>
      </w:pPr>
      <w:r>
        <w:rPr>
          <w:noProof/>
        </w:rPr>
        <w:t xml:space="preserve"> </w:t>
      </w:r>
      <w:bookmarkStart w:id="16" w:name="_Ref419388425"/>
      <w:r>
        <w:rPr>
          <w:noProof/>
        </w:rPr>
        <w:t>R4-151641, “Preliminary simulation results for coexistence of LAA and Wi-Fi”, Huawei.</w:t>
      </w:r>
      <w:bookmarkEnd w:id="16"/>
    </w:p>
    <w:p w:rsidR="00A43791" w:rsidRDefault="00A43791" w:rsidP="00A43791">
      <w:pPr>
        <w:numPr>
          <w:ilvl w:val="0"/>
          <w:numId w:val="2"/>
        </w:numPr>
        <w:tabs>
          <w:tab w:val="left" w:pos="1080"/>
        </w:tabs>
        <w:rPr>
          <w:lang w:val="en-US"/>
        </w:rPr>
      </w:pPr>
      <w:r w:rsidRPr="00A43791">
        <w:rPr>
          <w:lang w:val="en-US"/>
        </w:rPr>
        <w:t xml:space="preserve"> </w:t>
      </w:r>
      <w:bookmarkStart w:id="17" w:name="_Ref419388427"/>
      <w:r w:rsidRPr="00A43791">
        <w:rPr>
          <w:lang w:val="en-US"/>
        </w:rPr>
        <w:t>R4-151912,</w:t>
      </w:r>
      <w:r w:rsidRPr="00A43791">
        <w:rPr>
          <w:lang w:val="en-US"/>
        </w:rPr>
        <w:tab/>
        <w:t>“Initial simulation results for LAA coexistence studies”, ZTE.</w:t>
      </w:r>
      <w:bookmarkEnd w:id="17"/>
    </w:p>
    <w:p w:rsidR="00A43791" w:rsidRDefault="00A43791" w:rsidP="00A43791">
      <w:pPr>
        <w:numPr>
          <w:ilvl w:val="0"/>
          <w:numId w:val="2"/>
        </w:numPr>
        <w:tabs>
          <w:tab w:val="left" w:pos="1080"/>
        </w:tabs>
        <w:rPr>
          <w:lang w:val="en-US"/>
        </w:rPr>
      </w:pPr>
      <w:r w:rsidRPr="00A43791">
        <w:rPr>
          <w:lang w:val="en-US"/>
        </w:rPr>
        <w:t xml:space="preserve"> </w:t>
      </w:r>
      <w:bookmarkStart w:id="18" w:name="_Ref419388430"/>
      <w:r w:rsidRPr="00A43791">
        <w:rPr>
          <w:lang w:val="en-US"/>
        </w:rPr>
        <w:t>R4-152126</w:t>
      </w:r>
      <w:r>
        <w:rPr>
          <w:lang w:val="en-US"/>
        </w:rPr>
        <w:t>, “</w:t>
      </w:r>
      <w:r w:rsidRPr="00A43791">
        <w:rPr>
          <w:lang w:val="en-US"/>
        </w:rPr>
        <w:t>Adjacent coexistence simulation results for LAA system</w:t>
      </w:r>
      <w:r>
        <w:rPr>
          <w:lang w:val="en-US"/>
        </w:rPr>
        <w:t>”, LG Electronics Inc.</w:t>
      </w:r>
      <w:bookmarkEnd w:id="18"/>
    </w:p>
    <w:p w:rsidR="00A43791" w:rsidRDefault="00A43791" w:rsidP="00A43791">
      <w:pPr>
        <w:numPr>
          <w:ilvl w:val="0"/>
          <w:numId w:val="2"/>
        </w:numPr>
        <w:tabs>
          <w:tab w:val="left" w:pos="1080"/>
        </w:tabs>
        <w:rPr>
          <w:lang w:val="en-US"/>
        </w:rPr>
      </w:pPr>
      <w:r>
        <w:rPr>
          <w:lang w:val="en-US"/>
        </w:rPr>
        <w:t xml:space="preserve"> </w:t>
      </w:r>
      <w:bookmarkStart w:id="19" w:name="_Ref419388435"/>
      <w:r w:rsidRPr="00A43791">
        <w:rPr>
          <w:lang w:val="en-US"/>
        </w:rPr>
        <w:t>R4-152178</w:t>
      </w:r>
      <w:r>
        <w:rPr>
          <w:lang w:val="en-US"/>
        </w:rPr>
        <w:t>,</w:t>
      </w:r>
      <w:r w:rsidRPr="00A43791">
        <w:rPr>
          <w:lang w:val="en-US"/>
        </w:rPr>
        <w:tab/>
      </w:r>
      <w:r>
        <w:rPr>
          <w:lang w:val="en-US"/>
        </w:rPr>
        <w:t>“</w:t>
      </w:r>
      <w:r w:rsidRPr="00A43791">
        <w:rPr>
          <w:lang w:val="en-US"/>
        </w:rPr>
        <w:t>LAA adjacent channel coexistence with Wi-Fi</w:t>
      </w:r>
      <w:r>
        <w:rPr>
          <w:lang w:val="en-US"/>
        </w:rPr>
        <w:t>”, Intel Corporation.</w:t>
      </w:r>
      <w:bookmarkEnd w:id="19"/>
    </w:p>
    <w:p w:rsidR="00FD6938" w:rsidRPr="00405C64" w:rsidRDefault="00A43791" w:rsidP="00FD6938">
      <w:pPr>
        <w:numPr>
          <w:ilvl w:val="0"/>
          <w:numId w:val="2"/>
        </w:numPr>
        <w:tabs>
          <w:tab w:val="left" w:pos="1080"/>
        </w:tabs>
        <w:rPr>
          <w:lang w:val="en-US"/>
        </w:rPr>
      </w:pPr>
      <w:r>
        <w:rPr>
          <w:lang w:val="en-US"/>
        </w:rPr>
        <w:t xml:space="preserve"> </w:t>
      </w:r>
      <w:bookmarkStart w:id="20" w:name="_Ref419388438"/>
      <w:r w:rsidRPr="00A43791">
        <w:rPr>
          <w:lang w:val="en-US"/>
        </w:rPr>
        <w:t>R4-151844</w:t>
      </w:r>
      <w:r>
        <w:rPr>
          <w:lang w:val="en-US"/>
        </w:rPr>
        <w:t>,</w:t>
      </w:r>
      <w:r w:rsidRPr="00A43791">
        <w:rPr>
          <w:lang w:val="en-US"/>
        </w:rPr>
        <w:tab/>
      </w:r>
      <w:r>
        <w:rPr>
          <w:lang w:val="en-US"/>
        </w:rPr>
        <w:t>“</w:t>
      </w:r>
      <w:r w:rsidRPr="00A43791">
        <w:rPr>
          <w:lang w:val="en-US"/>
        </w:rPr>
        <w:t>Adjacent channel coexistence studies in 5GHz LAA operation</w:t>
      </w:r>
      <w:r>
        <w:rPr>
          <w:lang w:val="en-US"/>
        </w:rPr>
        <w:t>”, Ericsson.</w:t>
      </w:r>
      <w:bookmarkEnd w:id="20"/>
    </w:p>
    <w:sectPr w:rsidR="00FD6938" w:rsidRPr="00405C64"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639" w:rsidRDefault="003C0639">
      <w:r>
        <w:separator/>
      </w:r>
    </w:p>
  </w:endnote>
  <w:endnote w:type="continuationSeparator" w:id="0">
    <w:p w:rsidR="003C0639" w:rsidRDefault="003C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6534">
      <w:rPr>
        <w:rStyle w:val="PageNumber"/>
      </w:rPr>
      <w:t>8</w:t>
    </w:r>
    <w:r>
      <w:rPr>
        <w:rStyle w:val="PageNumber"/>
      </w:rPr>
      <w:fldChar w:fldCharType="end"/>
    </w:r>
  </w:p>
  <w:p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639" w:rsidRDefault="003C0639">
      <w:r>
        <w:separator/>
      </w:r>
    </w:p>
  </w:footnote>
  <w:footnote w:type="continuationSeparator" w:id="0">
    <w:p w:rsidR="003C0639" w:rsidRDefault="003C06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7"/>
  </w:num>
  <w:num w:numId="5">
    <w:abstractNumId w:val="12"/>
  </w:num>
  <w:num w:numId="6">
    <w:abstractNumId w:val="6"/>
  </w:num>
  <w:num w:numId="7">
    <w:abstractNumId w:val="2"/>
  </w:num>
  <w:num w:numId="8">
    <w:abstractNumId w:val="15"/>
  </w:num>
  <w:num w:numId="9">
    <w:abstractNumId w:val="7"/>
  </w:num>
  <w:num w:numId="10">
    <w:abstractNumId w:val="11"/>
  </w:num>
  <w:num w:numId="11">
    <w:abstractNumId w:val="18"/>
  </w:num>
  <w:num w:numId="12">
    <w:abstractNumId w:val="1"/>
  </w:num>
  <w:num w:numId="13">
    <w:abstractNumId w:val="9"/>
  </w:num>
  <w:num w:numId="14">
    <w:abstractNumId w:val="8"/>
  </w:num>
  <w:num w:numId="15">
    <w:abstractNumId w:val="0"/>
  </w:num>
  <w:num w:numId="16">
    <w:abstractNumId w:val="5"/>
  </w:num>
  <w:num w:numId="17">
    <w:abstractNumId w:val="3"/>
  </w:num>
  <w:num w:numId="18">
    <w:abstractNumId w:val="4"/>
  </w:num>
  <w:num w:numId="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0D3"/>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1C12"/>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DA5"/>
    <w:rsid w:val="000F4FD4"/>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4403"/>
    <w:rsid w:val="00195150"/>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86D"/>
    <w:rsid w:val="001F7D63"/>
    <w:rsid w:val="00200D15"/>
    <w:rsid w:val="002019FF"/>
    <w:rsid w:val="00201CA6"/>
    <w:rsid w:val="0020242B"/>
    <w:rsid w:val="002050A4"/>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30C94"/>
    <w:rsid w:val="00230EB7"/>
    <w:rsid w:val="00230EC6"/>
    <w:rsid w:val="00231913"/>
    <w:rsid w:val="00234C5F"/>
    <w:rsid w:val="00236663"/>
    <w:rsid w:val="002367FE"/>
    <w:rsid w:val="00236C6E"/>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10A"/>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87D2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39"/>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C64"/>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8BF"/>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4DB0"/>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0C8"/>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4E60"/>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3909"/>
    <w:rsid w:val="00AB393C"/>
    <w:rsid w:val="00AB4143"/>
    <w:rsid w:val="00AB46F4"/>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534"/>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71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F0A47"/>
    <w:rsid w:val="00BF117A"/>
    <w:rsid w:val="00BF3A02"/>
    <w:rsid w:val="00BF40A8"/>
    <w:rsid w:val="00BF49E1"/>
    <w:rsid w:val="00BF69EA"/>
    <w:rsid w:val="00BF6D33"/>
    <w:rsid w:val="00C00F79"/>
    <w:rsid w:val="00C01B14"/>
    <w:rsid w:val="00C021AE"/>
    <w:rsid w:val="00C03098"/>
    <w:rsid w:val="00C036B6"/>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35"/>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A0797"/>
    <w:rsid w:val="00DA0EA4"/>
    <w:rsid w:val="00DA0EF4"/>
    <w:rsid w:val="00DA193B"/>
    <w:rsid w:val="00DA1C0B"/>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46DB"/>
    <w:rsid w:val="00E25241"/>
    <w:rsid w:val="00E2797A"/>
    <w:rsid w:val="00E30460"/>
    <w:rsid w:val="00E31E1A"/>
    <w:rsid w:val="00E31F40"/>
    <w:rsid w:val="00E33CB9"/>
    <w:rsid w:val="00E343BD"/>
    <w:rsid w:val="00E35A26"/>
    <w:rsid w:val="00E36B2F"/>
    <w:rsid w:val="00E377D8"/>
    <w:rsid w:val="00E408DB"/>
    <w:rsid w:val="00E40900"/>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56A6"/>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80193F6-ED67-4D98-84BB-5A9B97AC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237</TotalTime>
  <Pages>9</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9</cp:revision>
  <cp:lastPrinted>2015-05-18T16:31:00Z</cp:lastPrinted>
  <dcterms:created xsi:type="dcterms:W3CDTF">2015-05-18T11:37:00Z</dcterms:created>
  <dcterms:modified xsi:type="dcterms:W3CDTF">2015-05-18T20:12:00Z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