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620" w:rsidRPr="00480D78" w:rsidRDefault="000F4620" w:rsidP="000F4620">
      <w:pPr>
        <w:tabs>
          <w:tab w:val="left" w:pos="1985"/>
        </w:tabs>
        <w:ind w:left="1985" w:hanging="1985"/>
        <w:rPr>
          <w:rFonts w:cs="Arial"/>
          <w:b/>
          <w:bCs/>
          <w:sz w:val="24"/>
        </w:rPr>
      </w:pPr>
      <w:r w:rsidRPr="00480D78">
        <w:rPr>
          <w:rFonts w:cs="Arial"/>
          <w:b/>
          <w:bCs/>
          <w:sz w:val="24"/>
        </w:rPr>
        <w:t>3GPP TSG-RAN WG4 Meeting #75</w:t>
      </w:r>
      <w:r w:rsidRPr="00480D78">
        <w:rPr>
          <w:rFonts w:cs="Arial"/>
          <w:b/>
          <w:bCs/>
          <w:sz w:val="24"/>
        </w:rPr>
        <w:tab/>
        <w:t xml:space="preserve">                                          R4-15276</w:t>
      </w:r>
      <w:r w:rsidR="0001748D">
        <w:rPr>
          <w:rFonts w:cs="Arial"/>
          <w:b/>
          <w:bCs/>
          <w:sz w:val="24"/>
        </w:rPr>
        <w:t>3</w:t>
      </w:r>
    </w:p>
    <w:p w:rsidR="000F4620" w:rsidRPr="00480D78" w:rsidRDefault="000F4620" w:rsidP="000F4620">
      <w:pPr>
        <w:tabs>
          <w:tab w:val="left" w:pos="1985"/>
        </w:tabs>
        <w:ind w:left="1985" w:hanging="1985"/>
        <w:rPr>
          <w:rFonts w:cs="Arial"/>
          <w:b/>
          <w:bCs/>
          <w:sz w:val="24"/>
        </w:rPr>
      </w:pPr>
      <w:r w:rsidRPr="00480D78">
        <w:rPr>
          <w:rFonts w:cs="Arial"/>
          <w:b/>
          <w:bCs/>
          <w:sz w:val="24"/>
        </w:rPr>
        <w:t>Fukuoka, Japan, 25 – 29 May, 2015</w:t>
      </w: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D70A08" w:rsidRPr="005466F9">
        <w:rPr>
          <w:rFonts w:cs="Arial"/>
          <w:b/>
          <w:bCs/>
          <w:sz w:val="24"/>
        </w:rPr>
        <w:tab/>
      </w:r>
      <w:bookmarkStart w:id="0" w:name="Source"/>
      <w:bookmarkEnd w:id="0"/>
      <w:r w:rsidR="00971E8F">
        <w:rPr>
          <w:rFonts w:cs="Arial"/>
          <w:b/>
          <w:bCs/>
          <w:sz w:val="24"/>
        </w:rPr>
        <w:t>9</w:t>
      </w:r>
      <w:r w:rsidR="00D70A08" w:rsidRPr="005466F9">
        <w:rPr>
          <w:rFonts w:cs="Arial"/>
          <w:b/>
          <w:bCs/>
          <w:sz w:val="24"/>
        </w:rPr>
        <w:t>.</w:t>
      </w:r>
      <w:r w:rsidR="00971E8F">
        <w:rPr>
          <w:rFonts w:cs="Arial"/>
          <w:b/>
          <w:bCs/>
          <w:sz w:val="24"/>
        </w:rPr>
        <w:t>4</w:t>
      </w:r>
      <w:r>
        <w:rPr>
          <w:rFonts w:cs="Arial"/>
          <w:b/>
          <w:bCs/>
          <w:sz w:val="24"/>
        </w:rPr>
        <w:t>.</w:t>
      </w:r>
      <w:r w:rsidR="00971E8F">
        <w:rPr>
          <w:rFonts w:cs="Arial"/>
          <w:b/>
          <w:bCs/>
          <w:sz w:val="24"/>
        </w:rPr>
        <w:t>1</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B70723" w:rsidRPr="00B70723">
        <w:rPr>
          <w:rFonts w:cs="Arial"/>
          <w:b/>
          <w:bCs/>
          <w:sz w:val="24"/>
        </w:rPr>
        <w:t xml:space="preserve">On measurement gap enhancement for </w:t>
      </w:r>
      <w:proofErr w:type="spellStart"/>
      <w:r w:rsidR="0059073A">
        <w:rPr>
          <w:rFonts w:cs="Arial"/>
          <w:b/>
          <w:bCs/>
          <w:sz w:val="24"/>
        </w:rPr>
        <w:t>Hetnet</w:t>
      </w:r>
      <w:proofErr w:type="spellEnd"/>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1D3830">
      <w:pPr>
        <w:pStyle w:val="Heading1"/>
        <w:numPr>
          <w:ilvl w:val="0"/>
          <w:numId w:val="2"/>
        </w:numPr>
        <w:rPr>
          <w:rFonts w:ascii="Calibri" w:hAnsi="Calibri"/>
        </w:rPr>
      </w:pPr>
      <w:r w:rsidRPr="005466F9">
        <w:rPr>
          <w:rFonts w:ascii="Calibri" w:hAnsi="Calibri"/>
        </w:rPr>
        <w:tab/>
      </w:r>
      <w:r w:rsidR="00EE7FA7" w:rsidRPr="005466F9">
        <w:rPr>
          <w:rFonts w:ascii="Calibri" w:hAnsi="Calibri"/>
        </w:rPr>
        <w:t>Introduction</w:t>
      </w:r>
    </w:p>
    <w:p w:rsidR="00C10A0D" w:rsidRDefault="003C4931" w:rsidP="00A4344D">
      <w:pPr>
        <w:rPr>
          <w:rFonts w:cs="Arial"/>
        </w:rPr>
      </w:pPr>
      <w:r>
        <w:rPr>
          <w:rFonts w:cs="Arial"/>
        </w:rPr>
        <w:t>In last RAN</w:t>
      </w:r>
      <w:r w:rsidR="00C10A0D">
        <w:rPr>
          <w:rFonts w:cs="Arial"/>
        </w:rPr>
        <w:t>4#75, the objectives of the SI to enhance measurement gap are further clarified in [</w:t>
      </w:r>
      <w:r w:rsidR="005E34CB">
        <w:rPr>
          <w:rFonts w:cs="Arial"/>
        </w:rPr>
        <w:t>1</w:t>
      </w:r>
      <w:r w:rsidR="00C10A0D">
        <w:rPr>
          <w:rFonts w:cs="Arial"/>
        </w:rPr>
        <w:t>].</w:t>
      </w:r>
    </w:p>
    <w:p w:rsidR="005B5555" w:rsidRDefault="00A4344D" w:rsidP="00C10A0D">
      <w:pPr>
        <w:rPr>
          <w:rFonts w:cs="Arial"/>
        </w:rPr>
      </w:pPr>
      <w:r w:rsidRPr="00A4344D">
        <w:rPr>
          <w:rFonts w:cs="Arial"/>
        </w:rPr>
        <w:t xml:space="preserve">In this </w:t>
      </w:r>
      <w:r>
        <w:rPr>
          <w:rFonts w:cs="Arial"/>
        </w:rPr>
        <w:t>contribution</w:t>
      </w:r>
      <w:r w:rsidR="0059073A">
        <w:rPr>
          <w:rFonts w:cs="Arial"/>
        </w:rPr>
        <w:t xml:space="preserve">, </w:t>
      </w:r>
      <w:r w:rsidR="00C10A0D">
        <w:rPr>
          <w:rFonts w:cs="Arial"/>
        </w:rPr>
        <w:t>measurement gap enhancement is discussed</w:t>
      </w:r>
      <w:r w:rsidR="0059073A">
        <w:rPr>
          <w:rFonts w:cs="Arial"/>
        </w:rPr>
        <w:t xml:space="preserve"> for the </w:t>
      </w:r>
      <w:proofErr w:type="spellStart"/>
      <w:r w:rsidR="0059073A">
        <w:rPr>
          <w:rFonts w:cs="Arial"/>
        </w:rPr>
        <w:t>Hetnet</w:t>
      </w:r>
      <w:proofErr w:type="spellEnd"/>
      <w:r w:rsidR="0059073A">
        <w:rPr>
          <w:rFonts w:cs="Arial"/>
        </w:rPr>
        <w:t xml:space="preserve"> mobility enhancement scenarios</w:t>
      </w:r>
      <w:r w:rsidR="00C10A0D">
        <w:rPr>
          <w:rFonts w:cs="Arial"/>
        </w:rPr>
        <w:t>. And the following aspects are specifically considered</w:t>
      </w:r>
    </w:p>
    <w:p w:rsidR="00C10A0D" w:rsidRPr="00C10A0D" w:rsidRDefault="00C10A0D" w:rsidP="009F6FD0">
      <w:pPr>
        <w:numPr>
          <w:ilvl w:val="0"/>
          <w:numId w:val="4"/>
        </w:numPr>
        <w:rPr>
          <w:rFonts w:cs="Arial"/>
        </w:rPr>
      </w:pPr>
      <w:r w:rsidRPr="00C10A0D">
        <w:rPr>
          <w:rFonts w:cs="Arial"/>
        </w:rPr>
        <w:t>increase UE scheduling opportunity and/or reduce UE power consumption</w:t>
      </w:r>
    </w:p>
    <w:p w:rsidR="00946EB6" w:rsidRDefault="00866F4D" w:rsidP="003C4931">
      <w:pPr>
        <w:pStyle w:val="Heading1"/>
        <w:numPr>
          <w:ilvl w:val="0"/>
          <w:numId w:val="2"/>
        </w:numPr>
        <w:rPr>
          <w:rFonts w:ascii="Calibri" w:hAnsi="Calibri"/>
        </w:rPr>
      </w:pPr>
      <w:r>
        <w:rPr>
          <w:rFonts w:ascii="Calibri" w:hAnsi="Calibri"/>
        </w:rPr>
        <w:t xml:space="preserve">Background of </w:t>
      </w:r>
      <w:proofErr w:type="spellStart"/>
      <w:r w:rsidR="0059073A">
        <w:rPr>
          <w:rFonts w:ascii="Calibri" w:hAnsi="Calibri"/>
        </w:rPr>
        <w:t>Hetnet</w:t>
      </w:r>
      <w:proofErr w:type="spellEnd"/>
      <w:r w:rsidR="0059073A">
        <w:rPr>
          <w:rFonts w:ascii="Calibri" w:hAnsi="Calibri"/>
        </w:rPr>
        <w:t xml:space="preserve"> mobility enhancement</w:t>
      </w:r>
    </w:p>
    <w:p w:rsidR="00EF155A" w:rsidRDefault="00040822" w:rsidP="00946EB6">
      <w:pPr>
        <w:rPr>
          <w:lang w:val="en-GB"/>
        </w:rPr>
      </w:pPr>
      <w:r>
        <w:rPr>
          <w:lang w:val="en-GB"/>
        </w:rPr>
        <w:t>In</w:t>
      </w:r>
      <w:r w:rsidRPr="00040822">
        <w:rPr>
          <w:lang w:val="en-GB"/>
        </w:rPr>
        <w:t xml:space="preserve"> </w:t>
      </w:r>
      <w:proofErr w:type="spellStart"/>
      <w:r w:rsidRPr="00040822">
        <w:rPr>
          <w:lang w:val="en-GB"/>
        </w:rPr>
        <w:t>HetNet</w:t>
      </w:r>
      <w:proofErr w:type="spellEnd"/>
      <w:r w:rsidRPr="00040822">
        <w:rPr>
          <w:lang w:val="en-GB"/>
        </w:rPr>
        <w:t xml:space="preserve"> mobility </w:t>
      </w:r>
      <w:r>
        <w:rPr>
          <w:lang w:val="en-GB"/>
        </w:rPr>
        <w:t xml:space="preserve">study, </w:t>
      </w:r>
      <w:r w:rsidRPr="00040822">
        <w:rPr>
          <w:lang w:val="en-GB"/>
        </w:rPr>
        <w:t xml:space="preserve">inter-frequency small cell discovery </w:t>
      </w:r>
      <w:r>
        <w:rPr>
          <w:lang w:val="en-GB"/>
        </w:rPr>
        <w:t xml:space="preserve">has been investigated </w:t>
      </w:r>
      <w:r w:rsidRPr="00040822">
        <w:rPr>
          <w:lang w:val="en-GB"/>
        </w:rPr>
        <w:t>with red</w:t>
      </w:r>
      <w:r w:rsidR="00866F4D">
        <w:rPr>
          <w:lang w:val="en-GB"/>
        </w:rPr>
        <w:t>uced UE power consumption</w:t>
      </w:r>
      <w:r w:rsidR="00EF155A">
        <w:rPr>
          <w:lang w:val="en-GB"/>
        </w:rPr>
        <w:t xml:space="preserve"> and/or improved UE scheduling opportunities considered</w:t>
      </w:r>
      <w:r w:rsidRPr="00040822">
        <w:rPr>
          <w:lang w:val="en-GB"/>
        </w:rPr>
        <w:t xml:space="preserve">. </w:t>
      </w:r>
      <w:r>
        <w:rPr>
          <w:lang w:val="en-GB"/>
        </w:rPr>
        <w:t>The</w:t>
      </w:r>
      <w:r w:rsidRPr="00040822">
        <w:rPr>
          <w:lang w:val="en-GB"/>
        </w:rPr>
        <w:t xml:space="preserve"> fea</w:t>
      </w:r>
      <w:r>
        <w:rPr>
          <w:lang w:val="en-GB"/>
        </w:rPr>
        <w:t>sibility and method</w:t>
      </w:r>
      <w:r w:rsidRPr="00040822">
        <w:rPr>
          <w:lang w:val="en-GB"/>
        </w:rPr>
        <w:t xml:space="preserve"> to </w:t>
      </w:r>
      <w:r>
        <w:rPr>
          <w:lang w:val="en-GB"/>
        </w:rPr>
        <w:t>reduce the power consumption were extensively discussed in RAN4</w:t>
      </w:r>
      <w:r w:rsidRPr="00040822">
        <w:rPr>
          <w:lang w:val="en-GB"/>
        </w:rPr>
        <w:t>. The</w:t>
      </w:r>
      <w:r>
        <w:rPr>
          <w:lang w:val="en-GB"/>
        </w:rPr>
        <w:t xml:space="preserve"> considered</w:t>
      </w:r>
      <w:r w:rsidRPr="00040822">
        <w:rPr>
          <w:lang w:val="en-GB"/>
        </w:rPr>
        <w:t xml:space="preserve"> scenario </w:t>
      </w:r>
      <w:r>
        <w:rPr>
          <w:lang w:val="en-GB"/>
        </w:rPr>
        <w:t>comprises of</w:t>
      </w:r>
      <w:r w:rsidRPr="00040822">
        <w:rPr>
          <w:lang w:val="en-GB"/>
        </w:rPr>
        <w:t xml:space="preserve"> two carriers – one with macro cell</w:t>
      </w:r>
      <w:r>
        <w:rPr>
          <w:lang w:val="en-GB"/>
        </w:rPr>
        <w:t xml:space="preserve"> for</w:t>
      </w:r>
      <w:r w:rsidRPr="00040822">
        <w:rPr>
          <w:lang w:val="en-GB"/>
        </w:rPr>
        <w:t xml:space="preserve"> coverage </w:t>
      </w:r>
      <w:r>
        <w:rPr>
          <w:lang w:val="en-GB"/>
        </w:rPr>
        <w:t xml:space="preserve">purpose </w:t>
      </w:r>
      <w:r w:rsidRPr="00040822">
        <w:rPr>
          <w:lang w:val="en-GB"/>
        </w:rPr>
        <w:t>and another with small cells for offloading purpose</w:t>
      </w:r>
      <w:r>
        <w:rPr>
          <w:lang w:val="en-GB"/>
        </w:rPr>
        <w:t>.</w:t>
      </w:r>
      <w:r w:rsidRPr="00040822">
        <w:rPr>
          <w:lang w:val="en-GB"/>
        </w:rPr>
        <w:t xml:space="preserve"> UE is configured to do inter-frequency measurements on the</w:t>
      </w:r>
      <w:r>
        <w:rPr>
          <w:lang w:val="en-GB"/>
        </w:rPr>
        <w:t xml:space="preserve"> offloading layers</w:t>
      </w:r>
      <w:r w:rsidRPr="00040822">
        <w:rPr>
          <w:lang w:val="en-GB"/>
        </w:rPr>
        <w:t xml:space="preserve">. </w:t>
      </w:r>
      <w:r>
        <w:rPr>
          <w:lang w:val="en-GB"/>
        </w:rPr>
        <w:t>Since measuring offloading layers is not critical for both mobility and connectivity operations of UE. RAN2 [</w:t>
      </w:r>
      <w:r w:rsidR="00A27441">
        <w:rPr>
          <w:lang w:val="en-GB"/>
        </w:rPr>
        <w:t>2</w:t>
      </w:r>
      <w:r>
        <w:rPr>
          <w:lang w:val="en-GB"/>
        </w:rPr>
        <w:t>] has suggested relax the requirement for offloading layer measurement.</w:t>
      </w:r>
      <w:r w:rsidR="00EF155A">
        <w:rPr>
          <w:lang w:val="en-GB"/>
        </w:rPr>
        <w:t xml:space="preserve"> Based on previous discussion in RAN4, a general solution is to reduce the resources in term of subframes used for measurement gap from the existing measurement gap configuration. The existing design</w:t>
      </w:r>
      <w:r w:rsidR="00C112E0">
        <w:rPr>
          <w:lang w:val="en-GB"/>
        </w:rPr>
        <w:t>s</w:t>
      </w:r>
      <w:r w:rsidR="00EF155A">
        <w:rPr>
          <w:lang w:val="en-GB"/>
        </w:rPr>
        <w:t xml:space="preserve"> can be classified </w:t>
      </w:r>
      <w:r w:rsidR="00C112E0">
        <w:rPr>
          <w:lang w:val="en-GB"/>
        </w:rPr>
        <w:t>to two options</w:t>
      </w:r>
    </w:p>
    <w:p w:rsidR="00040822" w:rsidRDefault="00EF155A" w:rsidP="009F6FD0">
      <w:pPr>
        <w:pStyle w:val="ListParagraph"/>
        <w:numPr>
          <w:ilvl w:val="0"/>
          <w:numId w:val="4"/>
        </w:numPr>
        <w:rPr>
          <w:lang w:val="en-GB"/>
        </w:rPr>
      </w:pPr>
      <w:r>
        <w:rPr>
          <w:lang w:val="en-GB"/>
        </w:rPr>
        <w:t>Evenly distributed measurement gap with larger MGRP</w:t>
      </w:r>
    </w:p>
    <w:p w:rsidR="00EF155A" w:rsidRDefault="00C112E0" w:rsidP="009F6FD0">
      <w:pPr>
        <w:pStyle w:val="ListParagraph"/>
        <w:numPr>
          <w:ilvl w:val="0"/>
          <w:numId w:val="4"/>
        </w:numPr>
        <w:rPr>
          <w:lang w:val="en-GB"/>
        </w:rPr>
      </w:pPr>
      <w:r>
        <w:rPr>
          <w:lang w:val="en-GB"/>
        </w:rPr>
        <w:t>Unevenly distributed measurement gap with short MGRP</w:t>
      </w:r>
      <w:r w:rsidR="003F6EC2">
        <w:rPr>
          <w:lang w:val="en-GB"/>
        </w:rPr>
        <w:t xml:space="preserve"> [</w:t>
      </w:r>
      <w:r w:rsidR="00A27441">
        <w:rPr>
          <w:lang w:val="en-GB"/>
        </w:rPr>
        <w:t>3</w:t>
      </w:r>
      <w:r w:rsidR="003F6EC2">
        <w:rPr>
          <w:lang w:val="en-GB"/>
        </w:rPr>
        <w:t>]</w:t>
      </w:r>
    </w:p>
    <w:p w:rsidR="002F7F71" w:rsidRDefault="00A4344D" w:rsidP="00637E56">
      <w:pPr>
        <w:pStyle w:val="Heading1"/>
        <w:numPr>
          <w:ilvl w:val="0"/>
          <w:numId w:val="2"/>
        </w:numPr>
        <w:rPr>
          <w:rFonts w:ascii="Calibri" w:hAnsi="Calibri"/>
        </w:rPr>
      </w:pPr>
      <w:r>
        <w:rPr>
          <w:rFonts w:ascii="Calibri" w:hAnsi="Calibri"/>
        </w:rPr>
        <w:tab/>
      </w:r>
      <w:r w:rsidR="002F7F71">
        <w:rPr>
          <w:rFonts w:ascii="Calibri" w:hAnsi="Calibri"/>
        </w:rPr>
        <w:t xml:space="preserve">Some considerations on </w:t>
      </w:r>
      <w:proofErr w:type="spellStart"/>
      <w:r w:rsidR="002F7F71">
        <w:rPr>
          <w:rFonts w:ascii="Calibri" w:hAnsi="Calibri"/>
        </w:rPr>
        <w:t>Hetnet</w:t>
      </w:r>
      <w:proofErr w:type="spellEnd"/>
      <w:r w:rsidR="002F7F71">
        <w:rPr>
          <w:rFonts w:ascii="Calibri" w:hAnsi="Calibri"/>
        </w:rPr>
        <w:t xml:space="preserve"> mobility scenarios</w:t>
      </w:r>
    </w:p>
    <w:p w:rsidR="002F7F71" w:rsidRPr="00C455E9" w:rsidRDefault="002F7F71" w:rsidP="009F6FD0">
      <w:pPr>
        <w:pStyle w:val="ListParagraph"/>
        <w:numPr>
          <w:ilvl w:val="0"/>
          <w:numId w:val="5"/>
        </w:numPr>
        <w:rPr>
          <w:i/>
          <w:u w:val="single"/>
          <w:lang w:eastAsia="x-none"/>
        </w:rPr>
      </w:pPr>
      <w:r w:rsidRPr="00C455E9">
        <w:rPr>
          <w:i/>
          <w:u w:val="single"/>
          <w:lang w:eastAsia="x-none"/>
        </w:rPr>
        <w:t>Can MGRP be increased too much?</w:t>
      </w:r>
    </w:p>
    <w:p w:rsidR="002F7F71" w:rsidRPr="002F7F71" w:rsidRDefault="002F7F71" w:rsidP="009F6FD0">
      <w:pPr>
        <w:pStyle w:val="ListParagraph"/>
        <w:numPr>
          <w:ilvl w:val="1"/>
          <w:numId w:val="4"/>
        </w:numPr>
        <w:rPr>
          <w:lang w:val="en-GB"/>
        </w:rPr>
      </w:pPr>
      <w:r w:rsidRPr="002F7F71">
        <w:rPr>
          <w:lang w:eastAsia="x-none"/>
        </w:rPr>
        <w:t>It is arguable how effective of increasing MGRP</w:t>
      </w:r>
      <w:r>
        <w:rPr>
          <w:lang w:eastAsia="x-none"/>
        </w:rPr>
        <w:t xml:space="preserve"> in </w:t>
      </w:r>
      <w:proofErr w:type="spellStart"/>
      <w:r>
        <w:rPr>
          <w:lang w:eastAsia="x-none"/>
        </w:rPr>
        <w:t>H</w:t>
      </w:r>
      <w:r w:rsidRPr="002F7F71">
        <w:rPr>
          <w:lang w:eastAsia="x-none"/>
        </w:rPr>
        <w:t>etnet</w:t>
      </w:r>
      <w:proofErr w:type="spellEnd"/>
      <w:r w:rsidRPr="002F7F71">
        <w:rPr>
          <w:lang w:eastAsia="x-none"/>
        </w:rPr>
        <w:t xml:space="preserve"> mobility scenarios.</w:t>
      </w:r>
      <w:r>
        <w:rPr>
          <w:lang w:eastAsia="x-none"/>
        </w:rPr>
        <w:t xml:space="preserve"> </w:t>
      </w:r>
      <w:r>
        <w:rPr>
          <w:lang w:val="en-GB"/>
        </w:rPr>
        <w:t>AGC adjustment can be one of major concerns of this option. For example, large MGRP may result in longer time for AGC adjustment. In the extreme cases, UE may not be able to finish RF tuning within 500us and fail PSS/SSS detection. However, it requires further study on how large MGRP is too large.</w:t>
      </w:r>
    </w:p>
    <w:p w:rsidR="002F7F71" w:rsidRPr="00C455E9" w:rsidRDefault="002F7F71" w:rsidP="009F6FD0">
      <w:pPr>
        <w:pStyle w:val="ListParagraph"/>
        <w:numPr>
          <w:ilvl w:val="0"/>
          <w:numId w:val="5"/>
        </w:numPr>
        <w:rPr>
          <w:rFonts w:cstheme="minorHAnsi"/>
          <w:i/>
          <w:u w:val="single"/>
          <w:lang w:eastAsia="x-none"/>
        </w:rPr>
      </w:pPr>
      <w:r w:rsidRPr="00C455E9">
        <w:rPr>
          <w:rFonts w:cstheme="minorHAnsi"/>
          <w:i/>
          <w:u w:val="single"/>
          <w:lang w:eastAsia="x-none"/>
        </w:rPr>
        <w:t>Which option is better, evenly or unevenly distributed measurement gaps?</w:t>
      </w:r>
    </w:p>
    <w:p w:rsidR="00637E56" w:rsidRPr="00EF155A" w:rsidRDefault="00637E56" w:rsidP="009F6FD0">
      <w:pPr>
        <w:pStyle w:val="ListParagraph"/>
        <w:numPr>
          <w:ilvl w:val="1"/>
          <w:numId w:val="5"/>
        </w:numPr>
        <w:rPr>
          <w:lang w:val="en-GB"/>
        </w:rPr>
      </w:pPr>
      <w:r>
        <w:rPr>
          <w:lang w:val="en-GB"/>
        </w:rPr>
        <w:t>Evenly distributed case largely depends on MGRP and related AGC restriction. However, unevenly distributed case may restrict certain UE implementation flexibility. For example, the measurement for different layers may have to be done in sequential order. Also, the feasibility of this option to mixed layers case is questionable. In contrast, evenly distributed measurement gap pattern demonstrates certain advantages on those aspects.</w:t>
      </w:r>
    </w:p>
    <w:p w:rsidR="00637E56" w:rsidRPr="00C455E9" w:rsidRDefault="00637E56" w:rsidP="009F6FD0">
      <w:pPr>
        <w:pStyle w:val="ListParagraph"/>
        <w:numPr>
          <w:ilvl w:val="0"/>
          <w:numId w:val="5"/>
        </w:numPr>
        <w:rPr>
          <w:rFonts w:cstheme="minorHAnsi"/>
          <w:i/>
          <w:u w:val="single"/>
          <w:lang w:eastAsia="x-none"/>
        </w:rPr>
      </w:pPr>
      <w:r w:rsidRPr="00C455E9">
        <w:rPr>
          <w:rFonts w:cstheme="minorHAnsi"/>
          <w:i/>
          <w:u w:val="single"/>
          <w:lang w:eastAsia="x-none"/>
        </w:rPr>
        <w:t>Can MGL be reduced?</w:t>
      </w:r>
    </w:p>
    <w:p w:rsidR="00637E56" w:rsidRPr="002F7F71" w:rsidRDefault="00637E56" w:rsidP="009F6FD0">
      <w:pPr>
        <w:pStyle w:val="ListParagraph"/>
        <w:numPr>
          <w:ilvl w:val="1"/>
          <w:numId w:val="5"/>
        </w:numPr>
        <w:rPr>
          <w:rFonts w:cstheme="minorHAnsi"/>
          <w:lang w:eastAsia="x-none"/>
        </w:rPr>
      </w:pPr>
      <w:r>
        <w:rPr>
          <w:rFonts w:cstheme="minorHAnsi"/>
          <w:lang w:eastAsia="x-none"/>
        </w:rPr>
        <w:t>In [</w:t>
      </w:r>
      <w:r w:rsidR="00A27441">
        <w:rPr>
          <w:rFonts w:cstheme="minorHAnsi"/>
          <w:lang w:eastAsia="x-none"/>
        </w:rPr>
        <w:t>4</w:t>
      </w:r>
      <w:r>
        <w:rPr>
          <w:rFonts w:cstheme="minorHAnsi"/>
          <w:lang w:eastAsia="x-none"/>
        </w:rPr>
        <w:t xml:space="preserve">], it has been pointed out that it is possible to reduce MGL in synchronous network. This can effectively save UE power consumption or improve UE scheduling opportunity. However, its usage is restricted and strictly depends on synchronous network assumption. </w:t>
      </w:r>
    </w:p>
    <w:p w:rsidR="002F7F71" w:rsidRDefault="00637E56" w:rsidP="002F7F71">
      <w:pPr>
        <w:rPr>
          <w:lang w:eastAsia="x-none"/>
        </w:rPr>
      </w:pPr>
      <w:r>
        <w:rPr>
          <w:lang w:eastAsia="x-none"/>
        </w:rPr>
        <w:t xml:space="preserve">Based on aforementioned considerations, the desired solution should </w:t>
      </w:r>
      <w:r w:rsidR="00675B9B">
        <w:rPr>
          <w:lang w:eastAsia="x-none"/>
        </w:rPr>
        <w:t>have</w:t>
      </w:r>
    </w:p>
    <w:p w:rsidR="00675B9B" w:rsidRDefault="00675B9B" w:rsidP="009F6FD0">
      <w:pPr>
        <w:pStyle w:val="ListParagraph"/>
        <w:numPr>
          <w:ilvl w:val="0"/>
          <w:numId w:val="6"/>
        </w:numPr>
        <w:rPr>
          <w:lang w:eastAsia="x-none"/>
        </w:rPr>
      </w:pPr>
      <w:r>
        <w:rPr>
          <w:lang w:eastAsia="x-none"/>
        </w:rPr>
        <w:t>Reduced MGL</w:t>
      </w:r>
    </w:p>
    <w:p w:rsidR="00675B9B" w:rsidRDefault="00675B9B" w:rsidP="009F6FD0">
      <w:pPr>
        <w:pStyle w:val="ListParagraph"/>
        <w:numPr>
          <w:ilvl w:val="0"/>
          <w:numId w:val="6"/>
        </w:numPr>
        <w:rPr>
          <w:lang w:eastAsia="x-none"/>
        </w:rPr>
      </w:pPr>
      <w:r>
        <w:rPr>
          <w:lang w:eastAsia="x-none"/>
        </w:rPr>
        <w:t>Evenly distributed measurement gap pattern</w:t>
      </w:r>
    </w:p>
    <w:p w:rsidR="00675B9B" w:rsidRDefault="00C15633" w:rsidP="009F6FD0">
      <w:pPr>
        <w:pStyle w:val="ListParagraph"/>
        <w:numPr>
          <w:ilvl w:val="0"/>
          <w:numId w:val="6"/>
        </w:numPr>
        <w:rPr>
          <w:lang w:eastAsia="x-none"/>
        </w:rPr>
      </w:pPr>
      <w:r>
        <w:rPr>
          <w:lang w:eastAsia="x-none"/>
        </w:rPr>
        <w:t>Medium</w:t>
      </w:r>
      <w:r w:rsidR="00675B9B">
        <w:rPr>
          <w:lang w:eastAsia="x-none"/>
        </w:rPr>
        <w:t xml:space="preserve"> MGRP</w:t>
      </w:r>
    </w:p>
    <w:p w:rsidR="00A27441" w:rsidRPr="002F7F71" w:rsidRDefault="00A27441" w:rsidP="009F6FD0">
      <w:pPr>
        <w:pStyle w:val="ListParagraph"/>
        <w:numPr>
          <w:ilvl w:val="0"/>
          <w:numId w:val="6"/>
        </w:numPr>
        <w:rPr>
          <w:lang w:eastAsia="x-none"/>
        </w:rPr>
      </w:pPr>
      <w:r>
        <w:rPr>
          <w:lang w:eastAsia="x-none"/>
        </w:rPr>
        <w:t xml:space="preserve">Compatibility in both sync and </w:t>
      </w:r>
      <w:proofErr w:type="spellStart"/>
      <w:r>
        <w:rPr>
          <w:lang w:eastAsia="x-none"/>
        </w:rPr>
        <w:t>async</w:t>
      </w:r>
      <w:proofErr w:type="spellEnd"/>
      <w:r>
        <w:rPr>
          <w:lang w:eastAsia="x-none"/>
        </w:rPr>
        <w:t xml:space="preserve"> networks</w:t>
      </w:r>
    </w:p>
    <w:p w:rsidR="00675B9B" w:rsidRDefault="00675B9B" w:rsidP="00CE0D5E">
      <w:pPr>
        <w:pStyle w:val="Heading1"/>
        <w:numPr>
          <w:ilvl w:val="0"/>
          <w:numId w:val="2"/>
        </w:numPr>
        <w:rPr>
          <w:rFonts w:ascii="Calibri" w:hAnsi="Calibri"/>
        </w:rPr>
      </w:pPr>
      <w:r>
        <w:rPr>
          <w:rFonts w:ascii="Calibri" w:hAnsi="Calibri"/>
        </w:rPr>
        <w:lastRenderedPageBreak/>
        <w:t xml:space="preserve">New measurement gap configuration for </w:t>
      </w:r>
      <w:proofErr w:type="spellStart"/>
      <w:r>
        <w:rPr>
          <w:rFonts w:ascii="Calibri" w:hAnsi="Calibri"/>
        </w:rPr>
        <w:t>Hetnet</w:t>
      </w:r>
      <w:proofErr w:type="spellEnd"/>
      <w:r>
        <w:rPr>
          <w:rFonts w:ascii="Calibri" w:hAnsi="Calibri"/>
        </w:rPr>
        <w:t xml:space="preserve"> scenarios</w:t>
      </w:r>
    </w:p>
    <w:p w:rsidR="00675B9B" w:rsidRDefault="00675B9B" w:rsidP="00675B9B">
      <w:pPr>
        <w:rPr>
          <w:lang w:val="en-GB" w:eastAsia="en-US"/>
        </w:rPr>
      </w:pPr>
      <w:r>
        <w:rPr>
          <w:lang w:val="en-GB" w:eastAsia="en-US"/>
        </w:rPr>
        <w:t xml:space="preserve">The proposed measurement gap configuration for </w:t>
      </w:r>
      <w:proofErr w:type="spellStart"/>
      <w:r>
        <w:rPr>
          <w:lang w:val="en-GB" w:eastAsia="en-US"/>
        </w:rPr>
        <w:t>Hetnet</w:t>
      </w:r>
      <w:proofErr w:type="spellEnd"/>
      <w:r>
        <w:rPr>
          <w:lang w:val="en-GB" w:eastAsia="en-US"/>
        </w:rPr>
        <w:t xml:space="preserve"> scenarios can be illustrated in Figure 1</w:t>
      </w:r>
      <w:r w:rsidR="00A128C5">
        <w:rPr>
          <w:lang w:val="en-GB" w:eastAsia="en-US"/>
        </w:rPr>
        <w:t>-3, with different MGL (e.g. 4ms, 3ms and 2ms) assumed</w:t>
      </w:r>
      <w:r w:rsidR="00627CBE">
        <w:rPr>
          <w:lang w:val="en-GB" w:eastAsia="en-US"/>
        </w:rPr>
        <w:t xml:space="preserve">. </w:t>
      </w:r>
    </w:p>
    <w:p w:rsidR="00A128C5" w:rsidRDefault="00A128C5" w:rsidP="00A128C5">
      <w:pPr>
        <w:keepNext/>
      </w:pPr>
      <w:r w:rsidRPr="00A128C5">
        <w:rPr>
          <w:noProof/>
        </w:rPr>
        <w:drawing>
          <wp:inline distT="0" distB="0" distL="0" distR="0" wp14:anchorId="0859697B" wp14:editId="69305757">
            <wp:extent cx="5943600" cy="611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611505"/>
                    </a:xfrm>
                    <a:prstGeom prst="rect">
                      <a:avLst/>
                    </a:prstGeom>
                  </pic:spPr>
                </pic:pic>
              </a:graphicData>
            </a:graphic>
          </wp:inline>
        </w:drawing>
      </w:r>
    </w:p>
    <w:p w:rsidR="00A128C5" w:rsidRPr="002D4AAE" w:rsidRDefault="00A128C5" w:rsidP="00A128C5">
      <w:pPr>
        <w:pStyle w:val="Caption"/>
        <w:rPr>
          <w:lang w:val="en-US" w:eastAsia="en-US"/>
        </w:rPr>
      </w:pPr>
      <w:r>
        <w:t xml:space="preserve">Figure </w:t>
      </w:r>
      <w:r w:rsidR="002C67BF">
        <w:fldChar w:fldCharType="begin"/>
      </w:r>
      <w:r w:rsidR="002C67BF">
        <w:instrText xml:space="preserve"> SEQ Figure \* ARABIC </w:instrText>
      </w:r>
      <w:r w:rsidR="002C67BF">
        <w:fldChar w:fldCharType="separate"/>
      </w:r>
      <w:r w:rsidR="00627CBE">
        <w:rPr>
          <w:noProof/>
        </w:rPr>
        <w:t>1</w:t>
      </w:r>
      <w:r w:rsidR="002C67BF">
        <w:rPr>
          <w:noProof/>
        </w:rPr>
        <w:fldChar w:fldCharType="end"/>
      </w:r>
      <w:r w:rsidR="002D4AAE">
        <w:rPr>
          <w:lang w:val="en-US"/>
        </w:rPr>
        <w:t>: Illustration of proposed measurement gap configuration with MGL=4ms</w:t>
      </w:r>
    </w:p>
    <w:p w:rsidR="00627CBE" w:rsidRDefault="00A128C5" w:rsidP="00627CBE">
      <w:pPr>
        <w:keepNext/>
      </w:pPr>
      <w:r w:rsidRPr="00A128C5">
        <w:rPr>
          <w:noProof/>
        </w:rPr>
        <w:drawing>
          <wp:inline distT="0" distB="0" distL="0" distR="0" wp14:anchorId="066E740D" wp14:editId="5666D7E9">
            <wp:extent cx="5943600" cy="6197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619760"/>
                    </a:xfrm>
                    <a:prstGeom prst="rect">
                      <a:avLst/>
                    </a:prstGeom>
                  </pic:spPr>
                </pic:pic>
              </a:graphicData>
            </a:graphic>
          </wp:inline>
        </w:drawing>
      </w:r>
    </w:p>
    <w:p w:rsidR="00A128C5" w:rsidRPr="002D4AAE" w:rsidRDefault="00627CBE" w:rsidP="00627CBE">
      <w:pPr>
        <w:pStyle w:val="Caption"/>
        <w:rPr>
          <w:lang w:val="en-US" w:eastAsia="en-US"/>
        </w:rPr>
      </w:pPr>
      <w:r>
        <w:t xml:space="preserve">Figure </w:t>
      </w:r>
      <w:r w:rsidR="002C67BF">
        <w:fldChar w:fldCharType="begin"/>
      </w:r>
      <w:r w:rsidR="002C67BF">
        <w:instrText xml:space="preserve"> SEQ Figure \* ARABIC </w:instrText>
      </w:r>
      <w:r w:rsidR="002C67BF">
        <w:fldChar w:fldCharType="separate"/>
      </w:r>
      <w:r>
        <w:rPr>
          <w:noProof/>
        </w:rPr>
        <w:t>2</w:t>
      </w:r>
      <w:r w:rsidR="002C67BF">
        <w:rPr>
          <w:noProof/>
        </w:rPr>
        <w:fldChar w:fldCharType="end"/>
      </w:r>
      <w:r w:rsidR="002D4AAE">
        <w:rPr>
          <w:lang w:val="en-US"/>
        </w:rPr>
        <w:t>: Illustration of proposed measurement gap configuration with MGL=3ms</w:t>
      </w:r>
    </w:p>
    <w:p w:rsidR="00627CBE" w:rsidRDefault="00A128C5" w:rsidP="00627CBE">
      <w:pPr>
        <w:keepNext/>
      </w:pPr>
      <w:r w:rsidRPr="00A128C5">
        <w:rPr>
          <w:noProof/>
        </w:rPr>
        <w:drawing>
          <wp:inline distT="0" distB="0" distL="0" distR="0" wp14:anchorId="15791D85" wp14:editId="626E3B80">
            <wp:extent cx="5943600" cy="6280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628015"/>
                    </a:xfrm>
                    <a:prstGeom prst="rect">
                      <a:avLst/>
                    </a:prstGeom>
                  </pic:spPr>
                </pic:pic>
              </a:graphicData>
            </a:graphic>
          </wp:inline>
        </w:drawing>
      </w:r>
    </w:p>
    <w:p w:rsidR="00A128C5" w:rsidRPr="002D4AAE" w:rsidRDefault="00627CBE" w:rsidP="00627CBE">
      <w:pPr>
        <w:pStyle w:val="Caption"/>
        <w:rPr>
          <w:lang w:val="en-US"/>
        </w:rPr>
      </w:pPr>
      <w:r>
        <w:t xml:space="preserve">Figure </w:t>
      </w:r>
      <w:r w:rsidR="002C67BF">
        <w:fldChar w:fldCharType="begin"/>
      </w:r>
      <w:r w:rsidR="002C67BF">
        <w:instrText xml:space="preserve"> SEQ Figure \* ARABIC </w:instrText>
      </w:r>
      <w:r w:rsidR="002C67BF">
        <w:fldChar w:fldCharType="separate"/>
      </w:r>
      <w:r>
        <w:rPr>
          <w:noProof/>
        </w:rPr>
        <w:t>3</w:t>
      </w:r>
      <w:r w:rsidR="002C67BF">
        <w:rPr>
          <w:noProof/>
        </w:rPr>
        <w:fldChar w:fldCharType="end"/>
      </w:r>
      <w:r w:rsidR="002D4AAE">
        <w:rPr>
          <w:lang w:val="en-US"/>
        </w:rPr>
        <w:t>: Illustration of proposed measurement gap configuration with MGL=2ms</w:t>
      </w:r>
    </w:p>
    <w:p w:rsidR="00627CBE" w:rsidRDefault="00627CBE" w:rsidP="00627CBE">
      <w:pPr>
        <w:rPr>
          <w:lang w:eastAsia="x-none"/>
        </w:rPr>
      </w:pPr>
      <w:r>
        <w:rPr>
          <w:lang w:eastAsia="x-none"/>
        </w:rPr>
        <w:t>Depending on MGL, the offset of measurement gap is shifted from the previous one.</w:t>
      </w:r>
      <w:r w:rsidR="002D4AAE">
        <w:rPr>
          <w:lang w:eastAsia="x-none"/>
        </w:rPr>
        <w:t xml:space="preserve"> In other words, the distance between adjacent measurement gap boundaries is not exact MGRP.</w:t>
      </w:r>
      <w:r>
        <w:rPr>
          <w:lang w:eastAsia="x-none"/>
        </w:rPr>
        <w:t xml:space="preserve"> By doing so, PSS/SSS detection can be guaranteed within PSS/SSS </w:t>
      </w:r>
      <w:r w:rsidR="0014728B">
        <w:rPr>
          <w:lang w:eastAsia="x-none"/>
        </w:rPr>
        <w:t>searching</w:t>
      </w:r>
      <w:r>
        <w:rPr>
          <w:lang w:eastAsia="x-none"/>
        </w:rPr>
        <w:t xml:space="preserve"> window as shown in</w:t>
      </w:r>
      <w:r w:rsidR="002D4AAE">
        <w:rPr>
          <w:lang w:eastAsia="x-none"/>
        </w:rPr>
        <w:t xml:space="preserve"> Figure 1-3 and</w:t>
      </w:r>
      <w:r>
        <w:rPr>
          <w:lang w:eastAsia="x-none"/>
        </w:rPr>
        <w:t xml:space="preserve"> Table 1</w:t>
      </w:r>
    </w:p>
    <w:p w:rsidR="0014728B" w:rsidRPr="0014728B" w:rsidRDefault="0014728B" w:rsidP="0014728B">
      <w:pPr>
        <w:pStyle w:val="Caption"/>
        <w:keepNext/>
        <w:jc w:val="center"/>
        <w:rPr>
          <w:lang w:val="en-US"/>
        </w:rPr>
      </w:pPr>
      <w:r>
        <w:t xml:space="preserve">Table </w:t>
      </w:r>
      <w:r w:rsidR="002C67BF">
        <w:fldChar w:fldCharType="begin"/>
      </w:r>
      <w:r w:rsidR="002C67BF">
        <w:instrText xml:space="preserve"> SEQ Tabl</w:instrText>
      </w:r>
      <w:r w:rsidR="002C67BF">
        <w:instrText xml:space="preserve">e \* ARABIC </w:instrText>
      </w:r>
      <w:r w:rsidR="002C67BF">
        <w:fldChar w:fldCharType="separate"/>
      </w:r>
      <w:r>
        <w:rPr>
          <w:noProof/>
        </w:rPr>
        <w:t>1</w:t>
      </w:r>
      <w:r w:rsidR="002C67BF">
        <w:rPr>
          <w:noProof/>
        </w:rPr>
        <w:fldChar w:fldCharType="end"/>
      </w:r>
      <w:r>
        <w:rPr>
          <w:lang w:val="en-US"/>
        </w:rPr>
        <w:t xml:space="preserve">: </w:t>
      </w:r>
      <w:r w:rsidR="002D4AAE">
        <w:rPr>
          <w:lang w:val="en-US"/>
        </w:rPr>
        <w:t>Comparison of proposed schemes with different MGL</w:t>
      </w:r>
    </w:p>
    <w:tbl>
      <w:tblPr>
        <w:tblStyle w:val="TableGrid"/>
        <w:tblW w:w="0" w:type="auto"/>
        <w:jc w:val="center"/>
        <w:tblLook w:val="04A0" w:firstRow="1" w:lastRow="0" w:firstColumn="1" w:lastColumn="0" w:noHBand="0" w:noVBand="1"/>
      </w:tblPr>
      <w:tblGrid>
        <w:gridCol w:w="1368"/>
        <w:gridCol w:w="2433"/>
        <w:gridCol w:w="2433"/>
      </w:tblGrid>
      <w:tr w:rsidR="002D4AAE" w:rsidTr="00194968">
        <w:trPr>
          <w:jc w:val="center"/>
        </w:trPr>
        <w:tc>
          <w:tcPr>
            <w:tcW w:w="1368" w:type="dxa"/>
          </w:tcPr>
          <w:p w:rsidR="002D4AAE" w:rsidRPr="00627CBE" w:rsidRDefault="002D4AAE" w:rsidP="00627CBE">
            <w:pPr>
              <w:rPr>
                <w:sz w:val="18"/>
                <w:lang w:eastAsia="x-none"/>
              </w:rPr>
            </w:pPr>
            <w:r w:rsidRPr="00627CBE">
              <w:rPr>
                <w:sz w:val="18"/>
                <w:lang w:eastAsia="x-none"/>
              </w:rPr>
              <w:t>MGL (</w:t>
            </w:r>
            <w:proofErr w:type="spellStart"/>
            <w:r w:rsidRPr="00627CBE">
              <w:rPr>
                <w:sz w:val="18"/>
                <w:lang w:eastAsia="x-none"/>
              </w:rPr>
              <w:t>ms</w:t>
            </w:r>
            <w:proofErr w:type="spellEnd"/>
            <w:r w:rsidRPr="00627CBE">
              <w:rPr>
                <w:sz w:val="18"/>
                <w:lang w:eastAsia="x-none"/>
              </w:rPr>
              <w:t>)</w:t>
            </w:r>
          </w:p>
        </w:tc>
        <w:tc>
          <w:tcPr>
            <w:tcW w:w="2433" w:type="dxa"/>
          </w:tcPr>
          <w:p w:rsidR="002D4AAE" w:rsidRPr="00627CBE" w:rsidRDefault="002D4AAE" w:rsidP="00627CBE">
            <w:pPr>
              <w:rPr>
                <w:sz w:val="18"/>
                <w:lang w:eastAsia="x-none"/>
              </w:rPr>
            </w:pPr>
            <w:r>
              <w:rPr>
                <w:sz w:val="18"/>
                <w:lang w:eastAsia="x-none"/>
              </w:rPr>
              <w:t xml:space="preserve">PSS/SSS searching </w:t>
            </w:r>
            <w:r w:rsidRPr="00627CBE">
              <w:rPr>
                <w:sz w:val="18"/>
                <w:lang w:eastAsia="x-none"/>
              </w:rPr>
              <w:t>window</w:t>
            </w:r>
          </w:p>
        </w:tc>
        <w:tc>
          <w:tcPr>
            <w:tcW w:w="2433" w:type="dxa"/>
          </w:tcPr>
          <w:p w:rsidR="002D4AAE" w:rsidRDefault="002D4AAE" w:rsidP="00627CBE">
            <w:pPr>
              <w:rPr>
                <w:sz w:val="18"/>
                <w:lang w:eastAsia="x-none"/>
              </w:rPr>
            </w:pPr>
            <w:r>
              <w:rPr>
                <w:sz w:val="18"/>
                <w:lang w:eastAsia="x-none"/>
              </w:rPr>
              <w:t>Measurement gap overhead (MGL/MGRP)</w:t>
            </w:r>
          </w:p>
        </w:tc>
      </w:tr>
      <w:tr w:rsidR="002D4AAE" w:rsidTr="00194968">
        <w:trPr>
          <w:jc w:val="center"/>
        </w:trPr>
        <w:tc>
          <w:tcPr>
            <w:tcW w:w="1368" w:type="dxa"/>
          </w:tcPr>
          <w:p w:rsidR="002D4AAE" w:rsidRPr="00627CBE" w:rsidRDefault="002D4AAE" w:rsidP="00627CBE">
            <w:pPr>
              <w:rPr>
                <w:sz w:val="18"/>
                <w:lang w:eastAsia="x-none"/>
              </w:rPr>
            </w:pPr>
            <w:r w:rsidRPr="00627CBE">
              <w:rPr>
                <w:sz w:val="18"/>
                <w:lang w:eastAsia="x-none"/>
              </w:rPr>
              <w:t>6</w:t>
            </w:r>
          </w:p>
        </w:tc>
        <w:tc>
          <w:tcPr>
            <w:tcW w:w="2433" w:type="dxa"/>
          </w:tcPr>
          <w:p w:rsidR="002D4AAE" w:rsidRPr="00627CBE" w:rsidRDefault="002D4AAE" w:rsidP="00627CBE">
            <w:pPr>
              <w:rPr>
                <w:sz w:val="18"/>
                <w:lang w:eastAsia="x-none"/>
              </w:rPr>
            </w:pPr>
            <w:r w:rsidRPr="00627CBE">
              <w:rPr>
                <w:sz w:val="18"/>
                <w:lang w:eastAsia="x-none"/>
              </w:rPr>
              <w:t>6ms</w:t>
            </w:r>
          </w:p>
        </w:tc>
        <w:tc>
          <w:tcPr>
            <w:tcW w:w="2433" w:type="dxa"/>
          </w:tcPr>
          <w:p w:rsidR="002D4AAE" w:rsidRPr="00627CBE" w:rsidRDefault="002D4AAE" w:rsidP="00627CBE">
            <w:pPr>
              <w:rPr>
                <w:sz w:val="18"/>
                <w:lang w:eastAsia="x-none"/>
              </w:rPr>
            </w:pPr>
            <w:r>
              <w:rPr>
                <w:sz w:val="18"/>
                <w:lang w:eastAsia="x-none"/>
              </w:rPr>
              <w:t>15%</w:t>
            </w:r>
          </w:p>
        </w:tc>
      </w:tr>
      <w:tr w:rsidR="002D4AAE" w:rsidTr="00194968">
        <w:trPr>
          <w:jc w:val="center"/>
        </w:trPr>
        <w:tc>
          <w:tcPr>
            <w:tcW w:w="1368" w:type="dxa"/>
          </w:tcPr>
          <w:p w:rsidR="002D4AAE" w:rsidRPr="00627CBE" w:rsidRDefault="002D4AAE" w:rsidP="00627CBE">
            <w:pPr>
              <w:rPr>
                <w:sz w:val="18"/>
                <w:lang w:eastAsia="x-none"/>
              </w:rPr>
            </w:pPr>
            <w:r w:rsidRPr="00627CBE">
              <w:rPr>
                <w:sz w:val="18"/>
                <w:lang w:eastAsia="x-none"/>
              </w:rPr>
              <w:t>4</w:t>
            </w:r>
          </w:p>
        </w:tc>
        <w:tc>
          <w:tcPr>
            <w:tcW w:w="2433" w:type="dxa"/>
          </w:tcPr>
          <w:p w:rsidR="002D4AAE" w:rsidRPr="00627CBE" w:rsidRDefault="002D4AAE" w:rsidP="00627CBE">
            <w:pPr>
              <w:rPr>
                <w:sz w:val="18"/>
                <w:lang w:eastAsia="x-none"/>
              </w:rPr>
            </w:pPr>
            <w:r w:rsidRPr="00627CBE">
              <w:rPr>
                <w:sz w:val="18"/>
                <w:lang w:eastAsia="x-none"/>
              </w:rPr>
              <w:t>MGRP+6ms</w:t>
            </w:r>
          </w:p>
        </w:tc>
        <w:tc>
          <w:tcPr>
            <w:tcW w:w="2433" w:type="dxa"/>
          </w:tcPr>
          <w:p w:rsidR="002D4AAE" w:rsidRPr="00627CBE" w:rsidRDefault="002D4AAE" w:rsidP="00627CBE">
            <w:pPr>
              <w:rPr>
                <w:sz w:val="18"/>
                <w:lang w:eastAsia="x-none"/>
              </w:rPr>
            </w:pPr>
            <w:r>
              <w:rPr>
                <w:sz w:val="18"/>
                <w:lang w:eastAsia="x-none"/>
              </w:rPr>
              <w:t>10%</w:t>
            </w:r>
          </w:p>
        </w:tc>
      </w:tr>
      <w:tr w:rsidR="002D4AAE" w:rsidTr="00194968">
        <w:trPr>
          <w:jc w:val="center"/>
        </w:trPr>
        <w:tc>
          <w:tcPr>
            <w:tcW w:w="1368" w:type="dxa"/>
          </w:tcPr>
          <w:p w:rsidR="002D4AAE" w:rsidRPr="00627CBE" w:rsidRDefault="002D4AAE" w:rsidP="00627CBE">
            <w:pPr>
              <w:rPr>
                <w:sz w:val="18"/>
                <w:lang w:eastAsia="x-none"/>
              </w:rPr>
            </w:pPr>
            <w:r w:rsidRPr="00627CBE">
              <w:rPr>
                <w:sz w:val="18"/>
                <w:lang w:eastAsia="x-none"/>
              </w:rPr>
              <w:t>3</w:t>
            </w:r>
          </w:p>
        </w:tc>
        <w:tc>
          <w:tcPr>
            <w:tcW w:w="2433" w:type="dxa"/>
          </w:tcPr>
          <w:p w:rsidR="002D4AAE" w:rsidRPr="00627CBE" w:rsidRDefault="002D4AAE" w:rsidP="00627CBE">
            <w:pPr>
              <w:rPr>
                <w:sz w:val="18"/>
                <w:lang w:eastAsia="x-none"/>
              </w:rPr>
            </w:pPr>
            <w:r w:rsidRPr="00627CBE">
              <w:rPr>
                <w:sz w:val="18"/>
                <w:lang w:eastAsia="x-none"/>
              </w:rPr>
              <w:t>2*MGRP+6ms</w:t>
            </w:r>
          </w:p>
        </w:tc>
        <w:tc>
          <w:tcPr>
            <w:tcW w:w="2433" w:type="dxa"/>
          </w:tcPr>
          <w:p w:rsidR="002D4AAE" w:rsidRPr="00627CBE" w:rsidRDefault="002D4AAE" w:rsidP="00627CBE">
            <w:pPr>
              <w:rPr>
                <w:sz w:val="18"/>
                <w:lang w:eastAsia="x-none"/>
              </w:rPr>
            </w:pPr>
            <w:r>
              <w:rPr>
                <w:sz w:val="18"/>
                <w:lang w:eastAsia="x-none"/>
              </w:rPr>
              <w:t>7.5%</w:t>
            </w:r>
          </w:p>
        </w:tc>
      </w:tr>
      <w:tr w:rsidR="002D4AAE" w:rsidTr="00194968">
        <w:trPr>
          <w:jc w:val="center"/>
        </w:trPr>
        <w:tc>
          <w:tcPr>
            <w:tcW w:w="1368" w:type="dxa"/>
          </w:tcPr>
          <w:p w:rsidR="002D4AAE" w:rsidRDefault="002D4AAE" w:rsidP="00627CBE">
            <w:pPr>
              <w:rPr>
                <w:lang w:eastAsia="x-none"/>
              </w:rPr>
            </w:pPr>
            <w:r w:rsidRPr="00627CBE">
              <w:rPr>
                <w:sz w:val="18"/>
                <w:lang w:eastAsia="x-none"/>
              </w:rPr>
              <w:t>2</w:t>
            </w:r>
          </w:p>
        </w:tc>
        <w:tc>
          <w:tcPr>
            <w:tcW w:w="2433" w:type="dxa"/>
          </w:tcPr>
          <w:p w:rsidR="002D4AAE" w:rsidRPr="0014728B" w:rsidRDefault="002D4AAE" w:rsidP="00627CBE">
            <w:pPr>
              <w:rPr>
                <w:sz w:val="18"/>
                <w:szCs w:val="18"/>
                <w:lang w:eastAsia="x-none"/>
              </w:rPr>
            </w:pPr>
            <w:r w:rsidRPr="0014728B">
              <w:rPr>
                <w:sz w:val="18"/>
                <w:szCs w:val="18"/>
                <w:lang w:eastAsia="x-none"/>
              </w:rPr>
              <w:t>4*MGRP+6ms</w:t>
            </w:r>
          </w:p>
        </w:tc>
        <w:tc>
          <w:tcPr>
            <w:tcW w:w="2433" w:type="dxa"/>
          </w:tcPr>
          <w:p w:rsidR="002D4AAE" w:rsidRPr="0014728B" w:rsidRDefault="002D4AAE" w:rsidP="00627CBE">
            <w:pPr>
              <w:rPr>
                <w:sz w:val="18"/>
                <w:szCs w:val="18"/>
                <w:lang w:eastAsia="x-none"/>
              </w:rPr>
            </w:pPr>
            <w:r>
              <w:rPr>
                <w:sz w:val="18"/>
                <w:szCs w:val="18"/>
                <w:lang w:eastAsia="x-none"/>
              </w:rPr>
              <w:t>5%</w:t>
            </w:r>
          </w:p>
        </w:tc>
      </w:tr>
    </w:tbl>
    <w:p w:rsidR="002D4AAE" w:rsidRDefault="0014728B" w:rsidP="00627CBE">
      <w:pPr>
        <w:rPr>
          <w:lang w:eastAsia="x-none"/>
        </w:rPr>
      </w:pPr>
      <w:r>
        <w:rPr>
          <w:lang w:eastAsia="x-none"/>
        </w:rPr>
        <w:t>Compared to the legacy measurement gap configurations, the proposed one can reuse the MGRP to ease the AGC concern. Due to reduced MGL, the PSS/SSS searching window is increases. This potentially increases the inter-frequency identification delay. However, once that frequency layer is identified, the corresponding measurement delay should be comparable to t</w:t>
      </w:r>
      <w:r w:rsidR="002D4AAE">
        <w:rPr>
          <w:lang w:eastAsia="x-none"/>
        </w:rPr>
        <w:t>he legacy system. This is because</w:t>
      </w:r>
      <w:r>
        <w:rPr>
          <w:lang w:eastAsia="x-none"/>
        </w:rPr>
        <w:t xml:space="preserve"> the measurement delay and accuracy can be maintained even with shorter MGL (</w:t>
      </w:r>
      <w:r w:rsidR="002D4AAE">
        <w:rPr>
          <w:lang w:eastAsia="x-none"/>
        </w:rPr>
        <w:t>e.g. as short</w:t>
      </w:r>
      <w:r>
        <w:rPr>
          <w:lang w:eastAsia="x-none"/>
        </w:rPr>
        <w:t xml:space="preserve"> as 1 subframe).</w:t>
      </w:r>
      <w:r w:rsidR="002D4AAE">
        <w:rPr>
          <w:lang w:eastAsia="x-none"/>
        </w:rPr>
        <w:t xml:space="preserve"> This feature is especially important when the measu</w:t>
      </w:r>
      <w:r w:rsidR="00036B4C">
        <w:rPr>
          <w:lang w:eastAsia="x-none"/>
        </w:rPr>
        <w:t>red frequencies</w:t>
      </w:r>
      <w:r w:rsidR="002D4AAE">
        <w:rPr>
          <w:lang w:eastAsia="x-none"/>
        </w:rPr>
        <w:t xml:space="preserve"> are mixed of coverage and offloading layers</w:t>
      </w:r>
      <w:r w:rsidR="00036B4C">
        <w:rPr>
          <w:lang w:eastAsia="x-none"/>
        </w:rPr>
        <w:t>.</w:t>
      </w:r>
    </w:p>
    <w:p w:rsidR="00036B4C" w:rsidRDefault="00036B4C" w:rsidP="00627CBE">
      <w:pPr>
        <w:rPr>
          <w:lang w:eastAsia="x-none"/>
        </w:rPr>
      </w:pPr>
      <w:r>
        <w:rPr>
          <w:lang w:eastAsia="x-none"/>
        </w:rPr>
        <w:t xml:space="preserve">More importantly, the proposed measurement gap configuration can save DL resources used for inter-frequency measurement by up to 70%, when MGL is reduced from 6ms to 2ms. The corresponding power saving and/or UE scheduling opportunity improvement are significant. </w:t>
      </w:r>
    </w:p>
    <w:p w:rsidR="00CE0D5E" w:rsidRPr="005466F9" w:rsidRDefault="00CE0D5E" w:rsidP="00CE0D5E">
      <w:pPr>
        <w:pStyle w:val="Heading1"/>
        <w:numPr>
          <w:ilvl w:val="0"/>
          <w:numId w:val="2"/>
        </w:numPr>
        <w:rPr>
          <w:rFonts w:ascii="Calibri" w:hAnsi="Calibri"/>
          <w:lang w:eastAsia="zh-CN"/>
        </w:rPr>
      </w:pPr>
      <w:r w:rsidRPr="005466F9">
        <w:rPr>
          <w:rFonts w:ascii="Calibri" w:hAnsi="Calibri"/>
        </w:rPr>
        <w:t>Conclusion</w:t>
      </w:r>
    </w:p>
    <w:p w:rsidR="00C15633" w:rsidRDefault="00533E88" w:rsidP="00CE0D5E">
      <w:pPr>
        <w:rPr>
          <w:rFonts w:cs="Arial"/>
        </w:rPr>
      </w:pPr>
      <w:r w:rsidRPr="005466F9">
        <w:rPr>
          <w:rFonts w:cs="Arial"/>
        </w:rPr>
        <w:t xml:space="preserve">In this contribution, </w:t>
      </w:r>
      <w:r w:rsidR="00036B4C">
        <w:rPr>
          <w:rFonts w:cs="Arial"/>
        </w:rPr>
        <w:t xml:space="preserve">some consideration on measurement gap enhancement for </w:t>
      </w:r>
      <w:proofErr w:type="spellStart"/>
      <w:r w:rsidR="00036B4C">
        <w:rPr>
          <w:rFonts w:cs="Arial"/>
        </w:rPr>
        <w:t>Hetnet</w:t>
      </w:r>
      <w:proofErr w:type="spellEnd"/>
      <w:r w:rsidR="00036B4C">
        <w:rPr>
          <w:rFonts w:cs="Arial"/>
        </w:rPr>
        <w:t xml:space="preserve"> scenarios is discussed. It is observed</w:t>
      </w:r>
      <w:r w:rsidR="00C15633">
        <w:rPr>
          <w:rFonts w:cs="Arial"/>
        </w:rPr>
        <w:t xml:space="preserve"> that the existing proposals to address this issue can be generally classified into two options</w:t>
      </w:r>
    </w:p>
    <w:p w:rsidR="00B57B85" w:rsidRDefault="00B57B85" w:rsidP="009F6FD0">
      <w:pPr>
        <w:pStyle w:val="ListParagraph"/>
        <w:numPr>
          <w:ilvl w:val="0"/>
          <w:numId w:val="4"/>
        </w:numPr>
        <w:rPr>
          <w:lang w:val="en-GB"/>
        </w:rPr>
      </w:pPr>
      <w:r>
        <w:rPr>
          <w:lang w:val="en-GB"/>
        </w:rPr>
        <w:t>Evenly distributed measurement gap with larger MGRP</w:t>
      </w:r>
    </w:p>
    <w:p w:rsidR="00B57B85" w:rsidRDefault="00B57B85" w:rsidP="009F6FD0">
      <w:pPr>
        <w:pStyle w:val="ListParagraph"/>
        <w:numPr>
          <w:ilvl w:val="0"/>
          <w:numId w:val="4"/>
        </w:numPr>
        <w:rPr>
          <w:lang w:val="en-GB"/>
        </w:rPr>
      </w:pPr>
      <w:r>
        <w:rPr>
          <w:lang w:val="en-GB"/>
        </w:rPr>
        <w:t>Unevenly distributed measurement gap with short MGRP [ref]</w:t>
      </w:r>
    </w:p>
    <w:p w:rsidR="00CE0D5E" w:rsidRDefault="00B57B85" w:rsidP="00CE0D5E">
      <w:pPr>
        <w:rPr>
          <w:rFonts w:cs="Arial"/>
        </w:rPr>
      </w:pPr>
      <w:r>
        <w:rPr>
          <w:rFonts w:cs="Arial"/>
        </w:rPr>
        <w:t>Based on some discussions, we think</w:t>
      </w:r>
      <w:r w:rsidR="00036B4C">
        <w:rPr>
          <w:rFonts w:cs="Arial"/>
        </w:rPr>
        <w:t xml:space="preserve"> the enhanced measurement gap configurations are desirable to have the following features:</w:t>
      </w:r>
    </w:p>
    <w:p w:rsidR="00036B4C" w:rsidRDefault="00036B4C" w:rsidP="009F6FD0">
      <w:pPr>
        <w:pStyle w:val="ListParagraph"/>
        <w:numPr>
          <w:ilvl w:val="0"/>
          <w:numId w:val="6"/>
        </w:numPr>
        <w:rPr>
          <w:lang w:eastAsia="x-none"/>
        </w:rPr>
      </w:pPr>
      <w:r>
        <w:rPr>
          <w:lang w:eastAsia="x-none"/>
        </w:rPr>
        <w:t>Reduced MGL</w:t>
      </w:r>
    </w:p>
    <w:p w:rsidR="00036B4C" w:rsidRDefault="00036B4C" w:rsidP="009F6FD0">
      <w:pPr>
        <w:pStyle w:val="ListParagraph"/>
        <w:numPr>
          <w:ilvl w:val="0"/>
          <w:numId w:val="6"/>
        </w:numPr>
        <w:rPr>
          <w:lang w:eastAsia="x-none"/>
        </w:rPr>
      </w:pPr>
      <w:r>
        <w:rPr>
          <w:lang w:eastAsia="x-none"/>
        </w:rPr>
        <w:t>Evenly distributed measurement gap pattern</w:t>
      </w:r>
    </w:p>
    <w:p w:rsidR="00036B4C" w:rsidRDefault="00C15633" w:rsidP="009F6FD0">
      <w:pPr>
        <w:pStyle w:val="ListParagraph"/>
        <w:numPr>
          <w:ilvl w:val="0"/>
          <w:numId w:val="6"/>
        </w:numPr>
        <w:rPr>
          <w:lang w:eastAsia="x-none"/>
        </w:rPr>
      </w:pPr>
      <w:r>
        <w:rPr>
          <w:lang w:eastAsia="x-none"/>
        </w:rPr>
        <w:t>Medium</w:t>
      </w:r>
      <w:r w:rsidR="00036B4C">
        <w:rPr>
          <w:lang w:eastAsia="x-none"/>
        </w:rPr>
        <w:t xml:space="preserve"> MGRP</w:t>
      </w:r>
    </w:p>
    <w:p w:rsidR="00A27441" w:rsidRPr="002F7F71" w:rsidRDefault="00A27441" w:rsidP="009F6FD0">
      <w:pPr>
        <w:pStyle w:val="ListParagraph"/>
        <w:numPr>
          <w:ilvl w:val="0"/>
          <w:numId w:val="6"/>
        </w:numPr>
        <w:rPr>
          <w:lang w:eastAsia="x-none"/>
        </w:rPr>
      </w:pPr>
      <w:r>
        <w:rPr>
          <w:lang w:eastAsia="x-none"/>
        </w:rPr>
        <w:t xml:space="preserve">Compatibility in both sync and </w:t>
      </w:r>
      <w:proofErr w:type="spellStart"/>
      <w:r>
        <w:rPr>
          <w:lang w:eastAsia="x-none"/>
        </w:rPr>
        <w:t>async</w:t>
      </w:r>
      <w:proofErr w:type="spellEnd"/>
      <w:r>
        <w:rPr>
          <w:lang w:eastAsia="x-none"/>
        </w:rPr>
        <w:t xml:space="preserve"> networks</w:t>
      </w:r>
    </w:p>
    <w:p w:rsidR="00036B4C" w:rsidRDefault="00B57B85" w:rsidP="00CE0D5E">
      <w:pPr>
        <w:rPr>
          <w:rFonts w:cs="Arial"/>
        </w:rPr>
      </w:pPr>
      <w:r>
        <w:rPr>
          <w:rFonts w:cs="Arial"/>
        </w:rPr>
        <w:lastRenderedPageBreak/>
        <w:t xml:space="preserve">As a result, a new measurement gap configuration is proposed. The proposed schemes not only address the need to save power and improve UE scheduling opportunity, but also enjoy all the desired features aforementioned. </w:t>
      </w:r>
    </w:p>
    <w:p w:rsidR="000F20AC" w:rsidRPr="005466F9" w:rsidRDefault="000F20AC" w:rsidP="001D3830">
      <w:pPr>
        <w:pStyle w:val="Heading1"/>
        <w:numPr>
          <w:ilvl w:val="0"/>
          <w:numId w:val="2"/>
        </w:numPr>
        <w:rPr>
          <w:rFonts w:ascii="Calibri" w:hAnsi="Calibri"/>
        </w:rPr>
      </w:pPr>
      <w:r w:rsidRPr="005466F9">
        <w:rPr>
          <w:rFonts w:ascii="Calibri" w:hAnsi="Calibri"/>
        </w:rPr>
        <w:t>References</w:t>
      </w:r>
    </w:p>
    <w:p w:rsidR="004553B6" w:rsidRPr="007B026C" w:rsidRDefault="005E34CB" w:rsidP="005E34CB">
      <w:pPr>
        <w:numPr>
          <w:ilvl w:val="0"/>
          <w:numId w:val="1"/>
        </w:numPr>
        <w:rPr>
          <w:rFonts w:cs="Arial"/>
        </w:rPr>
      </w:pPr>
      <w:r>
        <w:rPr>
          <w:rFonts w:cs="Arial"/>
        </w:rPr>
        <w:t>R4</w:t>
      </w:r>
      <w:r w:rsidR="004553B6" w:rsidRPr="007B026C">
        <w:rPr>
          <w:rFonts w:cs="Arial"/>
        </w:rPr>
        <w:t>-15</w:t>
      </w:r>
      <w:r>
        <w:rPr>
          <w:rFonts w:cs="Arial"/>
        </w:rPr>
        <w:t>2380</w:t>
      </w:r>
      <w:r w:rsidR="002B5E57" w:rsidRPr="007B026C">
        <w:rPr>
          <w:rFonts w:cs="Arial"/>
        </w:rPr>
        <w:t>, “</w:t>
      </w:r>
      <w:r w:rsidRPr="005E34CB">
        <w:rPr>
          <w:rFonts w:cs="Arial"/>
        </w:rPr>
        <w:t>Way forward for measurement gap enhancement</w:t>
      </w:r>
      <w:r w:rsidR="002B5E57" w:rsidRPr="007B026C">
        <w:rPr>
          <w:rFonts w:cs="Arial"/>
        </w:rPr>
        <w:t xml:space="preserve">”, </w:t>
      </w:r>
      <w:r w:rsidRPr="005E34CB">
        <w:rPr>
          <w:rFonts w:cs="Arial"/>
        </w:rPr>
        <w:t xml:space="preserve">Intel, Verizon Wireless, NTT </w:t>
      </w:r>
      <w:proofErr w:type="spellStart"/>
      <w:r w:rsidRPr="005E34CB">
        <w:rPr>
          <w:rFonts w:cs="Arial"/>
        </w:rPr>
        <w:t>Docomo</w:t>
      </w:r>
      <w:proofErr w:type="spellEnd"/>
      <w:r w:rsidRPr="005E34CB">
        <w:rPr>
          <w:rFonts w:cs="Arial"/>
        </w:rPr>
        <w:t xml:space="preserve">, CMCC, </w:t>
      </w:r>
      <w:proofErr w:type="spellStart"/>
      <w:r w:rsidRPr="005E34CB">
        <w:rPr>
          <w:rFonts w:cs="Arial"/>
        </w:rPr>
        <w:t>Teliasonera</w:t>
      </w:r>
      <w:proofErr w:type="spellEnd"/>
      <w:r w:rsidRPr="005E34CB">
        <w:rPr>
          <w:rFonts w:cs="Arial"/>
        </w:rPr>
        <w:t>, TIM</w:t>
      </w:r>
      <w:r w:rsidR="002B5E57" w:rsidRPr="007B026C">
        <w:rPr>
          <w:rFonts w:cs="Arial"/>
        </w:rPr>
        <w:t>, RAN</w:t>
      </w:r>
      <w:r w:rsidR="007B026C">
        <w:rPr>
          <w:rFonts w:cs="Arial"/>
        </w:rPr>
        <w:t>4</w:t>
      </w:r>
      <w:r w:rsidR="002B5E57" w:rsidRPr="007B026C">
        <w:rPr>
          <w:rFonts w:cs="Arial"/>
        </w:rPr>
        <w:t>#</w:t>
      </w:r>
      <w:r>
        <w:rPr>
          <w:rFonts w:cs="Arial"/>
        </w:rPr>
        <w:t>75, April</w:t>
      </w:r>
      <w:r w:rsidR="002B5E57" w:rsidRPr="007B026C">
        <w:rPr>
          <w:rFonts w:cs="Arial"/>
        </w:rPr>
        <w:t xml:space="preserve"> 2015</w:t>
      </w:r>
    </w:p>
    <w:p w:rsidR="00A27441" w:rsidRDefault="00A27441" w:rsidP="00277D7A">
      <w:pPr>
        <w:numPr>
          <w:ilvl w:val="0"/>
          <w:numId w:val="1"/>
        </w:numPr>
        <w:rPr>
          <w:lang w:eastAsia="en-US"/>
        </w:rPr>
      </w:pPr>
      <w:bookmarkStart w:id="1" w:name="_Ref327282565"/>
      <w:bookmarkStart w:id="2" w:name="_Ref324432218"/>
      <w:bookmarkStart w:id="3" w:name="_Ref369701777"/>
      <w:r w:rsidRPr="00356B6B">
        <w:t xml:space="preserve">R4-134256 </w:t>
      </w:r>
      <w:r>
        <w:t>(R2-132239)</w:t>
      </w:r>
      <w:r w:rsidRPr="00F31404">
        <w:t>, “</w:t>
      </w:r>
      <w:r>
        <w:t>LS on relaxed performance requirement”</w:t>
      </w:r>
      <w:bookmarkEnd w:id="1"/>
      <w:bookmarkEnd w:id="2"/>
      <w:bookmarkEnd w:id="3"/>
    </w:p>
    <w:p w:rsidR="00F46A5F" w:rsidRPr="00A27441" w:rsidRDefault="00277D7A" w:rsidP="00A27441">
      <w:pPr>
        <w:numPr>
          <w:ilvl w:val="0"/>
          <w:numId w:val="1"/>
        </w:numPr>
        <w:rPr>
          <w:lang w:eastAsia="en-US"/>
        </w:rPr>
      </w:pPr>
      <w:r>
        <w:rPr>
          <w:rFonts w:cs="Arial"/>
        </w:rPr>
        <w:t>R4-1</w:t>
      </w:r>
      <w:r w:rsidR="00A27441">
        <w:rPr>
          <w:rFonts w:cs="Arial"/>
        </w:rPr>
        <w:t>36032</w:t>
      </w:r>
      <w:r>
        <w:rPr>
          <w:rFonts w:cs="Arial"/>
        </w:rPr>
        <w:t>, “</w:t>
      </w:r>
      <w:r w:rsidR="00A27441" w:rsidRPr="00A27441">
        <w:rPr>
          <w:rFonts w:cs="Arial"/>
        </w:rPr>
        <w:t>Gap pattern design for offload measurements</w:t>
      </w:r>
      <w:r>
        <w:rPr>
          <w:rFonts w:cs="Arial"/>
        </w:rPr>
        <w:t>”</w:t>
      </w:r>
      <w:r w:rsidR="00A27441">
        <w:rPr>
          <w:rFonts w:cs="Arial"/>
        </w:rPr>
        <w:t>, Ericsson</w:t>
      </w:r>
    </w:p>
    <w:p w:rsidR="00A27441" w:rsidRPr="00F46A5F" w:rsidRDefault="00A27441" w:rsidP="00A27441">
      <w:pPr>
        <w:numPr>
          <w:ilvl w:val="0"/>
          <w:numId w:val="1"/>
        </w:numPr>
        <w:rPr>
          <w:lang w:eastAsia="en-US"/>
        </w:rPr>
      </w:pPr>
      <w:r>
        <w:rPr>
          <w:rFonts w:cs="Arial"/>
        </w:rPr>
        <w:t>R4-151561, “</w:t>
      </w:r>
      <w:r w:rsidRPr="00A27441">
        <w:rPr>
          <w:rFonts w:cs="Arial"/>
        </w:rPr>
        <w:t>Enhancement of measurem</w:t>
      </w:r>
      <w:bookmarkStart w:id="4" w:name="_GoBack"/>
      <w:bookmarkEnd w:id="4"/>
      <w:r w:rsidRPr="00A27441">
        <w:rPr>
          <w:rFonts w:cs="Arial"/>
        </w:rPr>
        <w:t>ent gap pattern</w:t>
      </w:r>
      <w:r>
        <w:rPr>
          <w:rFonts w:cs="Arial"/>
        </w:rPr>
        <w:t>”, ALU</w:t>
      </w:r>
    </w:p>
    <w:sectPr w:rsidR="00A27441" w:rsidRPr="00F46A5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7BF" w:rsidRDefault="002C67BF">
      <w:r>
        <w:separator/>
      </w:r>
    </w:p>
  </w:endnote>
  <w:endnote w:type="continuationSeparator" w:id="0">
    <w:p w:rsidR="002C67BF" w:rsidRDefault="002C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7BF" w:rsidRDefault="002C67BF">
      <w:r>
        <w:separator/>
      </w:r>
    </w:p>
  </w:footnote>
  <w:footnote w:type="continuationSeparator" w:id="0">
    <w:p w:rsidR="002C67BF" w:rsidRDefault="002C6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89E"/>
    <w:multiLevelType w:val="hybridMultilevel"/>
    <w:tmpl w:val="98D0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C2AC9"/>
    <w:multiLevelType w:val="hybridMultilevel"/>
    <w:tmpl w:val="40DE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710E02BF"/>
    <w:multiLevelType w:val="hybridMultilevel"/>
    <w:tmpl w:val="A5B80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48D"/>
    <w:rsid w:val="00017EDA"/>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6B4C"/>
    <w:rsid w:val="00037056"/>
    <w:rsid w:val="00037425"/>
    <w:rsid w:val="00040515"/>
    <w:rsid w:val="00040822"/>
    <w:rsid w:val="0004104C"/>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28B"/>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20D2"/>
    <w:rsid w:val="00212D47"/>
    <w:rsid w:val="00212DAD"/>
    <w:rsid w:val="0021369D"/>
    <w:rsid w:val="00214711"/>
    <w:rsid w:val="002149AF"/>
    <w:rsid w:val="00215ABC"/>
    <w:rsid w:val="00216F09"/>
    <w:rsid w:val="00217591"/>
    <w:rsid w:val="00217D13"/>
    <w:rsid w:val="002200DA"/>
    <w:rsid w:val="0022041B"/>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7BF"/>
    <w:rsid w:val="002C6990"/>
    <w:rsid w:val="002D0792"/>
    <w:rsid w:val="002D18AA"/>
    <w:rsid w:val="002D1B3F"/>
    <w:rsid w:val="002D2A32"/>
    <w:rsid w:val="002D33DC"/>
    <w:rsid w:val="002D365F"/>
    <w:rsid w:val="002D3A06"/>
    <w:rsid w:val="002D4955"/>
    <w:rsid w:val="002D4AAE"/>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64BB"/>
    <w:rsid w:val="002F6CF8"/>
    <w:rsid w:val="002F72DA"/>
    <w:rsid w:val="002F7F71"/>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6EC2"/>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73A"/>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CBE"/>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37E56"/>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B9B"/>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6F4D"/>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967"/>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3B27"/>
    <w:rsid w:val="008C40F0"/>
    <w:rsid w:val="008C5978"/>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6FD0"/>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28C5"/>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441"/>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CB8"/>
    <w:rsid w:val="00A63472"/>
    <w:rsid w:val="00A63978"/>
    <w:rsid w:val="00A63B8B"/>
    <w:rsid w:val="00A65CD4"/>
    <w:rsid w:val="00A662EC"/>
    <w:rsid w:val="00A66510"/>
    <w:rsid w:val="00A67187"/>
    <w:rsid w:val="00A67EC3"/>
    <w:rsid w:val="00A710D4"/>
    <w:rsid w:val="00A71243"/>
    <w:rsid w:val="00A7369A"/>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B85"/>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12E0"/>
    <w:rsid w:val="00C1200B"/>
    <w:rsid w:val="00C123F8"/>
    <w:rsid w:val="00C12A26"/>
    <w:rsid w:val="00C12D40"/>
    <w:rsid w:val="00C12E10"/>
    <w:rsid w:val="00C12EBA"/>
    <w:rsid w:val="00C152AD"/>
    <w:rsid w:val="00C15633"/>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5E9"/>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155A"/>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55E9"/>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455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5E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55E9"/>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455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55E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CBAB0-7032-40F7-A8B6-969E5C61B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2015-05-18T20:04:00Z</dcterms:created>
  <dcterms:modified xsi:type="dcterms:W3CDTF">2015-05-18T20:04:00Z</dcterms:modified>
</cp:coreProperties>
</file>