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D73EA6">
        <w:rPr>
          <w:bCs/>
          <w:color w:val="000000"/>
          <w:sz w:val="28"/>
          <w:szCs w:val="28"/>
        </w:rPr>
        <w:t>6</w:t>
      </w:r>
      <w:r w:rsidR="002E6B6B">
        <w:rPr>
          <w:bCs/>
          <w:color w:val="000000"/>
          <w:sz w:val="28"/>
          <w:szCs w:val="28"/>
        </w:rPr>
        <w:t>9</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Pr="0041380B">
        <w:rPr>
          <w:bCs/>
          <w:sz w:val="28"/>
          <w:szCs w:val="28"/>
        </w:rPr>
        <w:t>R4</w:t>
      </w:r>
      <w:r w:rsidR="00C53197" w:rsidRPr="0041380B">
        <w:rPr>
          <w:bCs/>
          <w:sz w:val="28"/>
          <w:szCs w:val="28"/>
        </w:rPr>
        <w:t>-</w:t>
      </w:r>
      <w:r w:rsidR="00A2246E" w:rsidRPr="0041380B">
        <w:rPr>
          <w:bCs/>
          <w:sz w:val="28"/>
          <w:szCs w:val="28"/>
        </w:rPr>
        <w:t>1</w:t>
      </w:r>
      <w:r w:rsidR="0065619B">
        <w:rPr>
          <w:bCs/>
          <w:sz w:val="28"/>
          <w:szCs w:val="28"/>
        </w:rPr>
        <w:t>3</w:t>
      </w:r>
      <w:r w:rsidR="002E6B6B">
        <w:rPr>
          <w:bCs/>
          <w:sz w:val="28"/>
          <w:szCs w:val="28"/>
        </w:rPr>
        <w:t>6729</w:t>
      </w:r>
    </w:p>
    <w:p w:rsidR="009E154B" w:rsidRDefault="002E6B6B" w:rsidP="009E154B">
      <w:pPr>
        <w:pStyle w:val="Header"/>
        <w:rPr>
          <w:bCs/>
          <w:color w:val="000000"/>
          <w:sz w:val="28"/>
          <w:szCs w:val="28"/>
          <w:lang w:val="en-US"/>
        </w:rPr>
      </w:pPr>
      <w:r>
        <w:rPr>
          <w:bCs/>
          <w:color w:val="000000"/>
          <w:sz w:val="28"/>
          <w:szCs w:val="28"/>
          <w:lang w:val="en-US"/>
        </w:rPr>
        <w:t>San Francisco, U.S.A.</w:t>
      </w:r>
    </w:p>
    <w:p w:rsidR="009E154B" w:rsidRPr="009E154B" w:rsidRDefault="002E6B6B" w:rsidP="009E154B">
      <w:pPr>
        <w:pStyle w:val="Header"/>
        <w:rPr>
          <w:bCs/>
          <w:color w:val="000000"/>
          <w:sz w:val="28"/>
          <w:szCs w:val="28"/>
        </w:rPr>
      </w:pPr>
      <w:r>
        <w:rPr>
          <w:bCs/>
          <w:color w:val="000000"/>
          <w:sz w:val="28"/>
          <w:szCs w:val="28"/>
        </w:rPr>
        <w:t>November 11-15</w:t>
      </w:r>
      <w:r w:rsidR="003F131E">
        <w:rPr>
          <w:bCs/>
          <w:color w:val="000000"/>
          <w:sz w:val="28"/>
          <w:szCs w:val="28"/>
        </w:rPr>
        <w:t>, 2013</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41380B" w:rsidRDefault="004D1E8C" w:rsidP="004D1E8C">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2E6B6B">
        <w:rPr>
          <w:rFonts w:ascii="Arial" w:hAnsi="Arial" w:cs="Arial"/>
          <w:b/>
          <w:szCs w:val="24"/>
        </w:rPr>
        <w:t>8.34</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067A66" w:rsidRPr="00067A66">
        <w:rPr>
          <w:bCs/>
          <w:sz w:val="24"/>
          <w:szCs w:val="24"/>
        </w:rPr>
        <w:t>MPR Reduction for CA with Non-Contiguous Resource Allocations</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w:t>
      </w:r>
      <w:r w:rsidR="00067A66">
        <w:rPr>
          <w:rFonts w:ascii="Arial" w:hAnsi="Arial"/>
          <w:b/>
          <w:color w:val="000000"/>
        </w:rPr>
        <w:t>t for:   Approval</w:t>
      </w:r>
    </w:p>
    <w:bookmarkEnd w:id="0"/>
    <w:p w:rsidR="00900DAE" w:rsidRDefault="00900DAE" w:rsidP="006B6438">
      <w:pPr>
        <w:pStyle w:val="Heading1"/>
        <w:spacing w:after="120"/>
        <w:jc w:val="both"/>
        <w:rPr>
          <w:b/>
          <w:color w:val="000000"/>
        </w:rPr>
      </w:pPr>
      <w:r w:rsidRPr="003D1980">
        <w:rPr>
          <w:b/>
          <w:color w:val="000000"/>
        </w:rPr>
        <w:t>Introduction</w:t>
      </w:r>
    </w:p>
    <w:p w:rsidR="008D5687" w:rsidRPr="00944EFF" w:rsidRDefault="00891F3A" w:rsidP="0089699B">
      <w:pPr>
        <w:rPr>
          <w:sz w:val="20"/>
          <w:szCs w:val="22"/>
        </w:rPr>
      </w:pPr>
      <w:r>
        <w:rPr>
          <w:sz w:val="20"/>
          <w:szCs w:val="22"/>
        </w:rPr>
        <w:t>For intra-band contiguous carrier aggregation, t</w:t>
      </w:r>
      <w:r w:rsidRPr="00944EFF">
        <w:rPr>
          <w:sz w:val="20"/>
          <w:szCs w:val="22"/>
        </w:rPr>
        <w:t xml:space="preserve">he </w:t>
      </w:r>
      <w:r w:rsidR="00EB29B1" w:rsidRPr="00944EFF">
        <w:rPr>
          <w:sz w:val="20"/>
          <w:szCs w:val="22"/>
        </w:rPr>
        <w:t>topic</w:t>
      </w:r>
      <w:r w:rsidR="00D94AFF">
        <w:rPr>
          <w:sz w:val="20"/>
          <w:szCs w:val="22"/>
        </w:rPr>
        <w:t xml:space="preserve"> of MPR for</w:t>
      </w:r>
      <w:r w:rsidR="00F56EB0" w:rsidRPr="00944EFF">
        <w:rPr>
          <w:sz w:val="20"/>
          <w:szCs w:val="22"/>
        </w:rPr>
        <w:t xml:space="preserve"> transmission</w:t>
      </w:r>
      <w:r w:rsidR="00D94AFF">
        <w:rPr>
          <w:sz w:val="20"/>
          <w:szCs w:val="22"/>
        </w:rPr>
        <w:t xml:space="preserve"> with non-contiguous resource allocations (</w:t>
      </w:r>
      <w:r w:rsidR="00392ED1">
        <w:rPr>
          <w:sz w:val="20"/>
          <w:szCs w:val="22"/>
        </w:rPr>
        <w:t>also known as</w:t>
      </w:r>
      <w:r w:rsidR="00D94AFF">
        <w:rPr>
          <w:sz w:val="20"/>
          <w:szCs w:val="22"/>
        </w:rPr>
        <w:t xml:space="preserve"> </w:t>
      </w:r>
      <w:r w:rsidR="00D94AFF" w:rsidRPr="00392ED1">
        <w:rPr>
          <w:i/>
          <w:sz w:val="20"/>
          <w:szCs w:val="22"/>
        </w:rPr>
        <w:t>multi-cluster transmission</w:t>
      </w:r>
      <w:r w:rsidR="00D94AFF">
        <w:rPr>
          <w:sz w:val="20"/>
          <w:szCs w:val="22"/>
        </w:rPr>
        <w:t>)</w:t>
      </w:r>
      <w:r w:rsidR="00F56EB0" w:rsidRPr="00944EFF">
        <w:rPr>
          <w:sz w:val="20"/>
          <w:szCs w:val="22"/>
        </w:rPr>
        <w:t xml:space="preserve"> has been discussed extensively</w:t>
      </w:r>
      <w:r w:rsidR="00EB29B1" w:rsidRPr="00944EFF">
        <w:rPr>
          <w:sz w:val="20"/>
          <w:szCs w:val="22"/>
        </w:rPr>
        <w:t xml:space="preserve"> in RAN4 </w:t>
      </w:r>
      <w:r w:rsidR="00145094" w:rsidRPr="00944EFF">
        <w:rPr>
          <w:sz w:val="20"/>
          <w:szCs w:val="22"/>
        </w:rPr>
        <w:t>over the past year</w:t>
      </w:r>
      <w:r w:rsidR="00645738">
        <w:rPr>
          <w:sz w:val="20"/>
          <w:szCs w:val="22"/>
        </w:rPr>
        <w:t xml:space="preserve"> [1-4]</w:t>
      </w:r>
      <w:r w:rsidR="00EB29B1" w:rsidRPr="00944EFF">
        <w:rPr>
          <w:sz w:val="20"/>
          <w:szCs w:val="22"/>
        </w:rPr>
        <w:t xml:space="preserve">.  </w:t>
      </w:r>
      <w:r w:rsidR="00E31FF8" w:rsidRPr="00944EFF">
        <w:rPr>
          <w:sz w:val="20"/>
          <w:szCs w:val="22"/>
        </w:rPr>
        <w:t xml:space="preserve">Currently, </w:t>
      </w:r>
      <w:r w:rsidR="002A40C6" w:rsidRPr="00944EFF">
        <w:rPr>
          <w:sz w:val="20"/>
          <w:szCs w:val="22"/>
        </w:rPr>
        <w:t xml:space="preserve">for </w:t>
      </w:r>
      <w:r w:rsidR="009A40F8" w:rsidRPr="00944EFF">
        <w:rPr>
          <w:sz w:val="20"/>
          <w:szCs w:val="22"/>
        </w:rPr>
        <w:t xml:space="preserve">intra-band contiguous </w:t>
      </w:r>
      <w:r w:rsidR="002A40C6" w:rsidRPr="00944EFF">
        <w:rPr>
          <w:sz w:val="20"/>
          <w:szCs w:val="22"/>
        </w:rPr>
        <w:t>carrier aggregation with two</w:t>
      </w:r>
      <w:r w:rsidR="00E31FF8" w:rsidRPr="00944EFF">
        <w:rPr>
          <w:sz w:val="20"/>
          <w:szCs w:val="22"/>
        </w:rPr>
        <w:t xml:space="preserve"> </w:t>
      </w:r>
      <w:r w:rsidR="002A40C6" w:rsidRPr="00944EFF">
        <w:rPr>
          <w:sz w:val="20"/>
          <w:szCs w:val="22"/>
        </w:rPr>
        <w:t>component carriers</w:t>
      </w:r>
      <w:r w:rsidR="00E31FF8" w:rsidRPr="00944EFF">
        <w:rPr>
          <w:sz w:val="20"/>
          <w:szCs w:val="22"/>
        </w:rPr>
        <w:t xml:space="preserve">, the MPR </w:t>
      </w:r>
      <w:r w:rsidR="009A40F8" w:rsidRPr="00944EFF">
        <w:rPr>
          <w:sz w:val="20"/>
          <w:szCs w:val="22"/>
        </w:rPr>
        <w:t xml:space="preserve">for multi-cluster transmissions </w:t>
      </w:r>
      <w:r w:rsidR="00E31FF8" w:rsidRPr="00944EFF">
        <w:rPr>
          <w:sz w:val="20"/>
          <w:szCs w:val="22"/>
        </w:rPr>
        <w:t xml:space="preserve">is specified as a function of the allocation ratio only.  </w:t>
      </w:r>
      <w:r w:rsidR="00CE1CC0" w:rsidRPr="00944EFF">
        <w:rPr>
          <w:sz w:val="20"/>
          <w:szCs w:val="22"/>
        </w:rPr>
        <w:t>An issue with the method</w:t>
      </w:r>
      <w:r w:rsidR="00E7474E" w:rsidRPr="00944EFF">
        <w:rPr>
          <w:sz w:val="20"/>
          <w:szCs w:val="22"/>
        </w:rPr>
        <w:t xml:space="preserve"> is that </w:t>
      </w:r>
      <w:r w:rsidR="00CE1CC0" w:rsidRPr="00944EFF">
        <w:rPr>
          <w:sz w:val="20"/>
          <w:szCs w:val="22"/>
        </w:rPr>
        <w:t xml:space="preserve">for many </w:t>
      </w:r>
      <w:r w:rsidR="001E3984" w:rsidRPr="00944EFF">
        <w:rPr>
          <w:sz w:val="20"/>
          <w:szCs w:val="22"/>
        </w:rPr>
        <w:t xml:space="preserve">smaller </w:t>
      </w:r>
      <w:r w:rsidR="00CE1CC0" w:rsidRPr="00944EFF">
        <w:rPr>
          <w:sz w:val="20"/>
          <w:szCs w:val="22"/>
        </w:rPr>
        <w:t>allocations, the allowed MPR is much greater than is actually required.</w:t>
      </w:r>
      <w:r w:rsidR="00E31FF8" w:rsidRPr="00944EFF">
        <w:rPr>
          <w:sz w:val="20"/>
          <w:szCs w:val="22"/>
        </w:rPr>
        <w:t xml:space="preserve"> </w:t>
      </w:r>
      <w:r w:rsidR="00E7474E" w:rsidRPr="00944EFF">
        <w:rPr>
          <w:sz w:val="20"/>
          <w:szCs w:val="22"/>
        </w:rPr>
        <w:t>For examp</w:t>
      </w:r>
      <w:r w:rsidR="00F95945" w:rsidRPr="00944EFF">
        <w:rPr>
          <w:sz w:val="20"/>
          <w:szCs w:val="22"/>
        </w:rPr>
        <w:t xml:space="preserve">le, for some small allocations, the allowed MPR is </w:t>
      </w:r>
      <w:r w:rsidR="002A40C6" w:rsidRPr="00944EFF">
        <w:rPr>
          <w:sz w:val="20"/>
          <w:szCs w:val="22"/>
        </w:rPr>
        <w:t>8.2</w:t>
      </w:r>
      <w:r w:rsidR="00F95945" w:rsidRPr="00944EFF">
        <w:rPr>
          <w:sz w:val="20"/>
          <w:szCs w:val="22"/>
        </w:rPr>
        <w:t xml:space="preserve"> dB while the MPR needed for these allocations can be as small as 0</w:t>
      </w:r>
      <w:r w:rsidR="00753BEB" w:rsidRPr="00944EFF">
        <w:rPr>
          <w:sz w:val="20"/>
          <w:szCs w:val="22"/>
        </w:rPr>
        <w:t xml:space="preserve"> dB</w:t>
      </w:r>
      <w:r w:rsidR="00F95945" w:rsidRPr="00944EFF">
        <w:rPr>
          <w:sz w:val="20"/>
          <w:szCs w:val="22"/>
        </w:rPr>
        <w:t>.</w:t>
      </w:r>
    </w:p>
    <w:p w:rsidR="008057CB" w:rsidRDefault="00F95945" w:rsidP="00F56EB0">
      <w:pPr>
        <w:rPr>
          <w:sz w:val="20"/>
          <w:szCs w:val="22"/>
        </w:rPr>
      </w:pPr>
      <w:r w:rsidRPr="00944EFF">
        <w:rPr>
          <w:sz w:val="20"/>
          <w:szCs w:val="22"/>
        </w:rPr>
        <w:t xml:space="preserve"> </w:t>
      </w:r>
    </w:p>
    <w:p w:rsidR="00767811" w:rsidRDefault="00645738" w:rsidP="00767811">
      <w:pPr>
        <w:rPr>
          <w:sz w:val="20"/>
          <w:szCs w:val="22"/>
        </w:rPr>
      </w:pPr>
      <w:r>
        <w:rPr>
          <w:sz w:val="20"/>
          <w:szCs w:val="22"/>
        </w:rPr>
        <w:t xml:space="preserve">Based on the simulation results in [1-4], </w:t>
      </w:r>
      <w:r w:rsidR="008F4862">
        <w:rPr>
          <w:sz w:val="20"/>
          <w:szCs w:val="22"/>
        </w:rPr>
        <w:t xml:space="preserve">three </w:t>
      </w:r>
      <w:r>
        <w:rPr>
          <w:sz w:val="20"/>
          <w:szCs w:val="22"/>
        </w:rPr>
        <w:t xml:space="preserve">proposals have been made for reducing the MPR allowed for </w:t>
      </w:r>
      <w:r w:rsidR="0032107F">
        <w:rPr>
          <w:sz w:val="20"/>
          <w:szCs w:val="22"/>
        </w:rPr>
        <w:t xml:space="preserve">some </w:t>
      </w:r>
      <w:r w:rsidR="008F5B8F">
        <w:rPr>
          <w:sz w:val="20"/>
          <w:szCs w:val="22"/>
        </w:rPr>
        <w:t>non-contiguous resource</w:t>
      </w:r>
      <w:r w:rsidR="0032107F">
        <w:rPr>
          <w:sz w:val="20"/>
          <w:szCs w:val="22"/>
        </w:rPr>
        <w:t xml:space="preserve"> allocations.  </w:t>
      </w:r>
      <w:r w:rsidR="008F4862">
        <w:rPr>
          <w:sz w:val="20"/>
          <w:szCs w:val="22"/>
        </w:rPr>
        <w:t xml:space="preserve">In this contribution, the three proposals </w:t>
      </w:r>
      <w:r w:rsidR="00767811">
        <w:rPr>
          <w:sz w:val="20"/>
          <w:szCs w:val="22"/>
        </w:rPr>
        <w:t xml:space="preserve">are </w:t>
      </w:r>
      <w:r w:rsidR="00313543">
        <w:rPr>
          <w:sz w:val="20"/>
          <w:szCs w:val="22"/>
        </w:rPr>
        <w:t xml:space="preserve">briefly reviewed and are compared with respect to the set of non-contiguous resource allocations to which they apply and also with respect to their </w:t>
      </w:r>
      <w:r w:rsidR="0044683E">
        <w:rPr>
          <w:sz w:val="20"/>
          <w:szCs w:val="22"/>
        </w:rPr>
        <w:t>complexity and specification impact</w:t>
      </w:r>
      <w:r w:rsidR="00313543">
        <w:rPr>
          <w:sz w:val="20"/>
          <w:szCs w:val="22"/>
        </w:rPr>
        <w:t xml:space="preserve">.  </w:t>
      </w:r>
      <w:r w:rsidR="00767811">
        <w:rPr>
          <w:sz w:val="20"/>
          <w:szCs w:val="22"/>
        </w:rPr>
        <w:t>Based on t</w:t>
      </w:r>
      <w:r w:rsidR="00313543">
        <w:rPr>
          <w:sz w:val="20"/>
          <w:szCs w:val="22"/>
        </w:rPr>
        <w:t>his comparison</w:t>
      </w:r>
      <w:r w:rsidR="00767811">
        <w:rPr>
          <w:sz w:val="20"/>
          <w:szCs w:val="22"/>
        </w:rPr>
        <w:t>, a recommendation is made as to which proposal should be incorporated in the specification.</w:t>
      </w:r>
    </w:p>
    <w:p w:rsidR="00D551E1" w:rsidRDefault="00313543" w:rsidP="00D551E1">
      <w:pPr>
        <w:pStyle w:val="Heading1"/>
        <w:spacing w:after="120"/>
        <w:jc w:val="both"/>
        <w:rPr>
          <w:b/>
          <w:color w:val="000000"/>
        </w:rPr>
      </w:pPr>
      <w:r>
        <w:rPr>
          <w:b/>
          <w:color w:val="000000"/>
        </w:rPr>
        <w:t xml:space="preserve">Proposals for Limiting the MPR Allowed for Some </w:t>
      </w:r>
      <w:r w:rsidR="00707D47">
        <w:rPr>
          <w:b/>
          <w:color w:val="000000"/>
        </w:rPr>
        <w:t xml:space="preserve">Non-Contiguous Resource </w:t>
      </w:r>
      <w:r>
        <w:rPr>
          <w:b/>
          <w:color w:val="000000"/>
        </w:rPr>
        <w:t>Allocations</w:t>
      </w:r>
    </w:p>
    <w:p w:rsidR="00313543" w:rsidRDefault="00D551E1" w:rsidP="00313543">
      <w:pPr>
        <w:rPr>
          <w:sz w:val="20"/>
          <w:szCs w:val="22"/>
        </w:rPr>
      </w:pPr>
      <w:r>
        <w:rPr>
          <w:sz w:val="20"/>
          <w:szCs w:val="22"/>
        </w:rPr>
        <w:t xml:space="preserve">Based on the simulation results in </w:t>
      </w:r>
      <w:r w:rsidR="00313543">
        <w:rPr>
          <w:sz w:val="20"/>
          <w:szCs w:val="22"/>
        </w:rPr>
        <w:t xml:space="preserve">[1-4], three proposals have been made which would reduce the MPR allowed for some non-contiguous resource allocations, </w:t>
      </w:r>
      <w:r w:rsidR="0044683E">
        <w:rPr>
          <w:sz w:val="20"/>
          <w:szCs w:val="22"/>
        </w:rPr>
        <w:t>depending</w:t>
      </w:r>
      <w:r w:rsidR="000670F8">
        <w:rPr>
          <w:sz w:val="20"/>
          <w:szCs w:val="22"/>
        </w:rPr>
        <w:t xml:space="preserve"> on the span of their</w:t>
      </w:r>
      <w:r w:rsidR="00313543">
        <w:rPr>
          <w:sz w:val="20"/>
          <w:szCs w:val="22"/>
        </w:rPr>
        <w:t xml:space="preserve"> fifth order </w:t>
      </w:r>
      <w:proofErr w:type="spellStart"/>
      <w:r w:rsidR="00313543">
        <w:rPr>
          <w:sz w:val="20"/>
          <w:szCs w:val="22"/>
        </w:rPr>
        <w:t>intermodulation</w:t>
      </w:r>
      <w:proofErr w:type="spellEnd"/>
      <w:r w:rsidR="00313543">
        <w:rPr>
          <w:sz w:val="20"/>
          <w:szCs w:val="22"/>
        </w:rPr>
        <w:t xml:space="preserve"> products (IM’s).  For a given non-contiguous resource allocation, we use </w:t>
      </w:r>
      <w:r w:rsidR="00313543" w:rsidRPr="00313543">
        <w:rPr>
          <w:rFonts w:ascii="Symbol" w:hAnsi="Symbol"/>
          <w:b/>
          <w:sz w:val="20"/>
          <w:szCs w:val="22"/>
        </w:rPr>
        <w:t></w:t>
      </w:r>
      <w:r w:rsidR="00313543" w:rsidRPr="00313543">
        <w:rPr>
          <w:sz w:val="20"/>
          <w:szCs w:val="22"/>
          <w:vertAlign w:val="subscript"/>
        </w:rPr>
        <w:t>IM5</w:t>
      </w:r>
      <w:r w:rsidR="00313543">
        <w:rPr>
          <w:sz w:val="20"/>
          <w:szCs w:val="22"/>
        </w:rPr>
        <w:t xml:space="preserve"> to denote the maximum distance of the fifth order IM’s from the </w:t>
      </w:r>
      <w:proofErr w:type="spellStart"/>
      <w:r w:rsidR="00313543">
        <w:rPr>
          <w:sz w:val="20"/>
          <w:szCs w:val="22"/>
        </w:rPr>
        <w:t>center</w:t>
      </w:r>
      <w:proofErr w:type="spellEnd"/>
      <w:r w:rsidR="00313543">
        <w:rPr>
          <w:sz w:val="20"/>
          <w:szCs w:val="22"/>
        </w:rPr>
        <w:t xml:space="preserve"> of the aggregated channel.  The parameter </w:t>
      </w:r>
      <w:r w:rsidR="00313543" w:rsidRPr="00313543">
        <w:rPr>
          <w:rFonts w:ascii="Symbol" w:hAnsi="Symbol"/>
          <w:b/>
          <w:sz w:val="20"/>
          <w:szCs w:val="22"/>
        </w:rPr>
        <w:t></w:t>
      </w:r>
      <w:r w:rsidR="00313543" w:rsidRPr="00313543">
        <w:rPr>
          <w:sz w:val="20"/>
          <w:szCs w:val="22"/>
          <w:vertAlign w:val="subscript"/>
        </w:rPr>
        <w:t>IM5</w:t>
      </w:r>
      <w:r w:rsidR="00313543">
        <w:rPr>
          <w:sz w:val="20"/>
          <w:szCs w:val="22"/>
        </w:rPr>
        <w:t xml:space="preserve"> can be calculated as </w:t>
      </w:r>
    </w:p>
    <w:p w:rsidR="00313543" w:rsidRDefault="00313543" w:rsidP="00313543">
      <w:pPr>
        <w:tabs>
          <w:tab w:val="left" w:pos="284"/>
          <w:tab w:val="left" w:pos="568"/>
          <w:tab w:val="left" w:pos="852"/>
          <w:tab w:val="left" w:pos="1136"/>
          <w:tab w:val="left" w:pos="1420"/>
          <w:tab w:val="left" w:pos="1704"/>
          <w:tab w:val="left" w:pos="1988"/>
          <w:tab w:val="left" w:pos="7587"/>
        </w:tabs>
        <w:rPr>
          <w:vertAlign w:val="subscript"/>
        </w:rPr>
      </w:pPr>
      <w:r>
        <w:rPr>
          <w:vertAlign w:val="subscript"/>
        </w:rPr>
        <w:tab/>
      </w:r>
    </w:p>
    <w:p w:rsidR="00313543" w:rsidRPr="002E15C3" w:rsidRDefault="00313543" w:rsidP="00313543">
      <w:pPr>
        <w:jc w:val="center"/>
        <w:rPr>
          <w:sz w:val="22"/>
          <w:vertAlign w:val="subscript"/>
        </w:rPr>
      </w:pPr>
      <w:r w:rsidRPr="002E15C3">
        <w:rPr>
          <w:rFonts w:ascii="Symbol" w:hAnsi="Symbol"/>
          <w:b/>
          <w:sz w:val="22"/>
        </w:rPr>
        <w:t></w:t>
      </w:r>
      <w:r w:rsidRPr="002E15C3">
        <w:rPr>
          <w:sz w:val="22"/>
          <w:vertAlign w:val="subscript"/>
        </w:rPr>
        <w:t>IM5</w:t>
      </w:r>
      <w:r w:rsidRPr="002E15C3">
        <w:rPr>
          <w:sz w:val="22"/>
        </w:rPr>
        <w:t xml:space="preserve"> = </w:t>
      </w:r>
      <w:proofErr w:type="gramStart"/>
      <w:r w:rsidRPr="002E15C3">
        <w:rPr>
          <w:sz w:val="22"/>
        </w:rPr>
        <w:t>max(</w:t>
      </w:r>
      <w:proofErr w:type="gramEnd"/>
      <w:r w:rsidRPr="002E15C3">
        <w:rPr>
          <w:sz w:val="22"/>
        </w:rPr>
        <w:t xml:space="preserve"> | </w:t>
      </w:r>
      <w:proofErr w:type="spellStart"/>
      <w:r w:rsidRPr="002E15C3">
        <w:rPr>
          <w:sz w:val="22"/>
        </w:rPr>
        <w:t>F</w:t>
      </w:r>
      <w:r w:rsidRPr="002E15C3">
        <w:rPr>
          <w:sz w:val="22"/>
          <w:vertAlign w:val="subscript"/>
        </w:rPr>
        <w:t>C_agg</w:t>
      </w:r>
      <w:proofErr w:type="spellEnd"/>
      <w:r w:rsidRPr="002E15C3">
        <w:rPr>
          <w:sz w:val="22"/>
          <w:vertAlign w:val="subscript"/>
        </w:rPr>
        <w:t xml:space="preserve"> </w:t>
      </w:r>
      <w:r w:rsidRPr="002E15C3">
        <w:rPr>
          <w:sz w:val="22"/>
        </w:rPr>
        <w:t xml:space="preserve"> – (3*</w:t>
      </w:r>
      <w:proofErr w:type="spellStart"/>
      <w:r w:rsidRPr="002E15C3">
        <w:rPr>
          <w:sz w:val="22"/>
        </w:rPr>
        <w:t>F</w:t>
      </w:r>
      <w:r w:rsidRPr="002E15C3">
        <w:rPr>
          <w:sz w:val="22"/>
          <w:vertAlign w:val="subscript"/>
        </w:rPr>
        <w:t>agg_alloc_low</w:t>
      </w:r>
      <w:proofErr w:type="spellEnd"/>
      <w:r w:rsidRPr="002E15C3">
        <w:rPr>
          <w:sz w:val="22"/>
        </w:rPr>
        <w:t xml:space="preserve"> – 2*</w:t>
      </w:r>
      <w:proofErr w:type="spellStart"/>
      <w:r w:rsidRPr="002E15C3">
        <w:rPr>
          <w:sz w:val="22"/>
        </w:rPr>
        <w:t>F</w:t>
      </w:r>
      <w:r w:rsidRPr="002E15C3">
        <w:rPr>
          <w:sz w:val="22"/>
          <w:vertAlign w:val="subscript"/>
        </w:rPr>
        <w:t>agg_alloc_high</w:t>
      </w:r>
      <w:proofErr w:type="spellEnd"/>
      <w:r w:rsidRPr="002E15C3">
        <w:rPr>
          <w:sz w:val="22"/>
        </w:rPr>
        <w:t xml:space="preserve">) |,  | </w:t>
      </w:r>
      <w:proofErr w:type="spellStart"/>
      <w:r w:rsidRPr="002E15C3">
        <w:rPr>
          <w:sz w:val="22"/>
        </w:rPr>
        <w:t>F</w:t>
      </w:r>
      <w:r w:rsidRPr="002E15C3">
        <w:rPr>
          <w:sz w:val="22"/>
          <w:vertAlign w:val="subscript"/>
        </w:rPr>
        <w:t>C_agg</w:t>
      </w:r>
      <w:proofErr w:type="spellEnd"/>
      <w:r w:rsidRPr="002E15C3">
        <w:rPr>
          <w:sz w:val="22"/>
          <w:vertAlign w:val="subscript"/>
        </w:rPr>
        <w:t xml:space="preserve"> </w:t>
      </w:r>
      <w:r w:rsidRPr="002E15C3">
        <w:rPr>
          <w:sz w:val="22"/>
        </w:rPr>
        <w:t xml:space="preserve"> – (3*</w:t>
      </w:r>
      <w:proofErr w:type="spellStart"/>
      <w:r w:rsidRPr="002E15C3">
        <w:rPr>
          <w:sz w:val="22"/>
        </w:rPr>
        <w:t>F</w:t>
      </w:r>
      <w:r w:rsidRPr="002E15C3">
        <w:rPr>
          <w:sz w:val="22"/>
          <w:vertAlign w:val="subscript"/>
        </w:rPr>
        <w:t>agg_lloc_high</w:t>
      </w:r>
      <w:proofErr w:type="spellEnd"/>
      <w:r w:rsidRPr="002E15C3">
        <w:rPr>
          <w:sz w:val="22"/>
        </w:rPr>
        <w:t xml:space="preserve"> – 2*</w:t>
      </w:r>
      <w:proofErr w:type="spellStart"/>
      <w:r w:rsidRPr="002E15C3">
        <w:rPr>
          <w:sz w:val="22"/>
        </w:rPr>
        <w:t>F</w:t>
      </w:r>
      <w:r w:rsidRPr="002E15C3">
        <w:rPr>
          <w:sz w:val="22"/>
          <w:vertAlign w:val="subscript"/>
        </w:rPr>
        <w:t>agg_alloc_low</w:t>
      </w:r>
      <w:proofErr w:type="spellEnd"/>
      <w:r w:rsidRPr="002E15C3">
        <w:rPr>
          <w:sz w:val="22"/>
        </w:rPr>
        <w:t>) | )</w:t>
      </w:r>
    </w:p>
    <w:p w:rsidR="00313543" w:rsidRDefault="00313543" w:rsidP="00313543">
      <w:pPr>
        <w:rPr>
          <w:sz w:val="20"/>
          <w:szCs w:val="22"/>
        </w:rPr>
      </w:pPr>
    </w:p>
    <w:p w:rsidR="00313543" w:rsidRPr="002E15C3" w:rsidRDefault="00313543" w:rsidP="00313543">
      <w:pPr>
        <w:rPr>
          <w:sz w:val="16"/>
          <w:szCs w:val="22"/>
        </w:rPr>
      </w:pPr>
      <w:proofErr w:type="gramStart"/>
      <w:r>
        <w:rPr>
          <w:sz w:val="20"/>
          <w:szCs w:val="22"/>
        </w:rPr>
        <w:t>where</w:t>
      </w:r>
      <w:proofErr w:type="gramEnd"/>
      <w:r>
        <w:rPr>
          <w:sz w:val="20"/>
          <w:szCs w:val="22"/>
        </w:rPr>
        <w:t xml:space="preserve"> </w:t>
      </w:r>
      <w:proofErr w:type="spellStart"/>
      <w:r w:rsidR="002E15C3" w:rsidRPr="002E15C3">
        <w:rPr>
          <w:sz w:val="20"/>
        </w:rPr>
        <w:t>F</w:t>
      </w:r>
      <w:r w:rsidR="002E15C3" w:rsidRPr="002E15C3">
        <w:rPr>
          <w:sz w:val="20"/>
          <w:vertAlign w:val="subscript"/>
        </w:rPr>
        <w:t>C_agg</w:t>
      </w:r>
      <w:proofErr w:type="spellEnd"/>
      <w:r w:rsidR="002E15C3">
        <w:rPr>
          <w:sz w:val="20"/>
        </w:rPr>
        <w:t xml:space="preserve"> denotes the </w:t>
      </w:r>
      <w:proofErr w:type="spellStart"/>
      <w:r w:rsidR="002E15C3">
        <w:rPr>
          <w:sz w:val="20"/>
        </w:rPr>
        <w:t>center</w:t>
      </w:r>
      <w:proofErr w:type="spellEnd"/>
      <w:r w:rsidR="002E15C3">
        <w:rPr>
          <w:sz w:val="20"/>
        </w:rPr>
        <w:t xml:space="preserve"> of the aggregated channel, and </w:t>
      </w:r>
      <w:proofErr w:type="spellStart"/>
      <w:r w:rsidR="002E15C3" w:rsidRPr="002E15C3">
        <w:rPr>
          <w:sz w:val="20"/>
        </w:rPr>
        <w:t>F</w:t>
      </w:r>
      <w:r w:rsidR="002E15C3" w:rsidRPr="002E15C3">
        <w:rPr>
          <w:sz w:val="20"/>
          <w:vertAlign w:val="subscript"/>
        </w:rPr>
        <w:t>agg_alloc_</w:t>
      </w:r>
      <w:r w:rsidR="002E15C3">
        <w:rPr>
          <w:sz w:val="20"/>
          <w:vertAlign w:val="subscript"/>
        </w:rPr>
        <w:t>high</w:t>
      </w:r>
      <w:proofErr w:type="spellEnd"/>
      <w:r w:rsidR="002E15C3" w:rsidRPr="002E15C3">
        <w:rPr>
          <w:sz w:val="20"/>
        </w:rPr>
        <w:t xml:space="preserve"> </w:t>
      </w:r>
      <w:r w:rsidR="002E15C3">
        <w:rPr>
          <w:sz w:val="20"/>
        </w:rPr>
        <w:t xml:space="preserve">and </w:t>
      </w:r>
      <w:proofErr w:type="spellStart"/>
      <w:r w:rsidR="002E15C3" w:rsidRPr="002E15C3">
        <w:rPr>
          <w:sz w:val="20"/>
        </w:rPr>
        <w:t>F</w:t>
      </w:r>
      <w:r w:rsidR="002E15C3" w:rsidRPr="002E15C3">
        <w:rPr>
          <w:sz w:val="20"/>
          <w:vertAlign w:val="subscript"/>
        </w:rPr>
        <w:t>agg_alloc_</w:t>
      </w:r>
      <w:r w:rsidR="002E15C3">
        <w:rPr>
          <w:sz w:val="20"/>
          <w:vertAlign w:val="subscript"/>
        </w:rPr>
        <w:t>low</w:t>
      </w:r>
      <w:proofErr w:type="spellEnd"/>
      <w:r w:rsidR="002E15C3">
        <w:rPr>
          <w:sz w:val="20"/>
        </w:rPr>
        <w:t xml:space="preserve"> denote the highest and lowest allocated frequencies, respectively.</w:t>
      </w:r>
    </w:p>
    <w:p w:rsidR="00313543" w:rsidRDefault="00313543" w:rsidP="00313543">
      <w:pPr>
        <w:rPr>
          <w:sz w:val="20"/>
          <w:szCs w:val="22"/>
        </w:rPr>
      </w:pPr>
    </w:p>
    <w:p w:rsidR="00313543" w:rsidRDefault="002E15C3" w:rsidP="00313543">
      <w:pPr>
        <w:rPr>
          <w:sz w:val="20"/>
          <w:szCs w:val="22"/>
        </w:rPr>
      </w:pPr>
      <w:r>
        <w:rPr>
          <w:sz w:val="20"/>
          <w:szCs w:val="22"/>
        </w:rPr>
        <w:t>With this notation, the three existing proposals follow:</w:t>
      </w:r>
    </w:p>
    <w:p w:rsidR="00392ED1" w:rsidRPr="00CD459F" w:rsidRDefault="00392ED1" w:rsidP="00D551E1">
      <w:pPr>
        <w:rPr>
          <w:sz w:val="20"/>
          <w:szCs w:val="22"/>
        </w:rPr>
      </w:pPr>
    </w:p>
    <w:p w:rsidR="00D551E1" w:rsidRPr="00313543" w:rsidRDefault="00D551E1" w:rsidP="00D551E1">
      <w:pPr>
        <w:rPr>
          <w:b/>
          <w:sz w:val="20"/>
          <w:szCs w:val="22"/>
          <w:u w:val="single"/>
        </w:rPr>
      </w:pPr>
      <w:r w:rsidRPr="00313543">
        <w:rPr>
          <w:b/>
          <w:sz w:val="20"/>
          <w:szCs w:val="22"/>
          <w:u w:val="single"/>
        </w:rPr>
        <w:t>Proposal 1</w:t>
      </w:r>
      <w:r w:rsidRPr="00313543">
        <w:rPr>
          <w:b/>
          <w:sz w:val="20"/>
          <w:szCs w:val="22"/>
        </w:rPr>
        <w:t>:</w:t>
      </w:r>
    </w:p>
    <w:p w:rsidR="00D551E1" w:rsidRPr="00CD459F" w:rsidRDefault="00D551E1" w:rsidP="00D551E1">
      <w:pPr>
        <w:ind w:left="720"/>
        <w:rPr>
          <w:b/>
          <w:sz w:val="20"/>
          <w:szCs w:val="22"/>
        </w:rPr>
      </w:pPr>
      <w:r w:rsidRPr="00CD459F">
        <w:rPr>
          <w:b/>
          <w:sz w:val="20"/>
          <w:szCs w:val="22"/>
        </w:rPr>
        <w:t xml:space="preserve">For contiguous intra-band carrier aggregation of two component carriers, the MPR for any </w:t>
      </w:r>
      <w:r w:rsidR="008F5B8F">
        <w:rPr>
          <w:b/>
          <w:sz w:val="20"/>
          <w:szCs w:val="22"/>
        </w:rPr>
        <w:t>non-contiguous resource</w:t>
      </w:r>
      <w:r w:rsidRPr="00CD459F">
        <w:rPr>
          <w:b/>
          <w:sz w:val="20"/>
          <w:szCs w:val="22"/>
        </w:rPr>
        <w:t xml:space="preserve"> allocation for which </w:t>
      </w:r>
    </w:p>
    <w:p w:rsidR="00D551E1" w:rsidRPr="00CD459F" w:rsidRDefault="00313543" w:rsidP="00D551E1">
      <w:pPr>
        <w:ind w:left="720"/>
        <w:jc w:val="center"/>
        <w:rPr>
          <w:b/>
          <w:sz w:val="20"/>
          <w:szCs w:val="22"/>
        </w:rPr>
      </w:pPr>
      <w:r w:rsidRPr="00CD459F">
        <w:rPr>
          <w:position w:val="-24"/>
          <w:sz w:val="20"/>
          <w:szCs w:val="22"/>
        </w:rPr>
        <w:object w:dxaOrig="2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3.65pt;height:34pt" o:ole="">
            <v:imagedata r:id="rId8" o:title=""/>
          </v:shape>
          <o:OLEObject Type="Embed" ProgID="Equation.DSMT4" ShapeID="_x0000_i1027" DrawAspect="Content" ObjectID="_1445087844" r:id="rId9"/>
        </w:object>
      </w:r>
      <w:r w:rsidR="00D551E1" w:rsidRPr="00CD459F">
        <w:rPr>
          <w:sz w:val="20"/>
          <w:szCs w:val="22"/>
        </w:rPr>
        <w:t>,</w:t>
      </w:r>
    </w:p>
    <w:p w:rsidR="00D551E1" w:rsidRDefault="00D551E1" w:rsidP="00D551E1">
      <w:pPr>
        <w:ind w:left="720"/>
        <w:rPr>
          <w:b/>
          <w:sz w:val="20"/>
          <w:szCs w:val="22"/>
        </w:rPr>
      </w:pPr>
      <w:r w:rsidRPr="00CD459F">
        <w:rPr>
          <w:b/>
          <w:sz w:val="20"/>
          <w:szCs w:val="22"/>
        </w:rPr>
        <w:t xml:space="preserve">MPR is limited to the minimum of the MPR currently specified in Section 6.2.3A and </w:t>
      </w:r>
      <w:r w:rsidRPr="00DA199B">
        <w:rPr>
          <w:b/>
          <w:sz w:val="20"/>
          <w:szCs w:val="22"/>
        </w:rPr>
        <w:t>5.5</w:t>
      </w:r>
      <w:r w:rsidR="00313543">
        <w:rPr>
          <w:b/>
          <w:sz w:val="20"/>
          <w:szCs w:val="22"/>
        </w:rPr>
        <w:t xml:space="preserve"> dB</w:t>
      </w:r>
    </w:p>
    <w:p w:rsidR="00D551E1" w:rsidRDefault="00D551E1" w:rsidP="00D551E1">
      <w:pPr>
        <w:rPr>
          <w:sz w:val="20"/>
          <w:szCs w:val="22"/>
        </w:rPr>
      </w:pPr>
    </w:p>
    <w:p w:rsidR="00313543" w:rsidRDefault="00313543" w:rsidP="00D551E1">
      <w:pPr>
        <w:rPr>
          <w:sz w:val="20"/>
          <w:szCs w:val="22"/>
        </w:rPr>
      </w:pPr>
      <w:r>
        <w:rPr>
          <w:sz w:val="20"/>
          <w:szCs w:val="22"/>
        </w:rPr>
        <w:t>Proposal 1 limits the MPR to 5.5 dB so long as the fifth order IM’s do not reach the spurious domain.</w:t>
      </w:r>
    </w:p>
    <w:p w:rsidR="00313543" w:rsidRDefault="00313543" w:rsidP="00605CD0">
      <w:pPr>
        <w:rPr>
          <w:sz w:val="20"/>
        </w:rPr>
      </w:pPr>
    </w:p>
    <w:p w:rsidR="00605CD0" w:rsidRPr="00CD459F" w:rsidRDefault="00605CD0" w:rsidP="00605CD0">
      <w:pPr>
        <w:rPr>
          <w:b/>
          <w:sz w:val="20"/>
          <w:szCs w:val="22"/>
        </w:rPr>
      </w:pPr>
      <w:r w:rsidRPr="00313543">
        <w:rPr>
          <w:b/>
          <w:sz w:val="20"/>
          <w:szCs w:val="22"/>
          <w:u w:val="single"/>
        </w:rPr>
        <w:t>Proposal 2</w:t>
      </w:r>
      <w:r w:rsidRPr="00CD459F">
        <w:rPr>
          <w:b/>
          <w:sz w:val="20"/>
          <w:szCs w:val="22"/>
        </w:rPr>
        <w:t xml:space="preserve">: </w:t>
      </w:r>
    </w:p>
    <w:p w:rsidR="00605CD0" w:rsidRPr="00CD459F" w:rsidRDefault="00605CD0" w:rsidP="00605CD0">
      <w:pPr>
        <w:ind w:left="720"/>
        <w:rPr>
          <w:b/>
          <w:sz w:val="20"/>
          <w:szCs w:val="22"/>
        </w:rPr>
      </w:pPr>
      <w:r w:rsidRPr="00CD459F">
        <w:rPr>
          <w:b/>
          <w:sz w:val="20"/>
          <w:szCs w:val="22"/>
        </w:rPr>
        <w:t xml:space="preserve">For contiguous intra-band carrier aggregation of two component carriers, the MPR for any </w:t>
      </w:r>
      <w:r w:rsidR="008F5B8F">
        <w:rPr>
          <w:b/>
          <w:sz w:val="20"/>
          <w:szCs w:val="22"/>
        </w:rPr>
        <w:t>non-contiguous resource</w:t>
      </w:r>
      <w:r w:rsidRPr="00CD459F">
        <w:rPr>
          <w:b/>
          <w:sz w:val="20"/>
          <w:szCs w:val="22"/>
        </w:rPr>
        <w:t xml:space="preserve"> allocation for which </w:t>
      </w:r>
    </w:p>
    <w:p w:rsidR="00605CD0" w:rsidRPr="00CD459F" w:rsidRDefault="002E15C3" w:rsidP="00605CD0">
      <w:pPr>
        <w:ind w:left="720"/>
        <w:jc w:val="center"/>
        <w:rPr>
          <w:b/>
          <w:sz w:val="20"/>
          <w:szCs w:val="22"/>
        </w:rPr>
      </w:pPr>
      <w:r w:rsidRPr="00CD459F">
        <w:rPr>
          <w:position w:val="-24"/>
          <w:sz w:val="20"/>
          <w:szCs w:val="22"/>
        </w:rPr>
        <w:object w:dxaOrig="2060" w:dyaOrig="620">
          <v:shape id="_x0000_i1028" type="#_x0000_t75" style="width:102.55pt;height:30.55pt" o:ole="">
            <v:imagedata r:id="rId10" o:title=""/>
          </v:shape>
          <o:OLEObject Type="Embed" ProgID="Equation.DSMT4" ShapeID="_x0000_i1028" DrawAspect="Content" ObjectID="_1445087845" r:id="rId11"/>
        </w:object>
      </w:r>
      <w:r w:rsidR="00605CD0" w:rsidRPr="00CD459F">
        <w:rPr>
          <w:sz w:val="20"/>
          <w:szCs w:val="22"/>
        </w:rPr>
        <w:t>,</w:t>
      </w:r>
    </w:p>
    <w:p w:rsidR="00605CD0" w:rsidRDefault="00605CD0" w:rsidP="00605CD0">
      <w:pPr>
        <w:ind w:firstLine="720"/>
        <w:rPr>
          <w:b/>
          <w:sz w:val="20"/>
          <w:szCs w:val="22"/>
        </w:rPr>
      </w:pPr>
      <w:r w:rsidRPr="00CD459F">
        <w:rPr>
          <w:b/>
          <w:sz w:val="20"/>
          <w:szCs w:val="22"/>
        </w:rPr>
        <w:lastRenderedPageBreak/>
        <w:t xml:space="preserve">MPR is limited to the minimum of the MPR currently specified in Section 6.2.3A and </w:t>
      </w:r>
      <w:r w:rsidRPr="00D176E9">
        <w:rPr>
          <w:b/>
          <w:sz w:val="20"/>
          <w:szCs w:val="22"/>
        </w:rPr>
        <w:t>4.5</w:t>
      </w:r>
      <w:r w:rsidRPr="00CD459F">
        <w:rPr>
          <w:b/>
          <w:sz w:val="20"/>
          <w:szCs w:val="22"/>
        </w:rPr>
        <w:t xml:space="preserve"> dB.</w:t>
      </w:r>
    </w:p>
    <w:p w:rsidR="00313543" w:rsidRDefault="00313543" w:rsidP="00313543">
      <w:pPr>
        <w:rPr>
          <w:b/>
          <w:sz w:val="20"/>
          <w:szCs w:val="22"/>
        </w:rPr>
      </w:pPr>
    </w:p>
    <w:p w:rsidR="00313543" w:rsidRPr="00313543" w:rsidRDefault="00313543" w:rsidP="00313543">
      <w:pPr>
        <w:rPr>
          <w:sz w:val="20"/>
          <w:szCs w:val="22"/>
        </w:rPr>
      </w:pPr>
      <w:r w:rsidRPr="00313543">
        <w:rPr>
          <w:sz w:val="20"/>
          <w:szCs w:val="22"/>
        </w:rPr>
        <w:t>Proposal 2 limits the MPR to 4.5 dB so long as the fifth order IM’s do not reach the outermost 5 MHz of the SEM</w:t>
      </w:r>
      <w:r>
        <w:rPr>
          <w:sz w:val="20"/>
          <w:szCs w:val="22"/>
        </w:rPr>
        <w:t>.</w:t>
      </w:r>
    </w:p>
    <w:p w:rsidR="00313543" w:rsidRDefault="00313543" w:rsidP="00605CD0">
      <w:pPr>
        <w:ind w:firstLine="720"/>
        <w:rPr>
          <w:b/>
          <w:sz w:val="20"/>
          <w:szCs w:val="22"/>
        </w:rPr>
      </w:pPr>
    </w:p>
    <w:p w:rsidR="00313543" w:rsidRPr="00CD459F" w:rsidRDefault="00313543" w:rsidP="00313543">
      <w:pPr>
        <w:rPr>
          <w:b/>
          <w:sz w:val="20"/>
          <w:szCs w:val="22"/>
        </w:rPr>
      </w:pPr>
      <w:r w:rsidRPr="00313543">
        <w:rPr>
          <w:b/>
          <w:sz w:val="20"/>
          <w:szCs w:val="22"/>
          <w:u w:val="single"/>
        </w:rPr>
        <w:t>Proposal 3</w:t>
      </w:r>
      <w:r w:rsidRPr="00CD459F">
        <w:rPr>
          <w:b/>
          <w:sz w:val="20"/>
          <w:szCs w:val="22"/>
        </w:rPr>
        <w:t>:</w:t>
      </w:r>
    </w:p>
    <w:p w:rsidR="00313543" w:rsidRDefault="00313543" w:rsidP="00313543">
      <w:pPr>
        <w:ind w:left="720"/>
        <w:rPr>
          <w:b/>
          <w:sz w:val="20"/>
          <w:szCs w:val="22"/>
        </w:rPr>
      </w:pPr>
      <w:r w:rsidRPr="00CD459F">
        <w:rPr>
          <w:b/>
          <w:sz w:val="20"/>
          <w:szCs w:val="22"/>
        </w:rPr>
        <w:t>For contiguous intra-band carrier aggregation of two comp</w:t>
      </w:r>
      <w:r>
        <w:rPr>
          <w:b/>
          <w:sz w:val="20"/>
          <w:szCs w:val="22"/>
        </w:rPr>
        <w:t>onent carriers, the MPR for any non-contiguous resource</w:t>
      </w:r>
      <w:r w:rsidRPr="00CD459F">
        <w:rPr>
          <w:b/>
          <w:sz w:val="20"/>
          <w:szCs w:val="22"/>
        </w:rPr>
        <w:t xml:space="preserve"> allocation for which </w:t>
      </w:r>
    </w:p>
    <w:p w:rsidR="00313543" w:rsidRPr="00CD459F" w:rsidRDefault="0044683E" w:rsidP="00313543">
      <w:pPr>
        <w:ind w:left="720"/>
        <w:jc w:val="center"/>
        <w:rPr>
          <w:b/>
          <w:sz w:val="20"/>
          <w:szCs w:val="22"/>
        </w:rPr>
      </w:pPr>
      <w:r w:rsidRPr="00CD459F">
        <w:rPr>
          <w:position w:val="-24"/>
          <w:sz w:val="20"/>
          <w:szCs w:val="22"/>
        </w:rPr>
        <w:object w:dxaOrig="2060" w:dyaOrig="620">
          <v:shape id="_x0000_i1029" type="#_x0000_t75" style="width:103.1pt;height:31.7pt" o:ole="">
            <v:imagedata r:id="rId12" o:title=""/>
          </v:shape>
          <o:OLEObject Type="Embed" ProgID="Equation.DSMT4" ShapeID="_x0000_i1029" DrawAspect="Content" ObjectID="_1445087846" r:id="rId13"/>
        </w:object>
      </w:r>
      <w:r w:rsidR="00313543" w:rsidRPr="00CD459F">
        <w:rPr>
          <w:sz w:val="20"/>
          <w:szCs w:val="22"/>
        </w:rPr>
        <w:t>,</w:t>
      </w:r>
    </w:p>
    <w:p w:rsidR="00313543" w:rsidRPr="00CD459F" w:rsidRDefault="00313543" w:rsidP="00313543">
      <w:pPr>
        <w:ind w:left="720"/>
        <w:rPr>
          <w:b/>
          <w:sz w:val="20"/>
          <w:szCs w:val="22"/>
        </w:rPr>
      </w:pPr>
      <w:r w:rsidRPr="00CD459F">
        <w:rPr>
          <w:b/>
          <w:sz w:val="20"/>
          <w:szCs w:val="22"/>
        </w:rPr>
        <w:t xml:space="preserve">MPR is limited to the minimum of the MPR currently specified in Section 6.2.3A and </w:t>
      </w:r>
      <w:r w:rsidRPr="005A6553">
        <w:rPr>
          <w:b/>
          <w:sz w:val="20"/>
          <w:szCs w:val="22"/>
        </w:rPr>
        <w:t>4.5</w:t>
      </w:r>
      <w:r w:rsidRPr="00CD459F">
        <w:rPr>
          <w:b/>
          <w:sz w:val="20"/>
          <w:szCs w:val="22"/>
        </w:rPr>
        <w:t xml:space="preserve"> dB.</w:t>
      </w:r>
      <w:r>
        <w:rPr>
          <w:b/>
          <w:sz w:val="20"/>
          <w:szCs w:val="22"/>
        </w:rPr>
        <w:t xml:space="preserve">  </w:t>
      </w:r>
      <w:r w:rsidRPr="00CD459F">
        <w:rPr>
          <w:b/>
          <w:sz w:val="20"/>
          <w:szCs w:val="22"/>
        </w:rPr>
        <w:t xml:space="preserve">For any </w:t>
      </w:r>
      <w:r>
        <w:rPr>
          <w:b/>
          <w:sz w:val="20"/>
          <w:szCs w:val="22"/>
        </w:rPr>
        <w:t>non-contiguous resource</w:t>
      </w:r>
      <w:r w:rsidRPr="00CD459F">
        <w:rPr>
          <w:b/>
          <w:sz w:val="20"/>
          <w:szCs w:val="22"/>
        </w:rPr>
        <w:t xml:space="preserve"> allocation for which </w:t>
      </w:r>
    </w:p>
    <w:p w:rsidR="00313543" w:rsidRPr="00CD459F" w:rsidRDefault="0044683E" w:rsidP="00313543">
      <w:pPr>
        <w:ind w:left="720"/>
        <w:jc w:val="center"/>
        <w:rPr>
          <w:b/>
          <w:sz w:val="20"/>
          <w:szCs w:val="22"/>
        </w:rPr>
      </w:pPr>
      <w:r w:rsidRPr="00CD459F">
        <w:rPr>
          <w:position w:val="-24"/>
          <w:sz w:val="20"/>
          <w:szCs w:val="22"/>
        </w:rPr>
        <w:object w:dxaOrig="4239" w:dyaOrig="660">
          <v:shape id="_x0000_i1030" type="#_x0000_t75" style="width:210.8pt;height:34pt" o:ole="">
            <v:imagedata r:id="rId14" o:title=""/>
          </v:shape>
          <o:OLEObject Type="Embed" ProgID="Equation.DSMT4" ShapeID="_x0000_i1030" DrawAspect="Content" ObjectID="_1445087847" r:id="rId15"/>
        </w:object>
      </w:r>
      <w:r w:rsidR="00313543" w:rsidRPr="00CD459F">
        <w:rPr>
          <w:sz w:val="20"/>
          <w:szCs w:val="22"/>
        </w:rPr>
        <w:t>,</w:t>
      </w:r>
    </w:p>
    <w:p w:rsidR="00313543" w:rsidRDefault="00313543" w:rsidP="00313543">
      <w:pPr>
        <w:ind w:left="720"/>
        <w:rPr>
          <w:b/>
          <w:sz w:val="20"/>
          <w:szCs w:val="22"/>
        </w:rPr>
      </w:pPr>
      <w:r w:rsidRPr="00CD459F">
        <w:rPr>
          <w:b/>
          <w:sz w:val="20"/>
          <w:szCs w:val="22"/>
        </w:rPr>
        <w:t xml:space="preserve">MPR is limited to the minimum of the MPR currently specified in Section 6.2.3A and </w:t>
      </w:r>
      <w:r w:rsidRPr="005A6553">
        <w:rPr>
          <w:b/>
          <w:sz w:val="20"/>
          <w:szCs w:val="22"/>
        </w:rPr>
        <w:t>5.5</w:t>
      </w:r>
      <w:r w:rsidRPr="00CD459F">
        <w:rPr>
          <w:b/>
          <w:sz w:val="20"/>
          <w:szCs w:val="22"/>
        </w:rPr>
        <w:t xml:space="preserve"> dB.</w:t>
      </w:r>
    </w:p>
    <w:p w:rsidR="00313543" w:rsidRDefault="00313543" w:rsidP="00605CD0">
      <w:pPr>
        <w:ind w:firstLine="720"/>
        <w:rPr>
          <w:sz w:val="20"/>
          <w:szCs w:val="22"/>
        </w:rPr>
      </w:pPr>
    </w:p>
    <w:p w:rsidR="00313543" w:rsidRDefault="00313543" w:rsidP="00A4577E">
      <w:pPr>
        <w:rPr>
          <w:sz w:val="20"/>
          <w:szCs w:val="22"/>
        </w:rPr>
      </w:pPr>
      <w:r w:rsidRPr="00313543">
        <w:rPr>
          <w:sz w:val="20"/>
          <w:szCs w:val="22"/>
        </w:rPr>
        <w:t xml:space="preserve">Proposal </w:t>
      </w:r>
      <w:r>
        <w:rPr>
          <w:sz w:val="20"/>
          <w:szCs w:val="22"/>
        </w:rPr>
        <w:t>3</w:t>
      </w:r>
      <w:r w:rsidRPr="00313543">
        <w:rPr>
          <w:sz w:val="20"/>
          <w:szCs w:val="22"/>
        </w:rPr>
        <w:t xml:space="preserve"> limits the MPR to 4.5 dB so long as the fifth order IM’s do not reach the outermost 5 MHz of the SEM</w:t>
      </w:r>
      <w:r w:rsidR="004218CD">
        <w:rPr>
          <w:sz w:val="20"/>
          <w:szCs w:val="22"/>
        </w:rPr>
        <w:t xml:space="preserve">, and to 5.5 dB if the </w:t>
      </w:r>
      <w:r>
        <w:rPr>
          <w:sz w:val="20"/>
          <w:szCs w:val="22"/>
        </w:rPr>
        <w:t>fifth order IM’s extend to the outermost 5 MHz of the SEM but do not reach the spurious domain</w:t>
      </w:r>
      <w:r w:rsidR="004218CD">
        <w:rPr>
          <w:sz w:val="20"/>
          <w:szCs w:val="22"/>
        </w:rPr>
        <w:t>.</w:t>
      </w:r>
    </w:p>
    <w:p w:rsidR="00313543" w:rsidRDefault="00313543" w:rsidP="00A4577E">
      <w:pPr>
        <w:rPr>
          <w:sz w:val="20"/>
          <w:szCs w:val="22"/>
        </w:rPr>
      </w:pPr>
    </w:p>
    <w:p w:rsidR="00313543" w:rsidRDefault="00313543" w:rsidP="00A4577E">
      <w:pPr>
        <w:rPr>
          <w:sz w:val="20"/>
          <w:szCs w:val="22"/>
        </w:rPr>
      </w:pPr>
      <w:r>
        <w:rPr>
          <w:sz w:val="20"/>
          <w:szCs w:val="22"/>
        </w:rPr>
        <w:t xml:space="preserve">The following comparisons can be made </w:t>
      </w:r>
      <w:r w:rsidR="004218CD">
        <w:rPr>
          <w:sz w:val="20"/>
          <w:szCs w:val="22"/>
        </w:rPr>
        <w:t>among</w:t>
      </w:r>
      <w:r>
        <w:rPr>
          <w:sz w:val="20"/>
          <w:szCs w:val="22"/>
        </w:rPr>
        <w:t xml:space="preserve"> the three proposals:</w:t>
      </w:r>
    </w:p>
    <w:p w:rsidR="00313543" w:rsidRDefault="00313543" w:rsidP="00A4577E">
      <w:pPr>
        <w:rPr>
          <w:sz w:val="20"/>
          <w:szCs w:val="22"/>
        </w:rPr>
      </w:pPr>
    </w:p>
    <w:p w:rsidR="00313543" w:rsidRDefault="00313543" w:rsidP="00313543">
      <w:pPr>
        <w:numPr>
          <w:ilvl w:val="0"/>
          <w:numId w:val="34"/>
        </w:numPr>
        <w:rPr>
          <w:sz w:val="20"/>
          <w:szCs w:val="22"/>
        </w:rPr>
      </w:pPr>
      <w:r>
        <w:rPr>
          <w:sz w:val="20"/>
          <w:szCs w:val="22"/>
        </w:rPr>
        <w:t xml:space="preserve">The complexity of Proposals 1 and 2 is </w:t>
      </w:r>
      <w:r w:rsidR="002E15C3">
        <w:rPr>
          <w:sz w:val="20"/>
          <w:szCs w:val="22"/>
        </w:rPr>
        <w:t xml:space="preserve">precisely </w:t>
      </w:r>
      <w:r>
        <w:rPr>
          <w:sz w:val="20"/>
          <w:szCs w:val="22"/>
        </w:rPr>
        <w:t>the same as both require the calculation</w:t>
      </w:r>
      <w:r w:rsidR="002E15C3">
        <w:rPr>
          <w:sz w:val="20"/>
          <w:szCs w:val="22"/>
        </w:rPr>
        <w:t xml:space="preserve"> of the value </w:t>
      </w:r>
      <w:r w:rsidR="002E15C3" w:rsidRPr="00313543">
        <w:rPr>
          <w:rFonts w:ascii="Symbol" w:hAnsi="Symbol"/>
          <w:b/>
          <w:sz w:val="20"/>
          <w:szCs w:val="22"/>
        </w:rPr>
        <w:t></w:t>
      </w:r>
      <w:r w:rsidR="002E15C3" w:rsidRPr="00313543">
        <w:rPr>
          <w:sz w:val="20"/>
          <w:szCs w:val="22"/>
          <w:vertAlign w:val="subscript"/>
        </w:rPr>
        <w:t>IM5</w:t>
      </w:r>
      <w:r w:rsidR="002E15C3">
        <w:rPr>
          <w:sz w:val="20"/>
          <w:szCs w:val="22"/>
        </w:rPr>
        <w:t xml:space="preserve"> and the comparison of this value with a single threshold.</w:t>
      </w:r>
    </w:p>
    <w:p w:rsidR="002E15C3" w:rsidRDefault="002E15C3" w:rsidP="002E15C3">
      <w:pPr>
        <w:ind w:left="1440"/>
        <w:rPr>
          <w:sz w:val="20"/>
          <w:szCs w:val="22"/>
        </w:rPr>
      </w:pPr>
    </w:p>
    <w:p w:rsidR="002E15C3" w:rsidRDefault="002E15C3" w:rsidP="00313543">
      <w:pPr>
        <w:numPr>
          <w:ilvl w:val="0"/>
          <w:numId w:val="34"/>
        </w:numPr>
        <w:rPr>
          <w:sz w:val="20"/>
          <w:szCs w:val="22"/>
        </w:rPr>
      </w:pPr>
      <w:r>
        <w:rPr>
          <w:sz w:val="20"/>
          <w:szCs w:val="22"/>
        </w:rPr>
        <w:t xml:space="preserve">The complexity of Proposal 3 is very slightly greater than for Proposals 1 and 2, as the value </w:t>
      </w:r>
      <w:r w:rsidRPr="00313543">
        <w:rPr>
          <w:rFonts w:ascii="Symbol" w:hAnsi="Symbol"/>
          <w:b/>
          <w:sz w:val="20"/>
          <w:szCs w:val="22"/>
        </w:rPr>
        <w:t></w:t>
      </w:r>
      <w:r w:rsidRPr="00313543">
        <w:rPr>
          <w:sz w:val="20"/>
          <w:szCs w:val="22"/>
          <w:vertAlign w:val="subscript"/>
        </w:rPr>
        <w:t>IM5</w:t>
      </w:r>
      <w:r>
        <w:rPr>
          <w:sz w:val="20"/>
          <w:szCs w:val="22"/>
        </w:rPr>
        <w:t xml:space="preserve"> must be compared to two thresholds and, depending on the outcome of this comparison, two different MPR limits apply.</w:t>
      </w:r>
    </w:p>
    <w:p w:rsidR="002E15C3" w:rsidRDefault="002E15C3" w:rsidP="002E15C3">
      <w:pPr>
        <w:pStyle w:val="ListParagraph"/>
        <w:rPr>
          <w:sz w:val="20"/>
          <w:szCs w:val="22"/>
        </w:rPr>
      </w:pPr>
    </w:p>
    <w:p w:rsidR="002E15C3" w:rsidRDefault="002E15C3" w:rsidP="00313543">
      <w:pPr>
        <w:numPr>
          <w:ilvl w:val="0"/>
          <w:numId w:val="34"/>
        </w:numPr>
        <w:rPr>
          <w:sz w:val="20"/>
          <w:szCs w:val="22"/>
        </w:rPr>
      </w:pPr>
      <w:r>
        <w:rPr>
          <w:sz w:val="20"/>
          <w:szCs w:val="22"/>
        </w:rPr>
        <w:t>The MPR limit for Proposal 1 is larger than for Proposal 2 (5.5 dB vs. 4.5 dB), but the set of non-contiguous resource allocations for which Proposal 1 applies is larger than the set for which Proposal 2 applies (see Figure 1 below).</w:t>
      </w:r>
    </w:p>
    <w:p w:rsidR="002E15C3" w:rsidRDefault="002E15C3" w:rsidP="002E15C3">
      <w:pPr>
        <w:pStyle w:val="ListParagraph"/>
        <w:rPr>
          <w:sz w:val="20"/>
          <w:szCs w:val="22"/>
        </w:rPr>
      </w:pPr>
    </w:p>
    <w:p w:rsidR="002E15C3" w:rsidRDefault="002E15C3" w:rsidP="00313543">
      <w:pPr>
        <w:numPr>
          <w:ilvl w:val="0"/>
          <w:numId w:val="34"/>
        </w:numPr>
        <w:rPr>
          <w:sz w:val="20"/>
          <w:szCs w:val="22"/>
        </w:rPr>
      </w:pPr>
      <w:r>
        <w:rPr>
          <w:sz w:val="20"/>
          <w:szCs w:val="22"/>
        </w:rPr>
        <w:t>The MPR limit for Proposal 3 is always less than or equal to the MPR limit for Proposals 1 and 2.</w:t>
      </w:r>
    </w:p>
    <w:p w:rsidR="002E15C3" w:rsidRDefault="002E15C3" w:rsidP="002E15C3">
      <w:pPr>
        <w:pStyle w:val="ListParagraph"/>
        <w:rPr>
          <w:sz w:val="20"/>
          <w:szCs w:val="22"/>
        </w:rPr>
      </w:pPr>
    </w:p>
    <w:p w:rsidR="002E15C3" w:rsidRDefault="002E15C3" w:rsidP="002E15C3">
      <w:pPr>
        <w:rPr>
          <w:sz w:val="20"/>
          <w:szCs w:val="22"/>
        </w:rPr>
      </w:pPr>
      <w:r>
        <w:rPr>
          <w:sz w:val="20"/>
          <w:szCs w:val="22"/>
        </w:rPr>
        <w:t xml:space="preserve">The set of non-contiguous resource allocations to which Proposals 1-3 apply is indicated in Figure 1 for the aggregation of two 20 MHz component carriers.  In this figure, the blue line (labelled </w:t>
      </w:r>
      <w:proofErr w:type="spellStart"/>
      <w:r w:rsidRPr="002E15C3">
        <w:rPr>
          <w:i/>
          <w:color w:val="548DD4" w:themeColor="text2" w:themeTint="99"/>
          <w:sz w:val="20"/>
          <w:szCs w:val="22"/>
        </w:rPr>
        <w:t>RB_</w:t>
      </w:r>
      <w:r>
        <w:rPr>
          <w:i/>
          <w:color w:val="548DD4" w:themeColor="text2" w:themeTint="99"/>
          <w:sz w:val="20"/>
          <w:szCs w:val="22"/>
        </w:rPr>
        <w:t>min</w:t>
      </w:r>
      <w:proofErr w:type="spellEnd"/>
      <w:r>
        <w:rPr>
          <w:sz w:val="20"/>
          <w:szCs w:val="22"/>
        </w:rPr>
        <w:t xml:space="preserve">) indicates the minimum RB index (read off the vertical axis) for a given non-contiguous resource allocation.  Reading across the plot horizontally, the red line (labelled </w:t>
      </w:r>
      <w:r w:rsidRPr="002E15C3">
        <w:rPr>
          <w:i/>
          <w:color w:val="FF0000"/>
          <w:sz w:val="20"/>
          <w:szCs w:val="22"/>
        </w:rPr>
        <w:t>RB_max_SEM,5</w:t>
      </w:r>
      <w:r>
        <w:rPr>
          <w:sz w:val="20"/>
          <w:szCs w:val="22"/>
        </w:rPr>
        <w:t xml:space="preserve">) indicates the corresponding maximum RB index (read off the horizontal axis) for the non-contiguous resource allocation such that the fifth order IM’s do not extend to the outermost 5 MHz of the SEM.  Similarly, the green line (labelled </w:t>
      </w:r>
      <w:proofErr w:type="spellStart"/>
      <w:r w:rsidRPr="002E15C3">
        <w:rPr>
          <w:i/>
          <w:color w:val="00B050"/>
          <w:sz w:val="20"/>
          <w:szCs w:val="22"/>
        </w:rPr>
        <w:t>RB_max_spurious</w:t>
      </w:r>
      <w:proofErr w:type="spellEnd"/>
      <w:r>
        <w:rPr>
          <w:sz w:val="20"/>
          <w:szCs w:val="22"/>
        </w:rPr>
        <w:t xml:space="preserve">) indicates the corresponding maximum RB index (read off the horizontal </w:t>
      </w:r>
      <w:r w:rsidR="004218CD">
        <w:rPr>
          <w:sz w:val="20"/>
          <w:szCs w:val="22"/>
        </w:rPr>
        <w:t>axis</w:t>
      </w:r>
      <w:r>
        <w:rPr>
          <w:sz w:val="20"/>
          <w:szCs w:val="22"/>
        </w:rPr>
        <w:t>) for the non-contiguous resource allocation such that the fifth order IM’s do not extend to the spurious domain.</w:t>
      </w:r>
    </w:p>
    <w:p w:rsidR="00EA3DFC" w:rsidRDefault="00EA3DFC" w:rsidP="006129E8">
      <w:pPr>
        <w:rPr>
          <w:sz w:val="20"/>
        </w:rPr>
      </w:pPr>
    </w:p>
    <w:p w:rsidR="00381374" w:rsidRDefault="00C34BD1" w:rsidP="00281E50">
      <w:pPr>
        <w:rPr>
          <w:sz w:val="20"/>
        </w:rPr>
      </w:pPr>
      <w:r>
        <w:rPr>
          <w:sz w:val="20"/>
        </w:rPr>
        <w:t xml:space="preserve">Two examples are shown in Figure </w:t>
      </w:r>
      <w:r w:rsidR="002E15C3">
        <w:rPr>
          <w:sz w:val="20"/>
        </w:rPr>
        <w:t>1</w:t>
      </w:r>
      <w:r>
        <w:rPr>
          <w:sz w:val="20"/>
        </w:rPr>
        <w:t xml:space="preserve">.  In </w:t>
      </w:r>
      <w:r w:rsidR="001D6E85">
        <w:rPr>
          <w:sz w:val="20"/>
        </w:rPr>
        <w:t xml:space="preserve">the </w:t>
      </w:r>
      <w:r w:rsidR="00281E50">
        <w:rPr>
          <w:sz w:val="20"/>
        </w:rPr>
        <w:t xml:space="preserve">first </w:t>
      </w:r>
      <w:r w:rsidR="000753CE">
        <w:rPr>
          <w:sz w:val="20"/>
        </w:rPr>
        <w:t>example</w:t>
      </w:r>
      <w:proofErr w:type="gramStart"/>
      <w:r w:rsidR="00381374">
        <w:rPr>
          <w:sz w:val="20"/>
        </w:rPr>
        <w:t xml:space="preserve">, </w:t>
      </w:r>
      <w:r w:rsidR="00B836A8">
        <w:rPr>
          <w:sz w:val="20"/>
        </w:rPr>
        <w:t xml:space="preserve"> </w:t>
      </w:r>
      <w:proofErr w:type="spellStart"/>
      <w:r w:rsidR="00B836A8" w:rsidRPr="000753CE">
        <w:rPr>
          <w:i/>
          <w:sz w:val="20"/>
        </w:rPr>
        <w:t>RB</w:t>
      </w:r>
      <w:proofErr w:type="gramEnd"/>
      <w:r w:rsidR="00B836A8" w:rsidRPr="000753CE">
        <w:rPr>
          <w:i/>
          <w:sz w:val="20"/>
        </w:rPr>
        <w:t>_min</w:t>
      </w:r>
      <w:proofErr w:type="spellEnd"/>
      <w:r w:rsidR="00B836A8">
        <w:rPr>
          <w:sz w:val="20"/>
        </w:rPr>
        <w:t xml:space="preserve"> </w:t>
      </w:r>
      <w:r w:rsidR="00381374">
        <w:rPr>
          <w:sz w:val="20"/>
        </w:rPr>
        <w:t xml:space="preserve">is </w:t>
      </w:r>
      <w:r>
        <w:rPr>
          <w:sz w:val="20"/>
        </w:rPr>
        <w:t xml:space="preserve">equal to </w:t>
      </w:r>
      <w:r w:rsidR="00281E50" w:rsidRPr="00381374">
        <w:rPr>
          <w:b/>
          <w:sz w:val="20"/>
        </w:rPr>
        <w:t>3</w:t>
      </w:r>
      <w:r w:rsidR="00B836A8" w:rsidRPr="00381374">
        <w:rPr>
          <w:b/>
          <w:sz w:val="20"/>
        </w:rPr>
        <w:t>0</w:t>
      </w:r>
      <w:r w:rsidR="00B836A8">
        <w:rPr>
          <w:sz w:val="20"/>
        </w:rPr>
        <w:t xml:space="preserve">.  For a </w:t>
      </w:r>
      <w:r w:rsidR="00707D47">
        <w:rPr>
          <w:sz w:val="20"/>
        </w:rPr>
        <w:t>non-contiguous resource allocation</w:t>
      </w:r>
      <w:r w:rsidR="004218CD">
        <w:rPr>
          <w:sz w:val="20"/>
        </w:rPr>
        <w:t xml:space="preserve"> with</w:t>
      </w:r>
      <w:r w:rsidR="00B836A8">
        <w:rPr>
          <w:sz w:val="20"/>
        </w:rPr>
        <w:t xml:space="preserve"> </w:t>
      </w:r>
      <w:proofErr w:type="spellStart"/>
      <w:r w:rsidR="00B836A8" w:rsidRPr="000753CE">
        <w:rPr>
          <w:i/>
          <w:sz w:val="20"/>
        </w:rPr>
        <w:t>RB_min</w:t>
      </w:r>
      <w:proofErr w:type="spellEnd"/>
      <w:r w:rsidR="00381374">
        <w:rPr>
          <w:i/>
          <w:sz w:val="20"/>
        </w:rPr>
        <w:t xml:space="preserve"> </w:t>
      </w:r>
      <w:r w:rsidR="00381374">
        <w:rPr>
          <w:sz w:val="20"/>
        </w:rPr>
        <w:t>equal to 30</w:t>
      </w:r>
      <w:r w:rsidR="00B836A8">
        <w:rPr>
          <w:sz w:val="20"/>
        </w:rPr>
        <w:t xml:space="preserve">, </w:t>
      </w:r>
      <w:r w:rsidR="00381374">
        <w:rPr>
          <w:sz w:val="20"/>
        </w:rPr>
        <w:t xml:space="preserve">the fifth order IM’s do not reach the spurious domain so long as </w:t>
      </w:r>
      <w:proofErr w:type="spellStart"/>
      <w:r w:rsidR="00381374" w:rsidRPr="000753CE">
        <w:rPr>
          <w:i/>
          <w:sz w:val="20"/>
        </w:rPr>
        <w:t>RB_ma</w:t>
      </w:r>
      <w:r w:rsidR="00381374">
        <w:rPr>
          <w:i/>
          <w:sz w:val="20"/>
        </w:rPr>
        <w:t>x</w:t>
      </w:r>
      <w:proofErr w:type="spellEnd"/>
      <w:r w:rsidR="00381374">
        <w:rPr>
          <w:i/>
          <w:sz w:val="20"/>
        </w:rPr>
        <w:t xml:space="preserve"> </w:t>
      </w:r>
      <w:r w:rsidR="00381374">
        <w:rPr>
          <w:sz w:val="20"/>
        </w:rPr>
        <w:t xml:space="preserve">is less than or equal to </w:t>
      </w:r>
      <w:r w:rsidR="00381374" w:rsidRPr="00381374">
        <w:rPr>
          <w:b/>
          <w:sz w:val="20"/>
        </w:rPr>
        <w:t>161</w:t>
      </w:r>
      <w:r w:rsidR="00381374">
        <w:rPr>
          <w:sz w:val="20"/>
        </w:rPr>
        <w:t xml:space="preserve">, and  the fifth order IM’s do not reach the outermost 5 MHz of the SEM so long as </w:t>
      </w:r>
      <w:proofErr w:type="spellStart"/>
      <w:r w:rsidR="00381374" w:rsidRPr="000753CE">
        <w:rPr>
          <w:i/>
          <w:sz w:val="20"/>
        </w:rPr>
        <w:t>RB_ma</w:t>
      </w:r>
      <w:r w:rsidR="00381374">
        <w:rPr>
          <w:i/>
          <w:sz w:val="20"/>
        </w:rPr>
        <w:t>x</w:t>
      </w:r>
      <w:proofErr w:type="spellEnd"/>
      <w:r w:rsidR="00381374">
        <w:rPr>
          <w:i/>
          <w:sz w:val="20"/>
        </w:rPr>
        <w:t xml:space="preserve"> </w:t>
      </w:r>
      <w:r w:rsidR="00381374">
        <w:rPr>
          <w:sz w:val="20"/>
        </w:rPr>
        <w:t xml:space="preserve">is less than or equal to </w:t>
      </w:r>
      <w:r w:rsidR="00381374" w:rsidRPr="00381374">
        <w:rPr>
          <w:b/>
          <w:sz w:val="20"/>
        </w:rPr>
        <w:t>147</w:t>
      </w:r>
      <w:r w:rsidR="00381374">
        <w:rPr>
          <w:sz w:val="20"/>
        </w:rPr>
        <w:t>.</w:t>
      </w:r>
    </w:p>
    <w:p w:rsidR="00381374" w:rsidRDefault="00381374" w:rsidP="00281E50">
      <w:pPr>
        <w:rPr>
          <w:sz w:val="20"/>
        </w:rPr>
      </w:pPr>
    </w:p>
    <w:p w:rsidR="00381374" w:rsidRPr="00381374" w:rsidRDefault="00381374" w:rsidP="00381374">
      <w:pPr>
        <w:rPr>
          <w:sz w:val="20"/>
        </w:rPr>
      </w:pPr>
      <w:r>
        <w:rPr>
          <w:sz w:val="20"/>
        </w:rPr>
        <w:t xml:space="preserve">In the second example, </w:t>
      </w:r>
      <w:proofErr w:type="spellStart"/>
      <w:r w:rsidRPr="000753CE">
        <w:rPr>
          <w:i/>
          <w:sz w:val="20"/>
        </w:rPr>
        <w:t>RB_min</w:t>
      </w:r>
      <w:proofErr w:type="spellEnd"/>
      <w:r>
        <w:rPr>
          <w:sz w:val="20"/>
        </w:rPr>
        <w:t xml:space="preserve"> is equal to 60.  For a non-contiguous resource allocation </w:t>
      </w:r>
      <w:r w:rsidR="004218CD">
        <w:rPr>
          <w:sz w:val="20"/>
        </w:rPr>
        <w:t xml:space="preserve">with </w:t>
      </w:r>
      <w:proofErr w:type="spellStart"/>
      <w:r w:rsidRPr="000753CE">
        <w:rPr>
          <w:i/>
          <w:sz w:val="20"/>
        </w:rPr>
        <w:t>RB_min</w:t>
      </w:r>
      <w:proofErr w:type="spellEnd"/>
      <w:r>
        <w:rPr>
          <w:i/>
          <w:sz w:val="20"/>
        </w:rPr>
        <w:t xml:space="preserve"> </w:t>
      </w:r>
      <w:r>
        <w:rPr>
          <w:sz w:val="20"/>
        </w:rPr>
        <w:t xml:space="preserve">equal to </w:t>
      </w:r>
      <w:r w:rsidRPr="00381374">
        <w:rPr>
          <w:b/>
          <w:sz w:val="20"/>
        </w:rPr>
        <w:t>60</w:t>
      </w:r>
      <w:r>
        <w:rPr>
          <w:sz w:val="20"/>
        </w:rPr>
        <w:t xml:space="preserve">, the fifth order IM’s do not reach the spurious domain so long as </w:t>
      </w:r>
      <w:proofErr w:type="spellStart"/>
      <w:r w:rsidRPr="000753CE">
        <w:rPr>
          <w:i/>
          <w:sz w:val="20"/>
        </w:rPr>
        <w:t>RB_ma</w:t>
      </w:r>
      <w:r>
        <w:rPr>
          <w:i/>
          <w:sz w:val="20"/>
        </w:rPr>
        <w:t>x</w:t>
      </w:r>
      <w:proofErr w:type="spellEnd"/>
      <w:r>
        <w:rPr>
          <w:i/>
          <w:sz w:val="20"/>
        </w:rPr>
        <w:t xml:space="preserve"> </w:t>
      </w:r>
      <w:r>
        <w:rPr>
          <w:sz w:val="20"/>
        </w:rPr>
        <w:t xml:space="preserve">is less than or equal to </w:t>
      </w:r>
      <w:r w:rsidRPr="00381374">
        <w:rPr>
          <w:b/>
          <w:sz w:val="20"/>
        </w:rPr>
        <w:t>183</w:t>
      </w:r>
      <w:r>
        <w:rPr>
          <w:sz w:val="20"/>
        </w:rPr>
        <w:t xml:space="preserve">, and  the fifth order IM’s do not reach the outermost 5 MHz of the SEM so long as </w:t>
      </w:r>
      <w:proofErr w:type="spellStart"/>
      <w:r w:rsidRPr="000753CE">
        <w:rPr>
          <w:i/>
          <w:sz w:val="20"/>
        </w:rPr>
        <w:t>RB_ma</w:t>
      </w:r>
      <w:r>
        <w:rPr>
          <w:i/>
          <w:sz w:val="20"/>
        </w:rPr>
        <w:t>x</w:t>
      </w:r>
      <w:proofErr w:type="spellEnd"/>
      <w:r>
        <w:rPr>
          <w:i/>
          <w:sz w:val="20"/>
        </w:rPr>
        <w:t xml:space="preserve"> </w:t>
      </w:r>
      <w:r>
        <w:rPr>
          <w:sz w:val="20"/>
        </w:rPr>
        <w:t xml:space="preserve">is less than or equal to </w:t>
      </w:r>
      <w:r w:rsidRPr="00381374">
        <w:rPr>
          <w:b/>
          <w:sz w:val="20"/>
        </w:rPr>
        <w:t>174</w:t>
      </w:r>
      <w:r>
        <w:rPr>
          <w:sz w:val="20"/>
        </w:rPr>
        <w:t>.</w:t>
      </w:r>
    </w:p>
    <w:p w:rsidR="00381374" w:rsidRPr="00381374" w:rsidRDefault="00381374" w:rsidP="00281E50">
      <w:pPr>
        <w:rPr>
          <w:sz w:val="20"/>
        </w:rPr>
      </w:pPr>
    </w:p>
    <w:p w:rsidR="00C9093B" w:rsidRDefault="00281E50" w:rsidP="00281E50">
      <w:pPr>
        <w:rPr>
          <w:sz w:val="20"/>
        </w:rPr>
      </w:pPr>
      <w:r>
        <w:rPr>
          <w:sz w:val="20"/>
        </w:rPr>
        <w:t>From these two examples, it can be seen that the scheduler has</w:t>
      </w:r>
      <w:r w:rsidR="00B836A8">
        <w:rPr>
          <w:sz w:val="20"/>
        </w:rPr>
        <w:t xml:space="preserve"> a great deal of flexibility in scheduling the </w:t>
      </w:r>
      <w:r w:rsidR="00381374">
        <w:rPr>
          <w:sz w:val="20"/>
        </w:rPr>
        <w:t>non-contiguous resources allocations</w:t>
      </w:r>
      <w:r w:rsidR="001D1CE3">
        <w:rPr>
          <w:sz w:val="20"/>
        </w:rPr>
        <w:t xml:space="preserve"> in a manner such that </w:t>
      </w:r>
      <w:r>
        <w:rPr>
          <w:sz w:val="20"/>
        </w:rPr>
        <w:t>a</w:t>
      </w:r>
      <w:r w:rsidR="001D1CE3">
        <w:rPr>
          <w:sz w:val="20"/>
        </w:rPr>
        <w:t xml:space="preserve"> reduced MPR applies</w:t>
      </w:r>
      <w:r w:rsidR="00C34BD1">
        <w:rPr>
          <w:sz w:val="20"/>
        </w:rPr>
        <w:t xml:space="preserve">, especially given that the scheduler can adjust the range by its selection of </w:t>
      </w:r>
      <w:r w:rsidR="00F22C53" w:rsidRPr="000753CE">
        <w:rPr>
          <w:i/>
          <w:sz w:val="20"/>
        </w:rPr>
        <w:t>RB_min</w:t>
      </w:r>
      <w:r w:rsidR="001D1CE3">
        <w:rPr>
          <w:sz w:val="20"/>
        </w:rPr>
        <w:t>.</w:t>
      </w:r>
      <w:r w:rsidR="00FB5C78">
        <w:rPr>
          <w:sz w:val="20"/>
        </w:rPr>
        <w:t xml:space="preserve">  In particular, it can be seen that regardless of the value of </w:t>
      </w:r>
      <w:r w:rsidR="00FB5C78" w:rsidRPr="00770035">
        <w:rPr>
          <w:i/>
          <w:sz w:val="20"/>
        </w:rPr>
        <w:t>RB_min</w:t>
      </w:r>
      <w:r w:rsidR="00FB5C78">
        <w:rPr>
          <w:sz w:val="20"/>
        </w:rPr>
        <w:t xml:space="preserve">, there is always a span of at least </w:t>
      </w:r>
      <w:r w:rsidR="00FB5C78" w:rsidRPr="00381374">
        <w:rPr>
          <w:b/>
          <w:sz w:val="20"/>
        </w:rPr>
        <w:t>102 RB</w:t>
      </w:r>
      <w:r w:rsidR="00381374">
        <w:rPr>
          <w:b/>
          <w:sz w:val="20"/>
        </w:rPr>
        <w:t>’</w:t>
      </w:r>
      <w:r w:rsidR="00FB5C78" w:rsidRPr="00381374">
        <w:rPr>
          <w:b/>
          <w:sz w:val="20"/>
        </w:rPr>
        <w:t>s</w:t>
      </w:r>
      <w:r w:rsidR="00FB5C78">
        <w:rPr>
          <w:sz w:val="20"/>
        </w:rPr>
        <w:t xml:space="preserve"> in which resources can be allocated such that </w:t>
      </w:r>
      <w:r w:rsidR="00381374">
        <w:rPr>
          <w:sz w:val="20"/>
        </w:rPr>
        <w:t xml:space="preserve">the fifth order IM’s do no reach the outermost 5 MHz of the SEM, and there is always a span of at least </w:t>
      </w:r>
      <w:r w:rsidR="00381374" w:rsidRPr="00381374">
        <w:rPr>
          <w:b/>
          <w:sz w:val="20"/>
        </w:rPr>
        <w:t>116 RB’s</w:t>
      </w:r>
      <w:r w:rsidR="00381374">
        <w:rPr>
          <w:sz w:val="20"/>
        </w:rPr>
        <w:t xml:space="preserve"> in which resources can be allocated such that the fifth order IM’s do not reach the spurious domain.</w:t>
      </w:r>
    </w:p>
    <w:p w:rsidR="001D1CE3" w:rsidRDefault="001D1CE3" w:rsidP="006129E8">
      <w:pPr>
        <w:rPr>
          <w:sz w:val="20"/>
        </w:rPr>
      </w:pPr>
    </w:p>
    <w:p w:rsidR="005047B1" w:rsidRDefault="005F1FCF" w:rsidP="005047B1">
      <w:pPr>
        <w:jc w:val="center"/>
      </w:pPr>
      <w:r>
        <w:lastRenderedPageBreak/>
        <w:pict>
          <v:shape id="_x0000_i1025" type="#_x0000_t75" style="width:303.55pt;height:252.85pt">
            <v:imagedata r:id="rId16" o:title=""/>
          </v:shape>
        </w:pict>
      </w:r>
    </w:p>
    <w:p w:rsidR="005047B1" w:rsidRDefault="005047B1" w:rsidP="005047B1">
      <w:pPr>
        <w:jc w:val="center"/>
      </w:pPr>
    </w:p>
    <w:p w:rsidR="005047B1" w:rsidRDefault="005047B1" w:rsidP="002E15C3">
      <w:pPr>
        <w:ind w:left="720"/>
        <w:rPr>
          <w:b/>
          <w:sz w:val="20"/>
        </w:rPr>
      </w:pPr>
      <w:r w:rsidRPr="000C613B">
        <w:rPr>
          <w:b/>
          <w:sz w:val="20"/>
        </w:rPr>
        <w:t xml:space="preserve">Figure </w:t>
      </w:r>
      <w:r w:rsidR="002E15C3">
        <w:rPr>
          <w:b/>
          <w:sz w:val="20"/>
        </w:rPr>
        <w:t>1</w:t>
      </w:r>
      <w:r w:rsidRPr="000C613B">
        <w:rPr>
          <w:b/>
          <w:sz w:val="20"/>
        </w:rPr>
        <w:t xml:space="preserve">: </w:t>
      </w:r>
      <w:r>
        <w:rPr>
          <w:b/>
          <w:sz w:val="20"/>
        </w:rPr>
        <w:t>Region</w:t>
      </w:r>
      <w:r w:rsidR="005A6553">
        <w:rPr>
          <w:b/>
          <w:sz w:val="20"/>
        </w:rPr>
        <w:t>s</w:t>
      </w:r>
      <w:r>
        <w:rPr>
          <w:b/>
          <w:sz w:val="20"/>
        </w:rPr>
        <w:t xml:space="preserve"> in which </w:t>
      </w:r>
      <w:r w:rsidR="00707D47">
        <w:rPr>
          <w:b/>
          <w:sz w:val="20"/>
        </w:rPr>
        <w:t>non-contiguous resource allocations</w:t>
      </w:r>
      <w:r>
        <w:rPr>
          <w:b/>
          <w:sz w:val="20"/>
        </w:rPr>
        <w:t xml:space="preserve"> can be scheduled with reduced MPR</w:t>
      </w:r>
      <w:r w:rsidR="002E15C3">
        <w:rPr>
          <w:b/>
          <w:sz w:val="20"/>
        </w:rPr>
        <w:t xml:space="preserve"> for two aggregated 20 MHz component carriers</w:t>
      </w:r>
      <w:r>
        <w:rPr>
          <w:b/>
          <w:sz w:val="20"/>
        </w:rPr>
        <w:t xml:space="preserve">.  </w:t>
      </w:r>
      <w:r w:rsidRPr="000753CE">
        <w:rPr>
          <w:b/>
          <w:i/>
          <w:sz w:val="20"/>
        </w:rPr>
        <w:t>RB_max</w:t>
      </w:r>
      <w:r>
        <w:rPr>
          <w:b/>
          <w:sz w:val="20"/>
        </w:rPr>
        <w:t xml:space="preserve"> for the </w:t>
      </w:r>
      <w:r w:rsidR="00707D47">
        <w:rPr>
          <w:b/>
          <w:sz w:val="20"/>
        </w:rPr>
        <w:t>non-contiguous resource allocation</w:t>
      </w:r>
      <w:r>
        <w:rPr>
          <w:b/>
          <w:sz w:val="20"/>
        </w:rPr>
        <w:t xml:space="preserve"> is shown as a function of </w:t>
      </w:r>
      <w:proofErr w:type="spellStart"/>
      <w:r w:rsidRPr="000753CE">
        <w:rPr>
          <w:b/>
          <w:i/>
          <w:sz w:val="20"/>
        </w:rPr>
        <w:t>RB_min</w:t>
      </w:r>
      <w:proofErr w:type="spellEnd"/>
      <w:r>
        <w:rPr>
          <w:b/>
          <w:sz w:val="20"/>
        </w:rPr>
        <w:t xml:space="preserve"> for </w:t>
      </w:r>
      <w:r w:rsidR="00381374">
        <w:rPr>
          <w:b/>
          <w:sz w:val="20"/>
        </w:rPr>
        <w:t xml:space="preserve">two different constraints on </w:t>
      </w:r>
      <w:r w:rsidR="00381374" w:rsidRPr="002E15C3">
        <w:rPr>
          <w:rFonts w:ascii="Symbol" w:hAnsi="Symbol"/>
          <w:b/>
          <w:sz w:val="22"/>
        </w:rPr>
        <w:t></w:t>
      </w:r>
      <w:r w:rsidR="00381374" w:rsidRPr="002E15C3">
        <w:rPr>
          <w:sz w:val="22"/>
          <w:vertAlign w:val="subscript"/>
        </w:rPr>
        <w:t>IM5</w:t>
      </w:r>
      <w:r w:rsidR="00381374">
        <w:rPr>
          <w:sz w:val="22"/>
          <w:vertAlign w:val="subscript"/>
        </w:rPr>
        <w:t>.</w:t>
      </w:r>
      <w:r w:rsidR="00381374">
        <w:rPr>
          <w:b/>
          <w:sz w:val="20"/>
        </w:rPr>
        <w:t xml:space="preserve"> </w:t>
      </w:r>
    </w:p>
    <w:p w:rsidR="00381374" w:rsidRDefault="00381374" w:rsidP="002E15C3">
      <w:pPr>
        <w:ind w:left="720"/>
        <w:rPr>
          <w:b/>
          <w:sz w:val="20"/>
          <w:szCs w:val="22"/>
        </w:rPr>
      </w:pPr>
    </w:p>
    <w:p w:rsidR="00381374" w:rsidRDefault="00381374" w:rsidP="00381374">
      <w:pPr>
        <w:rPr>
          <w:sz w:val="20"/>
          <w:szCs w:val="22"/>
        </w:rPr>
      </w:pPr>
      <w:r>
        <w:rPr>
          <w:sz w:val="20"/>
          <w:szCs w:val="22"/>
        </w:rPr>
        <w:t xml:space="preserve">From Figure 1 and the discussion above, it is clear that Proposals 1 and 3 allow the scheduler more flexibility to assign non-contiguous resource allocations such that a reduced MPR applies than does Proposal 2.  In particular, for a given value of </w:t>
      </w:r>
      <w:proofErr w:type="spellStart"/>
      <w:r w:rsidRPr="00381374">
        <w:rPr>
          <w:i/>
          <w:sz w:val="20"/>
          <w:szCs w:val="22"/>
        </w:rPr>
        <w:t>RB_min</w:t>
      </w:r>
      <w:proofErr w:type="spellEnd"/>
      <w:r>
        <w:rPr>
          <w:sz w:val="20"/>
          <w:szCs w:val="22"/>
        </w:rPr>
        <w:t>, the maximum RB which can be allocated with reduced MPR</w:t>
      </w:r>
      <w:r w:rsidR="004218CD">
        <w:rPr>
          <w:sz w:val="20"/>
          <w:szCs w:val="22"/>
        </w:rPr>
        <w:t xml:space="preserve"> is</w:t>
      </w:r>
      <w:r>
        <w:rPr>
          <w:sz w:val="20"/>
          <w:szCs w:val="22"/>
        </w:rPr>
        <w:t xml:space="preserve"> 9 to 14 RB’s </w:t>
      </w:r>
      <w:r w:rsidR="004218CD">
        <w:rPr>
          <w:sz w:val="20"/>
          <w:szCs w:val="22"/>
        </w:rPr>
        <w:t>larger</w:t>
      </w:r>
      <w:r>
        <w:rPr>
          <w:sz w:val="20"/>
          <w:szCs w:val="22"/>
        </w:rPr>
        <w:t xml:space="preserve"> for Proposals 1 and 3 than for Proposal 2, and this corresponds to an increase in the frequency span of the non-contiguous resource allocation by </w:t>
      </w:r>
      <w:r w:rsidRPr="00381374">
        <w:rPr>
          <w:b/>
          <w:sz w:val="20"/>
          <w:szCs w:val="22"/>
        </w:rPr>
        <w:t>1.6 to 2.4 MHz</w:t>
      </w:r>
      <w:r>
        <w:rPr>
          <w:sz w:val="20"/>
          <w:szCs w:val="22"/>
        </w:rPr>
        <w:t>, respectively</w:t>
      </w:r>
    </w:p>
    <w:p w:rsidR="00381374" w:rsidRDefault="00381374" w:rsidP="00381374">
      <w:pPr>
        <w:pStyle w:val="Heading1"/>
        <w:spacing w:after="120"/>
        <w:jc w:val="both"/>
        <w:rPr>
          <w:b/>
          <w:color w:val="000000"/>
        </w:rPr>
      </w:pPr>
      <w:r>
        <w:rPr>
          <w:b/>
          <w:color w:val="000000"/>
        </w:rPr>
        <w:t>Specification Impact</w:t>
      </w:r>
    </w:p>
    <w:p w:rsidR="00381374" w:rsidRDefault="005D5BB9" w:rsidP="00381374">
      <w:pPr>
        <w:rPr>
          <w:sz w:val="20"/>
        </w:rPr>
      </w:pPr>
      <w:r>
        <w:rPr>
          <w:sz w:val="20"/>
        </w:rPr>
        <w:t>From the discussion in the previous Section, the following observations can be made with respect to the three proposals:</w:t>
      </w:r>
    </w:p>
    <w:p w:rsidR="005D5BB9" w:rsidRDefault="005D5BB9" w:rsidP="00381374">
      <w:pPr>
        <w:rPr>
          <w:sz w:val="20"/>
        </w:rPr>
      </w:pPr>
    </w:p>
    <w:p w:rsidR="005D5BB9" w:rsidRDefault="005D5BB9" w:rsidP="005D5BB9">
      <w:pPr>
        <w:numPr>
          <w:ilvl w:val="0"/>
          <w:numId w:val="36"/>
        </w:numPr>
        <w:rPr>
          <w:sz w:val="20"/>
          <w:szCs w:val="22"/>
        </w:rPr>
      </w:pPr>
      <w:r>
        <w:rPr>
          <w:sz w:val="20"/>
          <w:szCs w:val="22"/>
        </w:rPr>
        <w:t xml:space="preserve">The MPR limit for Proposal 3 is </w:t>
      </w:r>
      <w:r w:rsidRPr="005D5BB9">
        <w:rPr>
          <w:b/>
          <w:sz w:val="20"/>
          <w:szCs w:val="22"/>
        </w:rPr>
        <w:t>1 dB less</w:t>
      </w:r>
      <w:r>
        <w:rPr>
          <w:sz w:val="20"/>
          <w:szCs w:val="22"/>
        </w:rPr>
        <w:t xml:space="preserve"> than for Proposal 1 for non-contiguous resource allocations for which the fifth order IM’s do not reach the </w:t>
      </w:r>
      <w:r w:rsidR="004218CD">
        <w:rPr>
          <w:sz w:val="20"/>
          <w:szCs w:val="22"/>
        </w:rPr>
        <w:t>outermost 5 MHz of the spurious domain</w:t>
      </w:r>
      <w:r>
        <w:rPr>
          <w:sz w:val="20"/>
          <w:szCs w:val="22"/>
        </w:rPr>
        <w:t>.  The MPR limit for Proposal 3 is the same as Proposal 1 for non-contiguous resource allocations for which the fifth order IM’s reach the outermost 5 MHz of the SEM but do not reach the spurious domain.</w:t>
      </w:r>
    </w:p>
    <w:p w:rsidR="005D5BB9" w:rsidRDefault="005D5BB9" w:rsidP="005D5BB9">
      <w:pPr>
        <w:rPr>
          <w:sz w:val="20"/>
          <w:szCs w:val="22"/>
        </w:rPr>
      </w:pPr>
    </w:p>
    <w:p w:rsidR="005D5BB9" w:rsidRDefault="005D5BB9" w:rsidP="005D5BB9">
      <w:pPr>
        <w:numPr>
          <w:ilvl w:val="0"/>
          <w:numId w:val="36"/>
        </w:numPr>
        <w:rPr>
          <w:sz w:val="20"/>
          <w:szCs w:val="22"/>
        </w:rPr>
      </w:pPr>
      <w:r w:rsidRPr="005D5BB9">
        <w:rPr>
          <w:sz w:val="20"/>
          <w:szCs w:val="22"/>
        </w:rPr>
        <w:t xml:space="preserve">The MPR limit for Proposal 3 is the same as Proposal 2 for non-contiguous resource allocations for which the fifth order IM’s do not reach the outermost 5 MHz of the SEM.  However, Proposal 3 allows the scheduler additional flexibility </w:t>
      </w:r>
      <w:r>
        <w:rPr>
          <w:sz w:val="20"/>
          <w:szCs w:val="22"/>
        </w:rPr>
        <w:t>to assign non-contiguous resource allocations outside of this domain with a reduced MPR value of 5.5 dB.  Relative to Proposal 2, Proposal 3</w:t>
      </w:r>
      <w:r w:rsidRPr="005D5BB9">
        <w:rPr>
          <w:sz w:val="20"/>
          <w:szCs w:val="22"/>
        </w:rPr>
        <w:t xml:space="preserve"> increase</w:t>
      </w:r>
      <w:r>
        <w:rPr>
          <w:sz w:val="20"/>
          <w:szCs w:val="22"/>
        </w:rPr>
        <w:t>s</w:t>
      </w:r>
      <w:r w:rsidRPr="005D5BB9">
        <w:rPr>
          <w:sz w:val="20"/>
          <w:szCs w:val="22"/>
        </w:rPr>
        <w:t xml:space="preserve"> frequency span of the non-contiguous resource allocation</w:t>
      </w:r>
      <w:r>
        <w:rPr>
          <w:sz w:val="20"/>
          <w:szCs w:val="22"/>
        </w:rPr>
        <w:t>s for which reduced MPR applies</w:t>
      </w:r>
      <w:r w:rsidRPr="005D5BB9">
        <w:rPr>
          <w:sz w:val="20"/>
          <w:szCs w:val="22"/>
        </w:rPr>
        <w:t xml:space="preserve"> by </w:t>
      </w:r>
      <w:r w:rsidRPr="005D5BB9">
        <w:rPr>
          <w:b/>
          <w:sz w:val="20"/>
          <w:szCs w:val="22"/>
        </w:rPr>
        <w:t xml:space="preserve">1.6 to 2.4 </w:t>
      </w:r>
      <w:proofErr w:type="spellStart"/>
      <w:r w:rsidRPr="005D5BB9">
        <w:rPr>
          <w:b/>
          <w:sz w:val="20"/>
          <w:szCs w:val="22"/>
        </w:rPr>
        <w:t>MHz</w:t>
      </w:r>
      <w:r>
        <w:rPr>
          <w:sz w:val="20"/>
          <w:szCs w:val="22"/>
        </w:rPr>
        <w:t>.</w:t>
      </w:r>
      <w:proofErr w:type="spellEnd"/>
    </w:p>
    <w:p w:rsidR="005D5BB9" w:rsidRDefault="005D5BB9" w:rsidP="005D5BB9">
      <w:pPr>
        <w:pStyle w:val="ListParagraph"/>
        <w:rPr>
          <w:sz w:val="20"/>
          <w:szCs w:val="22"/>
        </w:rPr>
      </w:pPr>
    </w:p>
    <w:p w:rsidR="005D5BB9" w:rsidRDefault="005D5BB9" w:rsidP="005D5BB9">
      <w:pPr>
        <w:numPr>
          <w:ilvl w:val="0"/>
          <w:numId w:val="36"/>
        </w:numPr>
        <w:rPr>
          <w:sz w:val="20"/>
          <w:szCs w:val="22"/>
        </w:rPr>
      </w:pPr>
      <w:r w:rsidRPr="005D5BB9">
        <w:rPr>
          <w:sz w:val="20"/>
          <w:szCs w:val="22"/>
        </w:rPr>
        <w:t xml:space="preserve">The complexity of Proposal 3 is very slightly greater than for Proposals 1 and 2, as the value </w:t>
      </w:r>
      <w:r w:rsidRPr="005D5BB9">
        <w:rPr>
          <w:rFonts w:ascii="Symbol" w:hAnsi="Symbol"/>
          <w:b/>
          <w:sz w:val="20"/>
          <w:szCs w:val="22"/>
        </w:rPr>
        <w:t></w:t>
      </w:r>
      <w:r w:rsidRPr="005D5BB9">
        <w:rPr>
          <w:sz w:val="20"/>
          <w:szCs w:val="22"/>
          <w:vertAlign w:val="subscript"/>
        </w:rPr>
        <w:t>IM5</w:t>
      </w:r>
      <w:r w:rsidRPr="005D5BB9">
        <w:rPr>
          <w:sz w:val="20"/>
          <w:szCs w:val="22"/>
        </w:rPr>
        <w:t xml:space="preserve"> must be compared to two thresholds and, depending on the outcome of this comparison, two different MPR limits apply</w:t>
      </w:r>
      <w:r>
        <w:rPr>
          <w:sz w:val="20"/>
          <w:szCs w:val="22"/>
        </w:rPr>
        <w:t xml:space="preserve">.  For Proposals 1 and 2, there is only a single comparison threshold for </w:t>
      </w:r>
      <w:r w:rsidRPr="005D5BB9">
        <w:rPr>
          <w:rFonts w:ascii="Symbol" w:hAnsi="Symbol"/>
          <w:b/>
          <w:sz w:val="20"/>
          <w:szCs w:val="22"/>
        </w:rPr>
        <w:t></w:t>
      </w:r>
      <w:r w:rsidRPr="005D5BB9">
        <w:rPr>
          <w:sz w:val="20"/>
          <w:szCs w:val="22"/>
          <w:vertAlign w:val="subscript"/>
        </w:rPr>
        <w:t>IM5</w:t>
      </w:r>
      <w:r>
        <w:rPr>
          <w:sz w:val="20"/>
          <w:szCs w:val="22"/>
        </w:rPr>
        <w:t xml:space="preserve"> and a single MPR limit.</w:t>
      </w:r>
    </w:p>
    <w:p w:rsidR="005D5BB9" w:rsidRDefault="005D5BB9" w:rsidP="005D5BB9">
      <w:pPr>
        <w:pStyle w:val="ListParagraph"/>
        <w:rPr>
          <w:sz w:val="20"/>
          <w:szCs w:val="22"/>
        </w:rPr>
      </w:pPr>
    </w:p>
    <w:p w:rsidR="005D5BB9" w:rsidRDefault="005D5BB9" w:rsidP="005D5BB9">
      <w:pPr>
        <w:rPr>
          <w:sz w:val="20"/>
          <w:szCs w:val="22"/>
        </w:rPr>
      </w:pPr>
      <w:r>
        <w:rPr>
          <w:sz w:val="20"/>
          <w:szCs w:val="22"/>
        </w:rPr>
        <w:t>Since the increase in complexity for Proposal 3 relative to Proposals 1 and 2 is quite minimal, and also because Proposal 3 allows the scheduler increased flexibility to assign non-contiguous resource allocations with reduced MPR, we co</w:t>
      </w:r>
      <w:r w:rsidR="004454F2">
        <w:rPr>
          <w:sz w:val="20"/>
          <w:szCs w:val="22"/>
        </w:rPr>
        <w:t>nsider how Proposal 3 might be incorporated</w:t>
      </w:r>
      <w:r>
        <w:rPr>
          <w:sz w:val="20"/>
          <w:szCs w:val="22"/>
        </w:rPr>
        <w:t xml:space="preserve"> in the TS 36.101 Specification.</w:t>
      </w:r>
    </w:p>
    <w:p w:rsidR="004454F2" w:rsidRDefault="004454F2" w:rsidP="005D5BB9">
      <w:pPr>
        <w:rPr>
          <w:sz w:val="20"/>
          <w:szCs w:val="22"/>
        </w:rPr>
      </w:pPr>
    </w:p>
    <w:p w:rsidR="004454F2" w:rsidRPr="00CD459F" w:rsidRDefault="000670F8" w:rsidP="004454F2">
      <w:pPr>
        <w:rPr>
          <w:sz w:val="20"/>
          <w:szCs w:val="22"/>
        </w:rPr>
      </w:pPr>
      <w:r>
        <w:rPr>
          <w:sz w:val="20"/>
        </w:rPr>
        <w:t xml:space="preserve">The MPR mask for </w:t>
      </w:r>
      <w:r w:rsidR="004454F2">
        <w:rPr>
          <w:sz w:val="20"/>
        </w:rPr>
        <w:t xml:space="preserve">Proposal 3 is illustrated in Figure 12 </w:t>
      </w:r>
      <w:r w:rsidR="004454F2">
        <w:rPr>
          <w:sz w:val="20"/>
          <w:szCs w:val="22"/>
        </w:rPr>
        <w:t>and can</w:t>
      </w:r>
      <w:r w:rsidR="004454F2" w:rsidRPr="00CD459F">
        <w:rPr>
          <w:sz w:val="20"/>
          <w:szCs w:val="22"/>
        </w:rPr>
        <w:t xml:space="preserve"> be captured in the Section 6.2.3A of the TS 36.101 specification with the following text:</w:t>
      </w:r>
    </w:p>
    <w:p w:rsidR="004454F2" w:rsidRDefault="004454F2" w:rsidP="005D5BB9">
      <w:pPr>
        <w:rPr>
          <w:sz w:val="20"/>
          <w:szCs w:val="22"/>
        </w:rPr>
      </w:pPr>
    </w:p>
    <w:p w:rsidR="004454F2" w:rsidRDefault="004454F2" w:rsidP="005D5BB9">
      <w:pPr>
        <w:rPr>
          <w:sz w:val="20"/>
          <w:szCs w:val="22"/>
        </w:rPr>
      </w:pPr>
    </w:p>
    <w:p w:rsidR="004454F2" w:rsidRDefault="004454F2" w:rsidP="005D5BB9">
      <w:pPr>
        <w:rPr>
          <w:sz w:val="20"/>
          <w:szCs w:val="22"/>
        </w:rPr>
      </w:pPr>
    </w:p>
    <w:p w:rsidR="004454F2" w:rsidRDefault="004454F2" w:rsidP="005D5BB9">
      <w:pPr>
        <w:rPr>
          <w:sz w:val="20"/>
          <w:szCs w:val="22"/>
        </w:rPr>
      </w:pP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4454F2">
          <w:rPr>
            <w:rFonts w:eastAsia="Times New Roman"/>
            <w:sz w:val="20"/>
            <w:lang w:eastAsia="en-US"/>
          </w:rPr>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4454F2">
            <w:rPr>
              <w:rFonts w:eastAsia="Times New Roman"/>
              <w:sz w:val="20"/>
              <w:lang w:eastAsia="en-US"/>
            </w:rPr>
            <w:t>2.2A</w:t>
          </w:r>
        </w:smartTag>
      </w:smartTag>
      <w:r w:rsidRPr="004454F2">
        <w:rPr>
          <w:rFonts w:eastAsia="Times New Roman"/>
          <w:sz w:val="20"/>
          <w:lang w:eastAsia="en-US"/>
        </w:rPr>
        <w:t xml:space="preserve">-1 is specified as follows </w:t>
      </w:r>
    </w:p>
    <w:p w:rsidR="004454F2" w:rsidRPr="004454F2" w:rsidRDefault="004454F2" w:rsidP="004454F2">
      <w:pPr>
        <w:keepLines/>
        <w:tabs>
          <w:tab w:val="center" w:pos="4536"/>
          <w:tab w:val="right" w:pos="9072"/>
        </w:tabs>
        <w:spacing w:after="180"/>
        <w:ind w:left="720"/>
        <w:jc w:val="center"/>
        <w:rPr>
          <w:rFonts w:eastAsia="Times New Roman"/>
          <w:noProof/>
          <w:sz w:val="20"/>
          <w:lang w:eastAsia="en-US"/>
        </w:rPr>
      </w:pPr>
      <w:r w:rsidRPr="004454F2">
        <w:rPr>
          <w:rFonts w:eastAsia="Times New Roman"/>
          <w:noProof/>
          <w:sz w:val="20"/>
          <w:lang w:eastAsia="en-US"/>
        </w:rPr>
        <w:t>MPR = CEIL {</w:t>
      </w:r>
      <w:r w:rsidRPr="004454F2">
        <w:rPr>
          <w:rFonts w:eastAsia="Times New Roman"/>
          <w:noProof/>
          <w:color w:val="FF0000"/>
          <w:sz w:val="20"/>
          <w:lang w:eastAsia="en-US"/>
        </w:rPr>
        <w:t>min(</w:t>
      </w:r>
      <w:r w:rsidRPr="004454F2">
        <w:rPr>
          <w:rFonts w:eastAsia="Times New Roman"/>
          <w:noProof/>
          <w:sz w:val="20"/>
          <w:lang w:eastAsia="en-US"/>
        </w:rPr>
        <w:t>M</w:t>
      </w:r>
      <w:r w:rsidRPr="004454F2">
        <w:rPr>
          <w:rFonts w:eastAsia="Times New Roman"/>
          <w:noProof/>
          <w:sz w:val="20"/>
          <w:vertAlign w:val="subscript"/>
          <w:lang w:eastAsia="en-US"/>
        </w:rPr>
        <w:t>A</w:t>
      </w:r>
      <w:r>
        <w:rPr>
          <w:rFonts w:eastAsia="Times New Roman"/>
          <w:noProof/>
          <w:sz w:val="20"/>
          <w:lang w:eastAsia="en-US"/>
        </w:rPr>
        <w:t>,</w:t>
      </w:r>
      <w:r w:rsidR="00C742EC">
        <w:rPr>
          <w:rFonts w:eastAsia="Times New Roman"/>
          <w:noProof/>
          <w:sz w:val="20"/>
          <w:lang w:eastAsia="en-US"/>
        </w:rPr>
        <w:t xml:space="preserve"> </w:t>
      </w:r>
      <w:r>
        <w:rPr>
          <w:rFonts w:eastAsia="Times New Roman"/>
          <w:noProof/>
          <w:color w:val="FF0000"/>
          <w:sz w:val="20"/>
          <w:lang w:eastAsia="en-US"/>
        </w:rPr>
        <w:t>M</w:t>
      </w:r>
      <w:r w:rsidRPr="004454F2">
        <w:rPr>
          <w:rFonts w:eastAsia="Times New Roman"/>
          <w:noProof/>
          <w:color w:val="FF0000"/>
          <w:sz w:val="20"/>
          <w:vertAlign w:val="subscript"/>
          <w:lang w:eastAsia="en-US"/>
        </w:rPr>
        <w:t>IM5</w:t>
      </w:r>
      <w:r>
        <w:rPr>
          <w:rFonts w:eastAsia="Times New Roman"/>
          <w:noProof/>
          <w:color w:val="FF0000"/>
          <w:sz w:val="20"/>
          <w:lang w:eastAsia="en-US"/>
        </w:rPr>
        <w:t>),</w:t>
      </w:r>
      <w:r w:rsidRPr="004454F2">
        <w:rPr>
          <w:rFonts w:eastAsia="Times New Roman"/>
          <w:noProof/>
          <w:sz w:val="20"/>
          <w:lang w:eastAsia="en-US"/>
        </w:rPr>
        <w:t xml:space="preserve"> 0.5}</w:t>
      </w: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Where M</w:t>
      </w:r>
      <w:r w:rsidRPr="004454F2">
        <w:rPr>
          <w:rFonts w:eastAsia="Times New Roman"/>
          <w:sz w:val="20"/>
          <w:vertAlign w:val="subscript"/>
          <w:lang w:eastAsia="en-US"/>
        </w:rPr>
        <w:t xml:space="preserve">A </w:t>
      </w:r>
      <w:r w:rsidRPr="004454F2">
        <w:rPr>
          <w:rFonts w:eastAsia="Times New Roman"/>
          <w:sz w:val="20"/>
          <w:lang w:eastAsia="en-US"/>
        </w:rPr>
        <w:t>is defined as follows</w:t>
      </w:r>
      <w:r w:rsidRPr="004454F2">
        <w:rPr>
          <w:rFonts w:eastAsia="Times New Roman"/>
          <w:sz w:val="20"/>
          <w:vertAlign w:val="subscript"/>
          <w:lang w:eastAsia="en-US"/>
        </w:rPr>
        <w:t xml:space="preserve"> </w:t>
      </w:r>
    </w:p>
    <w:p w:rsidR="004454F2" w:rsidRPr="004454F2" w:rsidRDefault="004454F2" w:rsidP="004454F2">
      <w:pPr>
        <w:spacing w:after="180"/>
        <w:ind w:left="720" w:firstLine="3261"/>
        <w:rPr>
          <w:rFonts w:eastAsia="Times New Roman"/>
          <w:sz w:val="20"/>
          <w:lang w:eastAsia="en-US"/>
        </w:rPr>
      </w:pPr>
      <w:r w:rsidRPr="004454F2">
        <w:rPr>
          <w:rFonts w:eastAsia="Times New Roman"/>
          <w:sz w:val="20"/>
          <w:lang w:eastAsia="en-US"/>
        </w:rPr>
        <w:t>M</w:t>
      </w:r>
      <w:r w:rsidRPr="004454F2">
        <w:rPr>
          <w:rFonts w:eastAsia="Times New Roman"/>
          <w:sz w:val="20"/>
          <w:vertAlign w:val="subscript"/>
          <w:lang w:eastAsia="en-US"/>
        </w:rPr>
        <w:t>A</w:t>
      </w:r>
      <w:r>
        <w:rPr>
          <w:rFonts w:eastAsia="Times New Roman"/>
          <w:sz w:val="20"/>
          <w:lang w:eastAsia="en-US"/>
        </w:rPr>
        <w:t xml:space="preserve"> = </w:t>
      </w:r>
      <w:r>
        <w:rPr>
          <w:rFonts w:eastAsia="Times New Roman"/>
          <w:sz w:val="20"/>
          <w:lang w:eastAsia="en-US"/>
        </w:rPr>
        <w:tab/>
        <w:t>8.2</w:t>
      </w:r>
      <w:r>
        <w:rPr>
          <w:rFonts w:eastAsia="Times New Roman"/>
          <w:sz w:val="20"/>
          <w:lang w:eastAsia="en-US"/>
        </w:rPr>
        <w:tab/>
      </w:r>
      <w:r>
        <w:rPr>
          <w:rFonts w:eastAsia="Times New Roman"/>
          <w:sz w:val="20"/>
          <w:lang w:eastAsia="en-US"/>
        </w:rPr>
        <w:tab/>
      </w:r>
      <w:r>
        <w:rPr>
          <w:rFonts w:eastAsia="Times New Roman"/>
          <w:sz w:val="20"/>
          <w:lang w:eastAsia="en-US"/>
        </w:rPr>
        <w:tab/>
      </w:r>
      <w:r w:rsidRPr="004454F2">
        <w:rPr>
          <w:rFonts w:eastAsia="Times New Roman"/>
          <w:sz w:val="20"/>
          <w:lang w:eastAsia="en-US"/>
        </w:rPr>
        <w:t>; 0 ≤ A &lt; 0.025</w:t>
      </w:r>
    </w:p>
    <w:p w:rsidR="004454F2" w:rsidRPr="004454F2" w:rsidRDefault="004454F2" w:rsidP="004454F2">
      <w:pPr>
        <w:spacing w:after="180"/>
        <w:ind w:left="720" w:firstLine="3969"/>
        <w:rPr>
          <w:rFonts w:eastAsia="Times New Roman"/>
          <w:sz w:val="20"/>
          <w:lang w:eastAsia="en-US"/>
        </w:rPr>
      </w:pPr>
      <w:r>
        <w:rPr>
          <w:rFonts w:eastAsia="Times New Roman"/>
          <w:sz w:val="20"/>
          <w:lang w:eastAsia="en-US"/>
        </w:rPr>
        <w:t xml:space="preserve">9.2 - 40A </w:t>
      </w:r>
      <w:r>
        <w:rPr>
          <w:rFonts w:eastAsia="Times New Roman"/>
          <w:sz w:val="20"/>
          <w:lang w:eastAsia="en-US"/>
        </w:rPr>
        <w:tab/>
      </w:r>
      <w:r>
        <w:rPr>
          <w:rFonts w:eastAsia="Times New Roman"/>
          <w:sz w:val="20"/>
          <w:lang w:eastAsia="en-US"/>
        </w:rPr>
        <w:tab/>
      </w:r>
      <w:r>
        <w:rPr>
          <w:rFonts w:eastAsia="Times New Roman"/>
          <w:sz w:val="20"/>
          <w:lang w:eastAsia="en-US"/>
        </w:rPr>
        <w:tab/>
      </w:r>
      <w:r w:rsidRPr="004454F2">
        <w:rPr>
          <w:rFonts w:eastAsia="Times New Roman"/>
          <w:sz w:val="20"/>
          <w:lang w:eastAsia="en-US"/>
        </w:rPr>
        <w:t>; 0.025</w:t>
      </w:r>
      <w:r w:rsidRPr="004454F2">
        <w:rPr>
          <w:rFonts w:eastAsia="Times New Roman"/>
          <w:sz w:val="20"/>
          <w:lang w:eastAsia="en-US"/>
        </w:rPr>
        <w:tab/>
        <w:t xml:space="preserve">≤ </w:t>
      </w:r>
      <w:proofErr w:type="gramStart"/>
      <w:r w:rsidRPr="004454F2">
        <w:rPr>
          <w:rFonts w:eastAsia="Times New Roman"/>
          <w:sz w:val="20"/>
          <w:lang w:eastAsia="en-US"/>
        </w:rPr>
        <w:t>A</w:t>
      </w:r>
      <w:proofErr w:type="gramEnd"/>
      <w:r w:rsidRPr="004454F2">
        <w:rPr>
          <w:rFonts w:eastAsia="Times New Roman"/>
          <w:sz w:val="20"/>
          <w:lang w:eastAsia="en-US"/>
        </w:rPr>
        <w:t xml:space="preserve"> &lt; 0.05</w:t>
      </w:r>
    </w:p>
    <w:p w:rsidR="004454F2" w:rsidRPr="004454F2" w:rsidRDefault="004454F2" w:rsidP="004454F2">
      <w:pPr>
        <w:spacing w:after="180"/>
        <w:ind w:left="720" w:firstLine="3969"/>
        <w:rPr>
          <w:rFonts w:eastAsia="Times New Roman"/>
          <w:sz w:val="20"/>
          <w:lang w:eastAsia="en-US"/>
        </w:rPr>
      </w:pPr>
      <w:r>
        <w:rPr>
          <w:rFonts w:eastAsia="Times New Roman"/>
          <w:sz w:val="20"/>
          <w:lang w:eastAsia="en-US"/>
        </w:rPr>
        <w:t>8 – 16A</w:t>
      </w:r>
      <w:r>
        <w:rPr>
          <w:rFonts w:eastAsia="Times New Roman"/>
          <w:sz w:val="20"/>
          <w:lang w:eastAsia="en-US"/>
        </w:rPr>
        <w:tab/>
      </w:r>
      <w:r>
        <w:rPr>
          <w:rFonts w:eastAsia="Times New Roman"/>
          <w:sz w:val="20"/>
          <w:lang w:eastAsia="en-US"/>
        </w:rPr>
        <w:tab/>
      </w:r>
      <w:r>
        <w:rPr>
          <w:rFonts w:eastAsia="Times New Roman"/>
          <w:sz w:val="20"/>
          <w:lang w:eastAsia="en-US"/>
        </w:rPr>
        <w:tab/>
      </w:r>
      <w:r w:rsidRPr="004454F2">
        <w:rPr>
          <w:rFonts w:eastAsia="Times New Roman"/>
          <w:sz w:val="20"/>
          <w:lang w:eastAsia="en-US"/>
        </w:rPr>
        <w:t>; 0.05</w:t>
      </w:r>
      <w:r w:rsidRPr="004454F2">
        <w:rPr>
          <w:rFonts w:eastAsia="Times New Roman"/>
          <w:sz w:val="20"/>
          <w:lang w:eastAsia="en-US"/>
        </w:rPr>
        <w:tab/>
        <w:t xml:space="preserve">≤ </w:t>
      </w:r>
      <w:proofErr w:type="gramStart"/>
      <w:r w:rsidRPr="004454F2">
        <w:rPr>
          <w:rFonts w:eastAsia="Times New Roman"/>
          <w:sz w:val="20"/>
          <w:lang w:eastAsia="en-US"/>
        </w:rPr>
        <w:t>A</w:t>
      </w:r>
      <w:proofErr w:type="gramEnd"/>
      <w:r w:rsidRPr="004454F2">
        <w:rPr>
          <w:rFonts w:eastAsia="Times New Roman"/>
          <w:sz w:val="20"/>
          <w:lang w:eastAsia="en-US"/>
        </w:rPr>
        <w:t xml:space="preserve"> &lt; 0.25</w:t>
      </w:r>
    </w:p>
    <w:p w:rsidR="004454F2" w:rsidRPr="004454F2" w:rsidRDefault="004454F2" w:rsidP="004454F2">
      <w:pPr>
        <w:spacing w:after="180"/>
        <w:ind w:left="720" w:firstLine="3969"/>
        <w:rPr>
          <w:rFonts w:eastAsia="Times New Roman"/>
          <w:sz w:val="20"/>
          <w:lang w:eastAsia="en-US"/>
        </w:rPr>
      </w:pPr>
      <w:r w:rsidRPr="004454F2">
        <w:rPr>
          <w:rFonts w:eastAsia="Times New Roman"/>
          <w:sz w:val="20"/>
          <w:lang w:eastAsia="en-US"/>
        </w:rPr>
        <w:t>4.83 – 3.33A</w:t>
      </w:r>
      <w:r w:rsidRPr="004454F2">
        <w:rPr>
          <w:rFonts w:eastAsia="Times New Roman"/>
          <w:sz w:val="20"/>
          <w:lang w:eastAsia="en-US"/>
        </w:rPr>
        <w:tab/>
      </w:r>
      <w:r w:rsidRPr="004454F2">
        <w:rPr>
          <w:rFonts w:eastAsia="Times New Roman"/>
          <w:sz w:val="20"/>
          <w:lang w:eastAsia="en-US"/>
        </w:rPr>
        <w:tab/>
      </w:r>
      <w:r w:rsidRPr="004454F2">
        <w:rPr>
          <w:rFonts w:eastAsia="Times New Roman"/>
          <w:sz w:val="20"/>
          <w:lang w:eastAsia="en-US"/>
        </w:rPr>
        <w:tab/>
        <w:t xml:space="preserve">; 0.25 ≤ </w:t>
      </w:r>
      <w:proofErr w:type="gramStart"/>
      <w:r w:rsidRPr="004454F2">
        <w:rPr>
          <w:rFonts w:eastAsia="Times New Roman"/>
          <w:sz w:val="20"/>
          <w:lang w:eastAsia="en-US"/>
        </w:rPr>
        <w:t>A</w:t>
      </w:r>
      <w:proofErr w:type="gramEnd"/>
      <w:r w:rsidRPr="004454F2">
        <w:rPr>
          <w:rFonts w:eastAsia="Times New Roman"/>
          <w:sz w:val="20"/>
          <w:lang w:eastAsia="en-US"/>
        </w:rPr>
        <w:t xml:space="preserve"> ≤ 0.4,</w:t>
      </w:r>
    </w:p>
    <w:p w:rsidR="004454F2" w:rsidRPr="004454F2" w:rsidRDefault="004454F2" w:rsidP="004454F2">
      <w:pPr>
        <w:spacing w:after="180"/>
        <w:ind w:left="720" w:firstLine="3969"/>
        <w:rPr>
          <w:rFonts w:eastAsia="Times New Roman"/>
          <w:sz w:val="20"/>
          <w:lang w:eastAsia="en-US"/>
        </w:rPr>
      </w:pPr>
      <w:r w:rsidRPr="004454F2">
        <w:rPr>
          <w:rFonts w:eastAsia="Times New Roman"/>
          <w:sz w:val="20"/>
          <w:lang w:eastAsia="en-US"/>
        </w:rPr>
        <w:t>3.83 – 0.83A</w:t>
      </w:r>
      <w:r w:rsidRPr="004454F2">
        <w:rPr>
          <w:rFonts w:eastAsia="Times New Roman"/>
          <w:sz w:val="20"/>
          <w:lang w:eastAsia="en-US"/>
        </w:rPr>
        <w:tab/>
      </w:r>
      <w:r w:rsidRPr="004454F2">
        <w:rPr>
          <w:rFonts w:eastAsia="Times New Roman"/>
          <w:sz w:val="20"/>
          <w:lang w:eastAsia="en-US"/>
        </w:rPr>
        <w:tab/>
      </w:r>
      <w:r w:rsidRPr="004454F2">
        <w:rPr>
          <w:rFonts w:eastAsia="Times New Roman"/>
          <w:sz w:val="20"/>
          <w:lang w:eastAsia="en-US"/>
        </w:rPr>
        <w:tab/>
        <w:t xml:space="preserve">; 0.4 ≤ </w:t>
      </w:r>
      <w:proofErr w:type="gramStart"/>
      <w:r w:rsidRPr="004454F2">
        <w:rPr>
          <w:rFonts w:eastAsia="Times New Roman"/>
          <w:sz w:val="20"/>
          <w:lang w:eastAsia="en-US"/>
        </w:rPr>
        <w:t>A</w:t>
      </w:r>
      <w:proofErr w:type="gramEnd"/>
      <w:r w:rsidRPr="004454F2">
        <w:rPr>
          <w:rFonts w:eastAsia="Times New Roman"/>
          <w:sz w:val="20"/>
          <w:lang w:eastAsia="en-US"/>
        </w:rPr>
        <w:t xml:space="preserve"> ≤ 1,</w:t>
      </w:r>
    </w:p>
    <w:p w:rsidR="00C742EC" w:rsidRPr="00C742EC" w:rsidRDefault="00C742EC" w:rsidP="00C742EC">
      <w:pPr>
        <w:ind w:firstLine="720"/>
        <w:rPr>
          <w:color w:val="FF0000"/>
          <w:sz w:val="20"/>
        </w:rPr>
      </w:pPr>
      <w:proofErr w:type="gramStart"/>
      <w:r w:rsidRPr="00C742EC">
        <w:rPr>
          <w:color w:val="FF0000"/>
          <w:sz w:val="20"/>
        </w:rPr>
        <w:t>and</w:t>
      </w:r>
      <w:proofErr w:type="gramEnd"/>
      <w:r w:rsidRPr="00C742EC">
        <w:rPr>
          <w:color w:val="FF0000"/>
          <w:sz w:val="20"/>
        </w:rPr>
        <w:t xml:space="preserve"> M</w:t>
      </w:r>
      <w:r w:rsidRPr="00C742EC">
        <w:rPr>
          <w:color w:val="FF0000"/>
          <w:sz w:val="20"/>
          <w:vertAlign w:val="subscript"/>
        </w:rPr>
        <w:t xml:space="preserve">IM5 </w:t>
      </w:r>
      <w:r w:rsidRPr="00C742EC">
        <w:rPr>
          <w:color w:val="FF0000"/>
          <w:sz w:val="20"/>
        </w:rPr>
        <w:t>is defined as follows</w:t>
      </w:r>
    </w:p>
    <w:p w:rsidR="00C742EC" w:rsidRDefault="00C742EC" w:rsidP="00C742EC">
      <w:pPr>
        <w:ind w:left="2880" w:firstLine="720"/>
        <w:rPr>
          <w:color w:val="FF0000"/>
          <w:sz w:val="20"/>
          <w:vertAlign w:val="subscript"/>
        </w:rPr>
      </w:pPr>
      <w:r w:rsidRPr="00C742EC">
        <w:rPr>
          <w:color w:val="FF0000"/>
          <w:sz w:val="20"/>
        </w:rPr>
        <w:t>M</w:t>
      </w:r>
      <w:r w:rsidRPr="00C742EC">
        <w:rPr>
          <w:color w:val="FF0000"/>
          <w:sz w:val="20"/>
          <w:vertAlign w:val="subscript"/>
        </w:rPr>
        <w:t>IM5</w:t>
      </w:r>
      <w:r w:rsidRPr="00C742EC">
        <w:rPr>
          <w:color w:val="FF0000"/>
          <w:sz w:val="20"/>
        </w:rPr>
        <w:t xml:space="preserve"> =</w:t>
      </w:r>
      <w:r w:rsidRPr="00C742EC">
        <w:rPr>
          <w:color w:val="FF0000"/>
          <w:sz w:val="20"/>
        </w:rPr>
        <w:tab/>
        <w:t>4.5</w:t>
      </w:r>
      <w:r w:rsidRPr="00C742EC">
        <w:rPr>
          <w:color w:val="FF0000"/>
          <w:sz w:val="20"/>
        </w:rPr>
        <w:tab/>
        <w:t xml:space="preserve">; </w:t>
      </w:r>
      <w:r w:rsidRPr="00C742EC">
        <w:rPr>
          <w:rFonts w:ascii="Symbol" w:hAnsi="Symbol"/>
          <w:b/>
          <w:color w:val="FF0000"/>
          <w:sz w:val="20"/>
        </w:rPr>
        <w:t></w:t>
      </w:r>
      <w:r w:rsidRPr="00C742EC">
        <w:rPr>
          <w:color w:val="FF0000"/>
          <w:sz w:val="20"/>
          <w:vertAlign w:val="subscript"/>
        </w:rPr>
        <w:t>IM5</w:t>
      </w:r>
      <w:r w:rsidRPr="00C742EC">
        <w:rPr>
          <w:color w:val="FF0000"/>
          <w:sz w:val="20"/>
        </w:rPr>
        <w:t xml:space="preserve"> ≤ 1.5 * </w:t>
      </w:r>
      <w:proofErr w:type="spellStart"/>
      <w:r w:rsidRPr="00C742EC">
        <w:rPr>
          <w:color w:val="FF0000"/>
          <w:sz w:val="20"/>
        </w:rPr>
        <w:t>BW</w:t>
      </w:r>
      <w:r w:rsidRPr="00C742EC">
        <w:rPr>
          <w:color w:val="FF0000"/>
          <w:sz w:val="20"/>
          <w:vertAlign w:val="subscript"/>
        </w:rPr>
        <w:t>Channel_CA</w:t>
      </w:r>
      <w:proofErr w:type="spellEnd"/>
    </w:p>
    <w:p w:rsidR="00C742EC" w:rsidRPr="00C742EC" w:rsidRDefault="00C742EC" w:rsidP="00C742EC">
      <w:pPr>
        <w:ind w:left="2880" w:firstLine="720"/>
        <w:rPr>
          <w:color w:val="FF0000"/>
          <w:sz w:val="20"/>
          <w:vertAlign w:val="subscript"/>
        </w:rPr>
      </w:pPr>
    </w:p>
    <w:p w:rsidR="00C742EC" w:rsidRDefault="00C742EC" w:rsidP="00C742EC">
      <w:pPr>
        <w:ind w:left="3600" w:firstLine="720"/>
        <w:rPr>
          <w:color w:val="FF0000"/>
          <w:sz w:val="20"/>
          <w:vertAlign w:val="subscript"/>
        </w:rPr>
      </w:pPr>
      <w:r w:rsidRPr="00C742EC">
        <w:rPr>
          <w:color w:val="FF0000"/>
          <w:sz w:val="20"/>
        </w:rPr>
        <w:t>5.5</w:t>
      </w:r>
      <w:r w:rsidRPr="00C742EC">
        <w:rPr>
          <w:color w:val="FF0000"/>
          <w:sz w:val="20"/>
        </w:rPr>
        <w:tab/>
        <w:t xml:space="preserve">; 1.5 * </w:t>
      </w:r>
      <w:proofErr w:type="spellStart"/>
      <w:r w:rsidRPr="00C742EC">
        <w:rPr>
          <w:color w:val="FF0000"/>
          <w:sz w:val="20"/>
        </w:rPr>
        <w:t>BW</w:t>
      </w:r>
      <w:r w:rsidRPr="00C742EC">
        <w:rPr>
          <w:color w:val="FF0000"/>
          <w:sz w:val="20"/>
          <w:vertAlign w:val="subscript"/>
        </w:rPr>
        <w:t>Channel_CA</w:t>
      </w:r>
      <w:proofErr w:type="spellEnd"/>
      <w:r w:rsidRPr="00C742EC">
        <w:rPr>
          <w:color w:val="FF0000"/>
          <w:sz w:val="20"/>
        </w:rPr>
        <w:t xml:space="preserve"> &lt; </w:t>
      </w:r>
      <w:r w:rsidRPr="00C742EC">
        <w:rPr>
          <w:rFonts w:ascii="Symbol" w:hAnsi="Symbol"/>
          <w:b/>
          <w:color w:val="FF0000"/>
          <w:sz w:val="20"/>
        </w:rPr>
        <w:t></w:t>
      </w:r>
      <w:r w:rsidRPr="00C742EC">
        <w:rPr>
          <w:color w:val="FF0000"/>
          <w:sz w:val="20"/>
          <w:vertAlign w:val="subscript"/>
        </w:rPr>
        <w:t>IM5</w:t>
      </w:r>
      <w:r w:rsidRPr="00C742EC">
        <w:rPr>
          <w:color w:val="FF0000"/>
          <w:sz w:val="20"/>
        </w:rPr>
        <w:t xml:space="preserve"> </w:t>
      </w:r>
      <w:proofErr w:type="gramStart"/>
      <w:r w:rsidRPr="00C742EC">
        <w:rPr>
          <w:color w:val="FF0000"/>
          <w:sz w:val="20"/>
        </w:rPr>
        <w:t>≤  (</w:t>
      </w:r>
      <w:proofErr w:type="spellStart"/>
      <w:proofErr w:type="gramEnd"/>
      <w:r w:rsidRPr="00C742EC">
        <w:rPr>
          <w:color w:val="FF0000"/>
          <w:sz w:val="20"/>
        </w:rPr>
        <w:t>BW</w:t>
      </w:r>
      <w:r w:rsidRPr="00C742EC">
        <w:rPr>
          <w:color w:val="FF0000"/>
          <w:sz w:val="20"/>
          <w:vertAlign w:val="subscript"/>
        </w:rPr>
        <w:t>Channel_CA</w:t>
      </w:r>
      <w:proofErr w:type="spellEnd"/>
      <w:r w:rsidRPr="00C742EC">
        <w:rPr>
          <w:color w:val="FF0000"/>
          <w:sz w:val="20"/>
        </w:rPr>
        <w:t xml:space="preserve">)/2 + </w:t>
      </w:r>
      <w:r w:rsidRPr="00C742EC">
        <w:rPr>
          <w:rFonts w:ascii="Symbol" w:hAnsi="Symbol"/>
          <w:b/>
          <w:color w:val="FF0000"/>
          <w:sz w:val="20"/>
        </w:rPr>
        <w:t></w:t>
      </w:r>
      <w:proofErr w:type="spellStart"/>
      <w:r w:rsidRPr="00C742EC">
        <w:rPr>
          <w:color w:val="FF0000"/>
          <w:sz w:val="20"/>
        </w:rPr>
        <w:t>f</w:t>
      </w:r>
      <w:r w:rsidRPr="00C742EC">
        <w:rPr>
          <w:color w:val="FF0000"/>
          <w:sz w:val="20"/>
          <w:vertAlign w:val="subscript"/>
        </w:rPr>
        <w:t>OOB</w:t>
      </w:r>
      <w:proofErr w:type="spellEnd"/>
    </w:p>
    <w:p w:rsidR="00C742EC" w:rsidRPr="00C742EC" w:rsidRDefault="00C742EC" w:rsidP="00C742EC">
      <w:pPr>
        <w:ind w:left="3600" w:firstLine="720"/>
        <w:rPr>
          <w:color w:val="FF0000"/>
          <w:sz w:val="20"/>
          <w:vertAlign w:val="subscript"/>
        </w:rPr>
      </w:pPr>
    </w:p>
    <w:p w:rsidR="00C742EC" w:rsidRPr="00C742EC" w:rsidRDefault="00C742EC" w:rsidP="00C742EC">
      <w:pPr>
        <w:ind w:left="3600" w:firstLine="720"/>
        <w:rPr>
          <w:color w:val="FF0000"/>
          <w:sz w:val="20"/>
        </w:rPr>
      </w:pPr>
      <w:r w:rsidRPr="00C742EC">
        <w:rPr>
          <w:color w:val="FF0000"/>
          <w:sz w:val="20"/>
        </w:rPr>
        <w:t>M</w:t>
      </w:r>
      <w:r w:rsidRPr="00C742EC">
        <w:rPr>
          <w:color w:val="FF0000"/>
          <w:sz w:val="20"/>
          <w:vertAlign w:val="subscript"/>
        </w:rPr>
        <w:t>A</w:t>
      </w:r>
      <w:r w:rsidRPr="00C742EC">
        <w:rPr>
          <w:color w:val="FF0000"/>
          <w:sz w:val="20"/>
        </w:rPr>
        <w:tab/>
        <w:t xml:space="preserve">; </w:t>
      </w:r>
      <w:r w:rsidRPr="00C742EC">
        <w:rPr>
          <w:rFonts w:ascii="Symbol" w:hAnsi="Symbol"/>
          <w:b/>
          <w:color w:val="FF0000"/>
          <w:sz w:val="20"/>
        </w:rPr>
        <w:t></w:t>
      </w:r>
      <w:r w:rsidRPr="00C742EC">
        <w:rPr>
          <w:color w:val="FF0000"/>
          <w:sz w:val="20"/>
          <w:vertAlign w:val="subscript"/>
        </w:rPr>
        <w:t>IM5</w:t>
      </w:r>
      <w:r w:rsidRPr="00C742EC">
        <w:rPr>
          <w:color w:val="FF0000"/>
          <w:sz w:val="20"/>
        </w:rPr>
        <w:t xml:space="preserve"> &gt; (</w:t>
      </w:r>
      <w:proofErr w:type="spellStart"/>
      <w:r w:rsidRPr="00C742EC">
        <w:rPr>
          <w:color w:val="FF0000"/>
          <w:sz w:val="20"/>
        </w:rPr>
        <w:t>BW</w:t>
      </w:r>
      <w:r w:rsidRPr="00C742EC">
        <w:rPr>
          <w:color w:val="FF0000"/>
          <w:sz w:val="20"/>
          <w:vertAlign w:val="subscript"/>
        </w:rPr>
        <w:t>Channel_CA</w:t>
      </w:r>
      <w:proofErr w:type="spellEnd"/>
      <w:r w:rsidRPr="00C742EC">
        <w:rPr>
          <w:color w:val="FF0000"/>
          <w:sz w:val="20"/>
        </w:rPr>
        <w:t xml:space="preserve">)/2 + </w:t>
      </w:r>
      <w:r w:rsidRPr="00C742EC">
        <w:rPr>
          <w:rFonts w:ascii="Symbol" w:hAnsi="Symbol"/>
          <w:b/>
          <w:color w:val="FF0000"/>
          <w:sz w:val="20"/>
        </w:rPr>
        <w:t></w:t>
      </w:r>
      <w:proofErr w:type="spellStart"/>
      <w:r w:rsidRPr="00C742EC">
        <w:rPr>
          <w:color w:val="FF0000"/>
          <w:sz w:val="20"/>
        </w:rPr>
        <w:t>f</w:t>
      </w:r>
      <w:r w:rsidRPr="00C742EC">
        <w:rPr>
          <w:color w:val="FF0000"/>
          <w:sz w:val="20"/>
          <w:vertAlign w:val="subscript"/>
        </w:rPr>
        <w:t>OOB</w:t>
      </w:r>
      <w:proofErr w:type="spellEnd"/>
      <w:r w:rsidRPr="00C742EC">
        <w:rPr>
          <w:color w:val="FF0000"/>
          <w:sz w:val="20"/>
        </w:rPr>
        <w:t xml:space="preserve"> </w:t>
      </w: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Where</w:t>
      </w:r>
    </w:p>
    <w:p w:rsidR="00C742EC" w:rsidRDefault="00C742EC" w:rsidP="004454F2">
      <w:pPr>
        <w:tabs>
          <w:tab w:val="left" w:pos="284"/>
          <w:tab w:val="left" w:pos="568"/>
          <w:tab w:val="left" w:pos="852"/>
          <w:tab w:val="left" w:pos="1136"/>
          <w:tab w:val="left" w:pos="1420"/>
          <w:tab w:val="left" w:pos="1704"/>
          <w:tab w:val="left" w:pos="1988"/>
          <w:tab w:val="left" w:pos="7587"/>
        </w:tabs>
        <w:spacing w:after="180"/>
        <w:ind w:left="720"/>
        <w:rPr>
          <w:rFonts w:eastAsia="Times New Roman"/>
          <w:sz w:val="20"/>
          <w:vertAlign w:val="subscript"/>
          <w:lang w:eastAsia="en-US"/>
        </w:rPr>
      </w:pPr>
      <w:r>
        <w:rPr>
          <w:rFonts w:eastAsia="Times New Roman"/>
          <w:sz w:val="20"/>
          <w:lang w:eastAsia="en-US"/>
        </w:rPr>
        <w:tab/>
      </w:r>
      <w:r>
        <w:rPr>
          <w:rFonts w:eastAsia="Times New Roman"/>
          <w:sz w:val="20"/>
          <w:lang w:eastAsia="en-US"/>
        </w:rPr>
        <w:tab/>
      </w:r>
      <w:r>
        <w:rPr>
          <w:rFonts w:eastAsia="Times New Roman"/>
          <w:sz w:val="20"/>
          <w:lang w:eastAsia="en-US"/>
        </w:rPr>
        <w:tab/>
      </w:r>
      <w:r w:rsidR="004454F2" w:rsidRPr="004454F2">
        <w:rPr>
          <w:rFonts w:eastAsia="Times New Roman"/>
          <w:sz w:val="20"/>
          <w:lang w:eastAsia="en-US"/>
        </w:rPr>
        <w:t xml:space="preserve">A = </w:t>
      </w:r>
      <w:proofErr w:type="spellStart"/>
      <w:r w:rsidR="004454F2" w:rsidRPr="004454F2">
        <w:rPr>
          <w:rFonts w:eastAsia="Times New Roman"/>
          <w:sz w:val="20"/>
          <w:lang w:eastAsia="en-US"/>
        </w:rPr>
        <w:t>N</w:t>
      </w:r>
      <w:r w:rsidR="004454F2" w:rsidRPr="004454F2">
        <w:rPr>
          <w:rFonts w:eastAsia="Times New Roman"/>
          <w:sz w:val="20"/>
          <w:vertAlign w:val="subscript"/>
          <w:lang w:eastAsia="en-US"/>
        </w:rPr>
        <w:t>RB_alloc</w:t>
      </w:r>
      <w:proofErr w:type="spellEnd"/>
      <w:r w:rsidR="004454F2" w:rsidRPr="004454F2">
        <w:rPr>
          <w:rFonts w:eastAsia="Times New Roman"/>
          <w:sz w:val="20"/>
          <w:lang w:eastAsia="en-US"/>
        </w:rPr>
        <w:t xml:space="preserve"> / </w:t>
      </w:r>
      <w:proofErr w:type="spellStart"/>
      <w:r w:rsidR="004454F2" w:rsidRPr="004454F2">
        <w:rPr>
          <w:rFonts w:eastAsia="Times New Roman"/>
          <w:sz w:val="20"/>
          <w:lang w:eastAsia="en-US"/>
        </w:rPr>
        <w:t>N</w:t>
      </w:r>
      <w:r w:rsidR="004454F2" w:rsidRPr="004454F2">
        <w:rPr>
          <w:rFonts w:eastAsia="Times New Roman"/>
          <w:sz w:val="20"/>
          <w:vertAlign w:val="subscript"/>
          <w:lang w:eastAsia="en-US"/>
        </w:rPr>
        <w:t>RB_agg</w:t>
      </w:r>
      <w:proofErr w:type="spellEnd"/>
      <w:r w:rsidR="004454F2" w:rsidRPr="004454F2">
        <w:rPr>
          <w:rFonts w:eastAsia="Times New Roman"/>
          <w:sz w:val="20"/>
          <w:vertAlign w:val="subscript"/>
          <w:lang w:eastAsia="en-US"/>
        </w:rPr>
        <w:t>.</w:t>
      </w:r>
    </w:p>
    <w:p w:rsidR="004454F2" w:rsidRDefault="00C742EC" w:rsidP="00C742EC">
      <w:pPr>
        <w:ind w:left="720" w:firstLine="720"/>
        <w:rPr>
          <w:color w:val="FF0000"/>
          <w:sz w:val="20"/>
          <w:vertAlign w:val="subscript"/>
        </w:rPr>
      </w:pPr>
      <w:r w:rsidRPr="00C742EC">
        <w:rPr>
          <w:rFonts w:ascii="Symbol" w:hAnsi="Symbol"/>
          <w:b/>
          <w:color w:val="FF0000"/>
          <w:sz w:val="20"/>
        </w:rPr>
        <w:t></w:t>
      </w:r>
      <w:r w:rsidRPr="00C742EC">
        <w:rPr>
          <w:color w:val="FF0000"/>
          <w:sz w:val="20"/>
          <w:vertAlign w:val="subscript"/>
        </w:rPr>
        <w:t>IM5</w:t>
      </w:r>
      <w:r w:rsidRPr="00C742EC">
        <w:rPr>
          <w:color w:val="FF0000"/>
          <w:sz w:val="20"/>
        </w:rPr>
        <w:t xml:space="preserve"> = </w:t>
      </w:r>
      <w:proofErr w:type="gramStart"/>
      <w:r w:rsidRPr="00C742EC">
        <w:rPr>
          <w:color w:val="FF0000"/>
          <w:sz w:val="20"/>
        </w:rPr>
        <w:t>max(</w:t>
      </w:r>
      <w:proofErr w:type="gramEnd"/>
      <w:r w:rsidRPr="00C742EC">
        <w:rPr>
          <w:color w:val="FF0000"/>
          <w:sz w:val="20"/>
        </w:rPr>
        <w:t xml:space="preserve"> | </w:t>
      </w:r>
      <w:proofErr w:type="spellStart"/>
      <w:r w:rsidRPr="00C742EC">
        <w:rPr>
          <w:color w:val="FF0000"/>
          <w:sz w:val="20"/>
        </w:rPr>
        <w:t>F</w:t>
      </w:r>
      <w:r w:rsidRPr="00C742EC">
        <w:rPr>
          <w:color w:val="FF0000"/>
          <w:sz w:val="20"/>
          <w:vertAlign w:val="subscript"/>
        </w:rPr>
        <w:t>C_agg</w:t>
      </w:r>
      <w:proofErr w:type="spellEnd"/>
      <w:r w:rsidRPr="00C742EC">
        <w:rPr>
          <w:color w:val="FF0000"/>
          <w:sz w:val="20"/>
          <w:vertAlign w:val="subscript"/>
        </w:rPr>
        <w:t xml:space="preserve"> </w:t>
      </w:r>
      <w:r w:rsidRPr="00C742EC">
        <w:rPr>
          <w:color w:val="FF0000"/>
          <w:sz w:val="20"/>
        </w:rPr>
        <w:t xml:space="preserve"> – (3*</w:t>
      </w:r>
      <w:proofErr w:type="spellStart"/>
      <w:r w:rsidRPr="00C742EC">
        <w:rPr>
          <w:color w:val="FF0000"/>
          <w:sz w:val="20"/>
        </w:rPr>
        <w:t>F</w:t>
      </w:r>
      <w:r w:rsidRPr="00C742EC">
        <w:rPr>
          <w:color w:val="FF0000"/>
          <w:sz w:val="20"/>
          <w:vertAlign w:val="subscript"/>
        </w:rPr>
        <w:t>agg_alloc_low</w:t>
      </w:r>
      <w:proofErr w:type="spellEnd"/>
      <w:r w:rsidRPr="00C742EC">
        <w:rPr>
          <w:color w:val="FF0000"/>
          <w:sz w:val="20"/>
        </w:rPr>
        <w:t xml:space="preserve"> – 2*</w:t>
      </w:r>
      <w:proofErr w:type="spellStart"/>
      <w:r w:rsidRPr="00C742EC">
        <w:rPr>
          <w:color w:val="FF0000"/>
          <w:sz w:val="20"/>
        </w:rPr>
        <w:t>F</w:t>
      </w:r>
      <w:r w:rsidRPr="00C742EC">
        <w:rPr>
          <w:color w:val="FF0000"/>
          <w:sz w:val="20"/>
          <w:vertAlign w:val="subscript"/>
        </w:rPr>
        <w:t>agg_alloc_high</w:t>
      </w:r>
      <w:proofErr w:type="spellEnd"/>
      <w:r w:rsidRPr="00C742EC">
        <w:rPr>
          <w:color w:val="FF0000"/>
          <w:sz w:val="20"/>
        </w:rPr>
        <w:t xml:space="preserve">) |,  | </w:t>
      </w:r>
      <w:proofErr w:type="spellStart"/>
      <w:r w:rsidRPr="00C742EC">
        <w:rPr>
          <w:color w:val="FF0000"/>
          <w:sz w:val="20"/>
        </w:rPr>
        <w:t>F</w:t>
      </w:r>
      <w:r w:rsidRPr="00C742EC">
        <w:rPr>
          <w:color w:val="FF0000"/>
          <w:sz w:val="20"/>
          <w:vertAlign w:val="subscript"/>
        </w:rPr>
        <w:t>C_agg</w:t>
      </w:r>
      <w:proofErr w:type="spellEnd"/>
      <w:r w:rsidRPr="00C742EC">
        <w:rPr>
          <w:color w:val="FF0000"/>
          <w:sz w:val="20"/>
          <w:vertAlign w:val="subscript"/>
        </w:rPr>
        <w:t xml:space="preserve"> </w:t>
      </w:r>
      <w:r w:rsidRPr="00C742EC">
        <w:rPr>
          <w:color w:val="FF0000"/>
          <w:sz w:val="20"/>
        </w:rPr>
        <w:t xml:space="preserve"> – (3*</w:t>
      </w:r>
      <w:proofErr w:type="spellStart"/>
      <w:r w:rsidRPr="00C742EC">
        <w:rPr>
          <w:color w:val="FF0000"/>
          <w:sz w:val="20"/>
        </w:rPr>
        <w:t>F</w:t>
      </w:r>
      <w:r w:rsidRPr="00C742EC">
        <w:rPr>
          <w:color w:val="FF0000"/>
          <w:sz w:val="20"/>
          <w:vertAlign w:val="subscript"/>
        </w:rPr>
        <w:t>agg_lloc_high</w:t>
      </w:r>
      <w:proofErr w:type="spellEnd"/>
      <w:r w:rsidRPr="00C742EC">
        <w:rPr>
          <w:color w:val="FF0000"/>
          <w:sz w:val="20"/>
        </w:rPr>
        <w:t xml:space="preserve"> – 2*</w:t>
      </w:r>
      <w:proofErr w:type="spellStart"/>
      <w:r w:rsidRPr="00C742EC">
        <w:rPr>
          <w:color w:val="FF0000"/>
          <w:sz w:val="20"/>
        </w:rPr>
        <w:t>F</w:t>
      </w:r>
      <w:r w:rsidRPr="00C742EC">
        <w:rPr>
          <w:color w:val="FF0000"/>
          <w:sz w:val="20"/>
          <w:vertAlign w:val="subscript"/>
        </w:rPr>
        <w:t>agg_alloc_low</w:t>
      </w:r>
      <w:proofErr w:type="spellEnd"/>
      <w:r w:rsidRPr="00C742EC">
        <w:rPr>
          <w:color w:val="FF0000"/>
          <w:sz w:val="20"/>
        </w:rPr>
        <w:t>) | )</w:t>
      </w:r>
    </w:p>
    <w:p w:rsidR="00C742EC" w:rsidRPr="004454F2" w:rsidRDefault="00C742EC" w:rsidP="00C742EC">
      <w:pPr>
        <w:ind w:left="720"/>
        <w:rPr>
          <w:color w:val="FF0000"/>
          <w:sz w:val="20"/>
          <w:vertAlign w:val="subscript"/>
        </w:rPr>
      </w:pPr>
    </w:p>
    <w:p w:rsidR="004454F2" w:rsidRPr="004454F2" w:rsidRDefault="004454F2" w:rsidP="004454F2">
      <w:pPr>
        <w:spacing w:after="180"/>
        <w:ind w:left="720"/>
        <w:rPr>
          <w:rFonts w:eastAsia="Times New Roman"/>
          <w:sz w:val="20"/>
          <w:vertAlign w:val="subscript"/>
          <w:lang w:eastAsia="en-US"/>
        </w:rPr>
      </w:pPr>
      <w:r w:rsidRPr="004454F2">
        <w:rPr>
          <w:rFonts w:eastAsia="Times New Roman"/>
          <w:sz w:val="20"/>
          <w:vertAlign w:val="subscript"/>
          <w:lang w:eastAsia="en-US"/>
        </w:rPr>
        <w:tab/>
      </w:r>
      <w:proofErr w:type="gramStart"/>
      <w:r w:rsidRPr="004454F2">
        <w:rPr>
          <w:rFonts w:eastAsia="Times New Roman"/>
          <w:sz w:val="20"/>
          <w:lang w:eastAsia="en-US"/>
        </w:rPr>
        <w:t>CEIL{</w:t>
      </w:r>
      <w:proofErr w:type="gramEnd"/>
      <w:r w:rsidRPr="004454F2">
        <w:rPr>
          <w:rFonts w:eastAsia="Times New Roman"/>
          <w:sz w:val="20"/>
          <w:lang w:eastAsia="en-US"/>
        </w:rPr>
        <w:t>M</w:t>
      </w:r>
      <w:r w:rsidRPr="004454F2">
        <w:rPr>
          <w:rFonts w:eastAsia="Times New Roman"/>
          <w:sz w:val="20"/>
          <w:vertAlign w:val="subscript"/>
          <w:lang w:eastAsia="en-US"/>
        </w:rPr>
        <w:t>A,</w:t>
      </w:r>
      <w:r w:rsidRPr="004454F2">
        <w:rPr>
          <w:rFonts w:eastAsia="Times New Roman"/>
          <w:sz w:val="20"/>
          <w:lang w:eastAsia="en-US"/>
        </w:rPr>
        <w:t xml:space="preserve"> 0.5} means rounding upwards to closest 0.5dB, i.e. MPR</w:t>
      </w:r>
      <w:r w:rsidRPr="004454F2">
        <w:rPr>
          <w:rFonts w:eastAsia="Times New Roman"/>
          <w:szCs w:val="24"/>
          <w:lang w:eastAsia="en-US"/>
        </w:rPr>
        <w:sym w:font="Symbol" w:char="00CE"/>
      </w:r>
      <w:r w:rsidRPr="004454F2">
        <w:rPr>
          <w:rFonts w:eastAsia="Times New Roman"/>
          <w:sz w:val="20"/>
          <w:lang w:eastAsia="en-US"/>
        </w:rPr>
        <w:t>[3.0, 3.5, 4.0, 4.5, 5.0, 5.5, 6.0, 6.5, 7.0, 7.5, 8.0, 8.5]</w:t>
      </w:r>
    </w:p>
    <w:p w:rsidR="004454F2" w:rsidRPr="004454F2" w:rsidRDefault="004454F2" w:rsidP="004454F2">
      <w:pPr>
        <w:spacing w:after="180"/>
        <w:ind w:left="720"/>
        <w:rPr>
          <w:rFonts w:eastAsia="Times New Roman"/>
          <w:sz w:val="20"/>
          <w:lang w:eastAsia="en-US"/>
        </w:rPr>
      </w:pPr>
      <w:r w:rsidRPr="004454F2">
        <w:rPr>
          <w:rFonts w:eastAsia="Times New Roman"/>
          <w:sz w:val="20"/>
          <w:lang w:eastAsia="en-US"/>
        </w:rPr>
        <w:t xml:space="preserve">For the UE maximum output power modified by MPR, the power limits specified in </w:t>
      </w:r>
      <w:proofErr w:type="spellStart"/>
      <w:r w:rsidRPr="004454F2">
        <w:rPr>
          <w:rFonts w:eastAsia="Times New Roman"/>
          <w:sz w:val="20"/>
          <w:lang w:eastAsia="en-US"/>
        </w:rPr>
        <w:t>subclause</w:t>
      </w:r>
      <w:proofErr w:type="spellEnd"/>
      <w:r w:rsidRPr="004454F2">
        <w:rPr>
          <w:rFonts w:eastAsia="Times New Roman"/>
          <w:sz w:val="20"/>
          <w:lang w:eastAsia="en-US"/>
        </w:rPr>
        <w:t xml:space="preserve"> 6.2.5A apply.</w:t>
      </w:r>
    </w:p>
    <w:p w:rsidR="004454F2" w:rsidRDefault="004454F2" w:rsidP="004454F2">
      <w:pPr>
        <w:spacing w:after="180"/>
        <w:ind w:left="720"/>
        <w:rPr>
          <w:rFonts w:eastAsia="Times New Roman"/>
          <w:sz w:val="20"/>
          <w:lang w:eastAsia="en-US"/>
        </w:rPr>
      </w:pPr>
      <w:r w:rsidRPr="004454F2">
        <w:rPr>
          <w:rFonts w:eastAsia="Times New Roman"/>
          <w:sz w:val="20"/>
          <w:lang w:eastAsia="en-US"/>
        </w:rPr>
        <w:t xml:space="preserve">For intra-band non-contiguous carrier aggregation with one uplink carrier on the PCC, the requirements in </w:t>
      </w:r>
      <w:proofErr w:type="spellStart"/>
      <w:r w:rsidRPr="004454F2">
        <w:rPr>
          <w:rFonts w:eastAsia="Times New Roman"/>
          <w:sz w:val="20"/>
          <w:lang w:eastAsia="en-US"/>
        </w:rPr>
        <w:t>subclause</w:t>
      </w:r>
      <w:proofErr w:type="spellEnd"/>
      <w:r w:rsidRPr="004454F2">
        <w:rPr>
          <w:rFonts w:eastAsia="Times New Roman"/>
          <w:sz w:val="20"/>
          <w:lang w:eastAsia="en-US"/>
        </w:rPr>
        <w:t xml:space="preserve"> 6.2.3 apply.</w:t>
      </w:r>
    </w:p>
    <w:p w:rsidR="000670F8" w:rsidRDefault="000670F8" w:rsidP="000670F8">
      <w:pPr>
        <w:spacing w:after="180"/>
        <w:rPr>
          <w:rFonts w:eastAsia="Times New Roman"/>
          <w:sz w:val="20"/>
          <w:lang w:eastAsia="en-US"/>
        </w:rPr>
      </w:pPr>
    </w:p>
    <w:p w:rsidR="00347A8B" w:rsidRPr="000670F8" w:rsidRDefault="00347A8B" w:rsidP="000670F8">
      <w:pPr>
        <w:spacing w:after="180"/>
        <w:rPr>
          <w:rFonts w:eastAsia="Times New Roman"/>
          <w:sz w:val="20"/>
          <w:lang w:eastAsia="en-US"/>
        </w:rPr>
      </w:pPr>
      <w:r>
        <w:rPr>
          <w:rFonts w:eastAsia="Times New Roman"/>
          <w:sz w:val="20"/>
          <w:lang w:eastAsia="en-US"/>
        </w:rPr>
        <w:t>The MPR mask associated with the Proposal 3 can be found in Figure 2.</w:t>
      </w:r>
    </w:p>
    <w:p w:rsidR="00C742EC" w:rsidRPr="005D5BB9" w:rsidRDefault="000670F8" w:rsidP="005D5BB9">
      <w:pPr>
        <w:rPr>
          <w:sz w:val="20"/>
          <w:szCs w:val="22"/>
        </w:rPr>
      </w:pPr>
      <w:r>
        <w:rPr>
          <w:sz w:val="20"/>
          <w:szCs w:val="22"/>
        </w:rPr>
        <w:t>Finally, if</w:t>
      </w:r>
      <w:r w:rsidR="00C742EC">
        <w:rPr>
          <w:sz w:val="20"/>
          <w:szCs w:val="22"/>
        </w:rPr>
        <w:t xml:space="preserve"> Proposal 3 is considered </w:t>
      </w:r>
      <w:r w:rsidR="004218CD">
        <w:rPr>
          <w:sz w:val="20"/>
          <w:szCs w:val="22"/>
        </w:rPr>
        <w:t xml:space="preserve">to be </w:t>
      </w:r>
      <w:r w:rsidR="00C742EC">
        <w:rPr>
          <w:sz w:val="20"/>
          <w:szCs w:val="22"/>
        </w:rPr>
        <w:t xml:space="preserve">too </w:t>
      </w:r>
      <w:r w:rsidR="004218CD">
        <w:rPr>
          <w:sz w:val="20"/>
          <w:szCs w:val="22"/>
        </w:rPr>
        <w:t xml:space="preserve">complex, </w:t>
      </w:r>
      <w:r>
        <w:rPr>
          <w:sz w:val="20"/>
          <w:szCs w:val="22"/>
        </w:rPr>
        <w:t>the</w:t>
      </w:r>
      <w:r w:rsidR="004218CD">
        <w:rPr>
          <w:sz w:val="20"/>
          <w:szCs w:val="22"/>
        </w:rPr>
        <w:t xml:space="preserve"> above text proposal</w:t>
      </w:r>
      <w:r>
        <w:rPr>
          <w:sz w:val="20"/>
          <w:szCs w:val="22"/>
        </w:rPr>
        <w:t xml:space="preserve"> can be modified to implement Proposal 2</w:t>
      </w:r>
      <w:r w:rsidR="004218CD">
        <w:rPr>
          <w:sz w:val="20"/>
          <w:szCs w:val="22"/>
        </w:rPr>
        <w:t xml:space="preserve"> by </w:t>
      </w:r>
      <w:r w:rsidR="000B66F5">
        <w:rPr>
          <w:sz w:val="20"/>
          <w:szCs w:val="22"/>
        </w:rPr>
        <w:t xml:space="preserve">simply </w:t>
      </w:r>
      <w:r w:rsidR="004218CD">
        <w:rPr>
          <w:sz w:val="20"/>
          <w:szCs w:val="22"/>
        </w:rPr>
        <w:t>changing the definition of M</w:t>
      </w:r>
      <w:r w:rsidR="004218CD" w:rsidRPr="000670F8">
        <w:rPr>
          <w:sz w:val="20"/>
          <w:szCs w:val="22"/>
          <w:vertAlign w:val="subscript"/>
        </w:rPr>
        <w:t>IM5</w:t>
      </w:r>
      <w:r w:rsidR="004218CD">
        <w:rPr>
          <w:sz w:val="20"/>
          <w:szCs w:val="22"/>
        </w:rPr>
        <w:t xml:space="preserve"> to be</w:t>
      </w:r>
    </w:p>
    <w:p w:rsidR="005D5BB9" w:rsidRPr="00381374" w:rsidRDefault="005D5BB9" w:rsidP="00381374">
      <w:pPr>
        <w:rPr>
          <w:sz w:val="20"/>
          <w:szCs w:val="22"/>
        </w:rPr>
      </w:pPr>
    </w:p>
    <w:p w:rsidR="00C742EC" w:rsidRPr="00C742EC" w:rsidRDefault="00C742EC" w:rsidP="004218CD">
      <w:pPr>
        <w:ind w:left="720" w:firstLine="720"/>
        <w:rPr>
          <w:color w:val="000000" w:themeColor="text1"/>
          <w:sz w:val="20"/>
          <w:vertAlign w:val="subscript"/>
        </w:rPr>
      </w:pPr>
      <w:r w:rsidRPr="00C742EC">
        <w:rPr>
          <w:color w:val="000000" w:themeColor="text1"/>
          <w:sz w:val="20"/>
        </w:rPr>
        <w:t>M</w:t>
      </w:r>
      <w:r w:rsidRPr="00C742EC">
        <w:rPr>
          <w:color w:val="000000" w:themeColor="text1"/>
          <w:sz w:val="20"/>
          <w:vertAlign w:val="subscript"/>
        </w:rPr>
        <w:t>IM5</w:t>
      </w:r>
      <w:r w:rsidRPr="00C742EC">
        <w:rPr>
          <w:color w:val="000000" w:themeColor="text1"/>
          <w:sz w:val="20"/>
        </w:rPr>
        <w:t xml:space="preserve"> =</w:t>
      </w:r>
      <w:r w:rsidRPr="00C742EC">
        <w:rPr>
          <w:color w:val="000000" w:themeColor="text1"/>
          <w:sz w:val="20"/>
        </w:rPr>
        <w:tab/>
        <w:t>4.5</w:t>
      </w:r>
      <w:r w:rsidRPr="00C742EC">
        <w:rPr>
          <w:color w:val="000000" w:themeColor="text1"/>
          <w:sz w:val="20"/>
        </w:rPr>
        <w:tab/>
        <w:t xml:space="preserve">; </w:t>
      </w:r>
      <w:r w:rsidRPr="00C742EC">
        <w:rPr>
          <w:rFonts w:ascii="Symbol" w:hAnsi="Symbol"/>
          <w:b/>
          <w:color w:val="000000" w:themeColor="text1"/>
          <w:sz w:val="20"/>
        </w:rPr>
        <w:t></w:t>
      </w:r>
      <w:r w:rsidRPr="00C742EC">
        <w:rPr>
          <w:color w:val="000000" w:themeColor="text1"/>
          <w:sz w:val="20"/>
          <w:vertAlign w:val="subscript"/>
        </w:rPr>
        <w:t>IM5</w:t>
      </w:r>
      <w:r w:rsidRPr="00C742EC">
        <w:rPr>
          <w:color w:val="000000" w:themeColor="text1"/>
          <w:sz w:val="20"/>
        </w:rPr>
        <w:t xml:space="preserve"> ≤ 1.5 * </w:t>
      </w:r>
      <w:proofErr w:type="spellStart"/>
      <w:r w:rsidRPr="00C742EC">
        <w:rPr>
          <w:color w:val="000000" w:themeColor="text1"/>
          <w:sz w:val="20"/>
        </w:rPr>
        <w:t>BW</w:t>
      </w:r>
      <w:r w:rsidRPr="00C742EC">
        <w:rPr>
          <w:color w:val="000000" w:themeColor="text1"/>
          <w:sz w:val="20"/>
          <w:vertAlign w:val="subscript"/>
        </w:rPr>
        <w:t>Channel_CA</w:t>
      </w:r>
      <w:proofErr w:type="spellEnd"/>
    </w:p>
    <w:p w:rsidR="00C742EC" w:rsidRPr="00C742EC" w:rsidRDefault="00C742EC" w:rsidP="000670F8">
      <w:pPr>
        <w:rPr>
          <w:color w:val="000000" w:themeColor="text1"/>
          <w:sz w:val="20"/>
          <w:vertAlign w:val="subscript"/>
        </w:rPr>
      </w:pPr>
    </w:p>
    <w:p w:rsidR="000670F8" w:rsidRPr="00C742EC" w:rsidRDefault="00C742EC" w:rsidP="000670F8">
      <w:pPr>
        <w:ind w:left="1440" w:firstLine="720"/>
        <w:rPr>
          <w:color w:val="000000" w:themeColor="text1"/>
          <w:sz w:val="20"/>
          <w:vertAlign w:val="subscript"/>
        </w:rPr>
      </w:pPr>
      <w:r w:rsidRPr="00C742EC">
        <w:rPr>
          <w:color w:val="000000" w:themeColor="text1"/>
          <w:sz w:val="20"/>
        </w:rPr>
        <w:t>M</w:t>
      </w:r>
      <w:r w:rsidRPr="00C742EC">
        <w:rPr>
          <w:color w:val="000000" w:themeColor="text1"/>
          <w:sz w:val="20"/>
          <w:vertAlign w:val="subscript"/>
        </w:rPr>
        <w:t>A</w:t>
      </w:r>
      <w:r w:rsidRPr="00C742EC">
        <w:rPr>
          <w:color w:val="000000" w:themeColor="text1"/>
          <w:sz w:val="20"/>
        </w:rPr>
        <w:tab/>
        <w:t xml:space="preserve">; </w:t>
      </w:r>
      <w:r w:rsidRPr="00C742EC">
        <w:rPr>
          <w:rFonts w:ascii="Symbol" w:hAnsi="Symbol"/>
          <w:b/>
          <w:color w:val="000000" w:themeColor="text1"/>
          <w:sz w:val="20"/>
        </w:rPr>
        <w:t></w:t>
      </w:r>
      <w:r w:rsidRPr="00C742EC">
        <w:rPr>
          <w:color w:val="000000" w:themeColor="text1"/>
          <w:sz w:val="20"/>
          <w:vertAlign w:val="subscript"/>
        </w:rPr>
        <w:t>IM5</w:t>
      </w:r>
      <w:r w:rsidRPr="00C742EC">
        <w:rPr>
          <w:color w:val="000000" w:themeColor="text1"/>
          <w:sz w:val="20"/>
        </w:rPr>
        <w:t xml:space="preserve"> &gt; 1.5 * </w:t>
      </w:r>
      <w:proofErr w:type="spellStart"/>
      <w:r w:rsidRPr="00C742EC">
        <w:rPr>
          <w:color w:val="000000" w:themeColor="text1"/>
          <w:sz w:val="20"/>
        </w:rPr>
        <w:t>BW</w:t>
      </w:r>
      <w:r w:rsidRPr="00C742EC">
        <w:rPr>
          <w:color w:val="000000" w:themeColor="text1"/>
          <w:sz w:val="20"/>
          <w:vertAlign w:val="subscript"/>
        </w:rPr>
        <w:t>Channel_CA</w:t>
      </w:r>
      <w:proofErr w:type="spellEnd"/>
      <w:r w:rsidRPr="00C742EC">
        <w:rPr>
          <w:color w:val="000000" w:themeColor="text1"/>
          <w:sz w:val="20"/>
        </w:rPr>
        <w:t xml:space="preserve"> </w:t>
      </w:r>
      <w:r w:rsidR="000670F8">
        <w:rPr>
          <w:color w:val="000000" w:themeColor="text1"/>
          <w:sz w:val="20"/>
        </w:rPr>
        <w:tab/>
      </w:r>
      <w:r w:rsidR="000670F8">
        <w:rPr>
          <w:color w:val="000000" w:themeColor="text1"/>
          <w:sz w:val="20"/>
        </w:rPr>
        <w:tab/>
      </w:r>
      <w:r w:rsidR="000670F8">
        <w:rPr>
          <w:color w:val="000000" w:themeColor="text1"/>
          <w:sz w:val="20"/>
        </w:rPr>
        <w:tab/>
      </w:r>
      <w:r w:rsidR="000670F8">
        <w:rPr>
          <w:color w:val="000000" w:themeColor="text1"/>
          <w:sz w:val="20"/>
        </w:rPr>
        <w:tab/>
        <w:t>(for Proposal 2)</w:t>
      </w:r>
      <w:r w:rsidR="000670F8">
        <w:rPr>
          <w:color w:val="000000" w:themeColor="text1"/>
          <w:sz w:val="20"/>
          <w:vertAlign w:val="subscript"/>
        </w:rPr>
        <w:tab/>
      </w:r>
    </w:p>
    <w:p w:rsidR="00C742EC" w:rsidRPr="00C742EC" w:rsidRDefault="00C742EC" w:rsidP="004218CD">
      <w:pPr>
        <w:ind w:left="1440" w:firstLine="720"/>
        <w:rPr>
          <w:color w:val="000000" w:themeColor="text1"/>
          <w:sz w:val="20"/>
        </w:rPr>
      </w:pPr>
    </w:p>
    <w:p w:rsidR="004454F2" w:rsidRDefault="004454F2" w:rsidP="006129E8">
      <w:pPr>
        <w:rPr>
          <w:sz w:val="20"/>
        </w:rPr>
      </w:pPr>
    </w:p>
    <w:p w:rsidR="00C9093B" w:rsidRDefault="00C9093B" w:rsidP="006129E8">
      <w:pPr>
        <w:rPr>
          <w:sz w:val="20"/>
          <w:szCs w:val="22"/>
        </w:rPr>
      </w:pPr>
    </w:p>
    <w:p w:rsidR="00E50491" w:rsidRDefault="00E50491" w:rsidP="00E70237">
      <w:pPr>
        <w:jc w:val="center"/>
        <w:rPr>
          <w:sz w:val="20"/>
          <w:szCs w:val="22"/>
        </w:rPr>
      </w:pPr>
      <w:r w:rsidRPr="00310981">
        <w:rPr>
          <w:sz w:val="20"/>
          <w:szCs w:val="22"/>
        </w:rPr>
        <w:lastRenderedPageBreak/>
        <w:pict>
          <v:shape id="_x0000_i1026" type="#_x0000_t75" style="width:5in;height:270.15pt">
            <v:imagedata r:id="rId17" o:title="newmask"/>
          </v:shape>
        </w:pict>
      </w:r>
    </w:p>
    <w:p w:rsidR="001B57BF" w:rsidRDefault="00E50491" w:rsidP="00E50491">
      <w:pPr>
        <w:jc w:val="center"/>
        <w:rPr>
          <w:sz w:val="20"/>
          <w:szCs w:val="22"/>
        </w:rPr>
      </w:pPr>
      <w:r w:rsidRPr="000C613B">
        <w:rPr>
          <w:b/>
          <w:sz w:val="20"/>
        </w:rPr>
        <w:t xml:space="preserve">Figure </w:t>
      </w:r>
      <w:r w:rsidR="00347A8B">
        <w:rPr>
          <w:b/>
          <w:sz w:val="20"/>
        </w:rPr>
        <w:t>2</w:t>
      </w:r>
      <w:r w:rsidRPr="000C613B">
        <w:rPr>
          <w:b/>
          <w:sz w:val="20"/>
        </w:rPr>
        <w:t xml:space="preserve">: </w:t>
      </w:r>
      <w:r>
        <w:rPr>
          <w:b/>
          <w:sz w:val="20"/>
        </w:rPr>
        <w:t xml:space="preserve">Illustration of proposed MPR mask for Proposal </w:t>
      </w:r>
      <w:r w:rsidR="002E15C3">
        <w:rPr>
          <w:b/>
          <w:sz w:val="20"/>
        </w:rPr>
        <w:t>3</w:t>
      </w:r>
      <w:r>
        <w:rPr>
          <w:b/>
          <w:sz w:val="20"/>
        </w:rPr>
        <w:t>.</w:t>
      </w:r>
    </w:p>
    <w:p w:rsidR="00072E0C" w:rsidRDefault="00072E0C" w:rsidP="009D7442">
      <w:pPr>
        <w:rPr>
          <w:sz w:val="20"/>
          <w:szCs w:val="22"/>
        </w:rPr>
      </w:pPr>
    </w:p>
    <w:p w:rsidR="006812DE" w:rsidRPr="00CB7A85" w:rsidRDefault="006812DE" w:rsidP="006812DE">
      <w:pPr>
        <w:pStyle w:val="Heading1"/>
        <w:spacing w:after="120"/>
        <w:jc w:val="both"/>
        <w:rPr>
          <w:b/>
          <w:color w:val="000000"/>
        </w:rPr>
      </w:pPr>
      <w:r>
        <w:rPr>
          <w:b/>
          <w:color w:val="000000"/>
        </w:rPr>
        <w:t>Conclusion</w:t>
      </w:r>
    </w:p>
    <w:p w:rsidR="00347A8B" w:rsidRDefault="00347A8B" w:rsidP="00347A8B">
      <w:pPr>
        <w:rPr>
          <w:sz w:val="20"/>
          <w:szCs w:val="22"/>
        </w:rPr>
      </w:pPr>
      <w:r>
        <w:rPr>
          <w:sz w:val="20"/>
          <w:szCs w:val="22"/>
        </w:rPr>
        <w:t xml:space="preserve">Based on the simulation results in [1-4], three proposals have been made for reducing the MPR allowed for some non-contiguous resource allocations.  In this contribution, the three proposals were compared with respect to the set of non-contiguous resource allocations to which they apply and also with respect to their </w:t>
      </w:r>
      <w:r w:rsidR="000670F8">
        <w:rPr>
          <w:sz w:val="20"/>
          <w:szCs w:val="22"/>
        </w:rPr>
        <w:t xml:space="preserve">complexity and </w:t>
      </w:r>
      <w:r>
        <w:rPr>
          <w:sz w:val="20"/>
          <w:szCs w:val="22"/>
        </w:rPr>
        <w:t>specification impact.  Based on this comparison, it is observed that Proposal 3 allows the scheduler increased flexibility to assign non-contiguous resource allocations with reduced MPR relative to Proposals 1 and 2 with only a minimal increase in complexity.</w:t>
      </w:r>
    </w:p>
    <w:p w:rsidR="00347A8B" w:rsidRDefault="00347A8B" w:rsidP="00347A8B">
      <w:pPr>
        <w:rPr>
          <w:sz w:val="20"/>
          <w:szCs w:val="22"/>
        </w:rPr>
      </w:pPr>
    </w:p>
    <w:p w:rsidR="00347A8B" w:rsidRDefault="00347A8B" w:rsidP="00347A8B">
      <w:pPr>
        <w:rPr>
          <w:sz w:val="20"/>
          <w:szCs w:val="22"/>
        </w:rPr>
      </w:pPr>
      <w:r>
        <w:rPr>
          <w:sz w:val="20"/>
          <w:szCs w:val="22"/>
        </w:rPr>
        <w:t xml:space="preserve">Based on this observation is recommended that </w:t>
      </w:r>
      <w:r w:rsidRPr="000670F8">
        <w:rPr>
          <w:b/>
          <w:sz w:val="20"/>
          <w:szCs w:val="22"/>
        </w:rPr>
        <w:t>Proposal 3</w:t>
      </w:r>
      <w:r>
        <w:rPr>
          <w:sz w:val="20"/>
          <w:szCs w:val="22"/>
        </w:rPr>
        <w:t xml:space="preserve"> be approved.</w:t>
      </w:r>
    </w:p>
    <w:p w:rsidR="00634182" w:rsidRPr="00634182" w:rsidRDefault="00634182" w:rsidP="00634182">
      <w:pPr>
        <w:rPr>
          <w:sz w:val="20"/>
          <w:szCs w:val="22"/>
        </w:rPr>
      </w:pPr>
    </w:p>
    <w:p w:rsidR="001B57BF" w:rsidRPr="003D1980" w:rsidRDefault="001B57BF" w:rsidP="001B57BF">
      <w:pPr>
        <w:pStyle w:val="Heading1"/>
        <w:numPr>
          <w:ilvl w:val="0"/>
          <w:numId w:val="0"/>
        </w:numPr>
        <w:spacing w:before="0" w:after="120"/>
        <w:jc w:val="both"/>
        <w:rPr>
          <w:b/>
          <w:color w:val="000000"/>
        </w:rPr>
      </w:pPr>
      <w:r w:rsidRPr="003D1980">
        <w:rPr>
          <w:b/>
          <w:color w:val="000000"/>
        </w:rPr>
        <w:t>References</w:t>
      </w:r>
    </w:p>
    <w:p w:rsidR="00651AA8" w:rsidRDefault="00E50491" w:rsidP="001B57BF">
      <w:pPr>
        <w:pStyle w:val="11BodyText"/>
        <w:numPr>
          <w:ilvl w:val="0"/>
          <w:numId w:val="5"/>
        </w:numPr>
        <w:rPr>
          <w:rFonts w:ascii="Times New Roman" w:hAnsi="Times New Roman"/>
          <w:bCs/>
          <w:lang w:val="en-US"/>
        </w:rPr>
      </w:pPr>
      <w:bookmarkStart w:id="1" w:name="_Ref314747495"/>
      <w:r w:rsidRPr="00E50491">
        <w:rPr>
          <w:rFonts w:ascii="Times New Roman" w:hAnsi="Times New Roman"/>
          <w:bCs/>
        </w:rPr>
        <w:t>R4-135527</w:t>
      </w:r>
      <w:r w:rsidR="00651AA8">
        <w:rPr>
          <w:rFonts w:ascii="Times New Roman" w:hAnsi="Times New Roman"/>
          <w:bCs/>
          <w:lang w:val="en-US"/>
        </w:rPr>
        <w:t xml:space="preserve">, </w:t>
      </w:r>
      <w:r w:rsidRPr="00E50491">
        <w:rPr>
          <w:rFonts w:ascii="Times New Roman" w:hAnsi="Times New Roman"/>
          <w:bCs/>
        </w:rPr>
        <w:t>MPR Reduction for CA with Non-Contiguous Resource Allocations</w:t>
      </w:r>
      <w:r w:rsidR="00651AA8">
        <w:rPr>
          <w:rFonts w:ascii="Times New Roman" w:hAnsi="Times New Roman"/>
          <w:bCs/>
          <w:lang w:val="en-US"/>
        </w:rPr>
        <w:t>, RAN4 #68</w:t>
      </w:r>
      <w:r>
        <w:rPr>
          <w:rFonts w:ascii="Times New Roman" w:hAnsi="Times New Roman"/>
          <w:bCs/>
          <w:lang w:val="en-US"/>
        </w:rPr>
        <w:t>bis</w:t>
      </w:r>
      <w:r w:rsidR="00651AA8" w:rsidRPr="00CD459F">
        <w:rPr>
          <w:rFonts w:ascii="Times New Roman" w:hAnsi="Times New Roman"/>
          <w:bCs/>
          <w:lang w:val="en-US"/>
        </w:rPr>
        <w:t xml:space="preserve">, </w:t>
      </w:r>
      <w:r>
        <w:rPr>
          <w:rFonts w:ascii="Times New Roman" w:hAnsi="Times New Roman"/>
          <w:bCs/>
          <w:lang w:val="en-US"/>
        </w:rPr>
        <w:t>October</w:t>
      </w:r>
      <w:r w:rsidR="00651AA8" w:rsidRPr="00CD459F">
        <w:rPr>
          <w:rFonts w:ascii="Times New Roman" w:hAnsi="Times New Roman"/>
          <w:bCs/>
          <w:lang w:val="en-US"/>
        </w:rPr>
        <w:t xml:space="preserve"> 2013</w:t>
      </w:r>
    </w:p>
    <w:p w:rsidR="001B57BF" w:rsidRDefault="001B57BF" w:rsidP="001B57BF">
      <w:pPr>
        <w:pStyle w:val="11BodyText"/>
        <w:numPr>
          <w:ilvl w:val="0"/>
          <w:numId w:val="5"/>
        </w:numPr>
        <w:rPr>
          <w:rFonts w:ascii="Times New Roman" w:hAnsi="Times New Roman"/>
          <w:bCs/>
          <w:lang w:val="en-US"/>
        </w:rPr>
      </w:pPr>
      <w:r w:rsidRPr="00CD459F">
        <w:rPr>
          <w:rFonts w:ascii="Times New Roman" w:hAnsi="Times New Roman"/>
          <w:bCs/>
          <w:lang w:val="en-US"/>
        </w:rPr>
        <w:t>R4-13</w:t>
      </w:r>
      <w:r w:rsidR="00625AFD">
        <w:rPr>
          <w:rFonts w:ascii="Times New Roman" w:hAnsi="Times New Roman"/>
          <w:bCs/>
          <w:lang w:val="en-US"/>
        </w:rPr>
        <w:t>4089, MPR Reduction for CA Multi-Cluster Transmissions, Motorola Mobility, RAN4 #68</w:t>
      </w:r>
      <w:r w:rsidRPr="00CD459F">
        <w:rPr>
          <w:rFonts w:ascii="Times New Roman" w:hAnsi="Times New Roman"/>
          <w:bCs/>
          <w:lang w:val="en-US"/>
        </w:rPr>
        <w:t xml:space="preserve">, </w:t>
      </w:r>
      <w:r w:rsidR="00625AFD">
        <w:rPr>
          <w:rFonts w:ascii="Times New Roman" w:hAnsi="Times New Roman"/>
          <w:bCs/>
          <w:lang w:val="en-US"/>
        </w:rPr>
        <w:t>August</w:t>
      </w:r>
      <w:r w:rsidRPr="00CD459F">
        <w:rPr>
          <w:rFonts w:ascii="Times New Roman" w:hAnsi="Times New Roman"/>
          <w:bCs/>
          <w:lang w:val="en-US"/>
        </w:rPr>
        <w:t xml:space="preserve"> 2013.</w:t>
      </w:r>
    </w:p>
    <w:p w:rsidR="00420020" w:rsidRPr="00420020" w:rsidRDefault="00420020" w:rsidP="00420020">
      <w:pPr>
        <w:pStyle w:val="11BodyText"/>
        <w:numPr>
          <w:ilvl w:val="0"/>
          <w:numId w:val="5"/>
        </w:numPr>
        <w:rPr>
          <w:rFonts w:ascii="Times New Roman" w:hAnsi="Times New Roman"/>
          <w:bCs/>
          <w:lang w:val="en-US"/>
        </w:rPr>
      </w:pPr>
      <w:r>
        <w:rPr>
          <w:rFonts w:ascii="Times New Roman" w:hAnsi="Times New Roman"/>
          <w:bCs/>
          <w:lang w:val="en-US"/>
        </w:rPr>
        <w:t>R4-132125 Contiguous intraband CA MPR reduction, Nokia Corporation, RAN4 #67, Fukuoka, Japan, May 2013.</w:t>
      </w:r>
    </w:p>
    <w:bookmarkEnd w:id="1"/>
    <w:p w:rsidR="00A41DB9" w:rsidRDefault="00A41DB9" w:rsidP="00420020">
      <w:pPr>
        <w:pStyle w:val="11BodyText"/>
        <w:numPr>
          <w:ilvl w:val="0"/>
          <w:numId w:val="5"/>
        </w:numPr>
        <w:rPr>
          <w:rFonts w:ascii="Times New Roman" w:hAnsi="Times New Roman"/>
          <w:bCs/>
          <w:lang w:val="en-US"/>
        </w:rPr>
      </w:pPr>
      <w:r>
        <w:rPr>
          <w:rFonts w:ascii="Times New Roman" w:hAnsi="Times New Roman"/>
          <w:bCs/>
          <w:lang w:val="en-US"/>
        </w:rPr>
        <w:t>R4-132755 Reducing MPR for CA Multi-Cluster Transmissions, Motorola Mobility, RAN4 #67, Fukuoka, Japan, May 2013</w:t>
      </w:r>
    </w:p>
    <w:p w:rsidR="00645738" w:rsidRPr="00645738" w:rsidRDefault="00645738" w:rsidP="00645738">
      <w:pPr>
        <w:pStyle w:val="11BodyText"/>
        <w:numPr>
          <w:ilvl w:val="0"/>
          <w:numId w:val="5"/>
        </w:numPr>
        <w:rPr>
          <w:rFonts w:ascii="Times New Roman" w:hAnsi="Times New Roman"/>
          <w:bCs/>
          <w:lang w:val="en-US"/>
        </w:rPr>
      </w:pPr>
      <w:r w:rsidRPr="00CD459F">
        <w:rPr>
          <w:rFonts w:ascii="Times New Roman" w:hAnsi="Times New Roman"/>
          <w:bCs/>
          <w:lang w:val="en-US"/>
        </w:rPr>
        <w:t>3GPP TS 36.101V11.</w:t>
      </w:r>
      <w:r>
        <w:rPr>
          <w:rFonts w:ascii="Times New Roman" w:hAnsi="Times New Roman"/>
          <w:bCs/>
          <w:lang w:val="en-US"/>
        </w:rPr>
        <w:t>6</w:t>
      </w:r>
      <w:r w:rsidRPr="00CD459F">
        <w:rPr>
          <w:rFonts w:ascii="Times New Roman" w:hAnsi="Times New Roman"/>
          <w:bCs/>
          <w:lang w:val="en-US"/>
        </w:rPr>
        <w:t>.0</w:t>
      </w:r>
    </w:p>
    <w:sectPr w:rsidR="00645738" w:rsidRPr="00645738" w:rsidSect="00CA686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AF2" w:rsidRDefault="005C4AF2">
      <w:r>
        <w:separator/>
      </w:r>
    </w:p>
  </w:endnote>
  <w:endnote w:type="continuationSeparator" w:id="0">
    <w:p w:rsidR="005C4AF2" w:rsidRDefault="005C4A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C9" w:rsidRDefault="00746AC9">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B66F5">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B66F5">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AF2" w:rsidRDefault="005C4AF2">
      <w:r>
        <w:separator/>
      </w:r>
    </w:p>
  </w:footnote>
  <w:footnote w:type="continuationSeparator" w:id="0">
    <w:p w:rsidR="005C4AF2" w:rsidRDefault="005C4A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230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597E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8">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BB70E7"/>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F1C0B"/>
    <w:multiLevelType w:val="hybridMultilevel"/>
    <w:tmpl w:val="9BC6A784"/>
    <w:lvl w:ilvl="0" w:tplc="897A84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31">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D864823"/>
    <w:multiLevelType w:val="hybridMultilevel"/>
    <w:tmpl w:val="2C924470"/>
    <w:lvl w:ilvl="0" w:tplc="30184F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7"/>
  </w:num>
  <w:num w:numId="3">
    <w:abstractNumId w:val="30"/>
  </w:num>
  <w:num w:numId="4">
    <w:abstractNumId w:val="15"/>
  </w:num>
  <w:num w:numId="5">
    <w:abstractNumId w:val="10"/>
  </w:num>
  <w:num w:numId="6">
    <w:abstractNumId w:val="33"/>
  </w:num>
  <w:num w:numId="7">
    <w:abstractNumId w:val="7"/>
  </w:num>
  <w:num w:numId="8">
    <w:abstractNumId w:val="29"/>
  </w:num>
  <w:num w:numId="9">
    <w:abstractNumId w:val="16"/>
  </w:num>
  <w:num w:numId="10">
    <w:abstractNumId w:val="23"/>
  </w:num>
  <w:num w:numId="11">
    <w:abstractNumId w:val="30"/>
  </w:num>
  <w:num w:numId="12">
    <w:abstractNumId w:val="17"/>
  </w:num>
  <w:num w:numId="13">
    <w:abstractNumId w:val="22"/>
  </w:num>
  <w:num w:numId="14">
    <w:abstractNumId w:val="9"/>
  </w:num>
  <w:num w:numId="15">
    <w:abstractNumId w:val="6"/>
  </w:num>
  <w:num w:numId="16">
    <w:abstractNumId w:val="24"/>
  </w:num>
  <w:num w:numId="17">
    <w:abstractNumId w:val="31"/>
  </w:num>
  <w:num w:numId="18">
    <w:abstractNumId w:val="32"/>
  </w:num>
  <w:num w:numId="19">
    <w:abstractNumId w:val="13"/>
  </w:num>
  <w:num w:numId="20">
    <w:abstractNumId w:val="12"/>
  </w:num>
  <w:num w:numId="21">
    <w:abstractNumId w:val="21"/>
  </w:num>
  <w:num w:numId="22">
    <w:abstractNumId w:val="8"/>
  </w:num>
  <w:num w:numId="23">
    <w:abstractNumId w:val="25"/>
  </w:num>
  <w:num w:numId="24">
    <w:abstractNumId w:val="20"/>
  </w:num>
  <w:num w:numId="25">
    <w:abstractNumId w:val="2"/>
  </w:num>
  <w:num w:numId="26">
    <w:abstractNumId w:val="18"/>
  </w:num>
  <w:num w:numId="27">
    <w:abstractNumId w:val="19"/>
  </w:num>
  <w:num w:numId="28">
    <w:abstractNumId w:val="3"/>
  </w:num>
  <w:num w:numId="29">
    <w:abstractNumId w:val="1"/>
  </w:num>
  <w:num w:numId="30">
    <w:abstractNumId w:val="26"/>
  </w:num>
  <w:num w:numId="31">
    <w:abstractNumId w:val="14"/>
  </w:num>
  <w:num w:numId="32">
    <w:abstractNumId w:val="34"/>
  </w:num>
  <w:num w:numId="33">
    <w:abstractNumId w:val="28"/>
  </w:num>
  <w:num w:numId="34">
    <w:abstractNumId w:val="5"/>
  </w:num>
  <w:num w:numId="35">
    <w:abstractNumId w:val="4"/>
  </w:num>
  <w:num w:numId="36">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36194">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42F8"/>
    <w:rsid w:val="000153FF"/>
    <w:rsid w:val="000163B1"/>
    <w:rsid w:val="00016846"/>
    <w:rsid w:val="000168B4"/>
    <w:rsid w:val="00016BE7"/>
    <w:rsid w:val="0001734F"/>
    <w:rsid w:val="000173ED"/>
    <w:rsid w:val="000208F2"/>
    <w:rsid w:val="0002149F"/>
    <w:rsid w:val="00021545"/>
    <w:rsid w:val="000219CD"/>
    <w:rsid w:val="00022E12"/>
    <w:rsid w:val="000233B7"/>
    <w:rsid w:val="00024474"/>
    <w:rsid w:val="0002447B"/>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0F8"/>
    <w:rsid w:val="00067A66"/>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A22"/>
    <w:rsid w:val="00082D8D"/>
    <w:rsid w:val="000837F7"/>
    <w:rsid w:val="0008390F"/>
    <w:rsid w:val="000840C3"/>
    <w:rsid w:val="000850E1"/>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6F5"/>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F6A"/>
    <w:rsid w:val="000D26B1"/>
    <w:rsid w:val="000D2BBB"/>
    <w:rsid w:val="000D3567"/>
    <w:rsid w:val="000D3580"/>
    <w:rsid w:val="000D41B8"/>
    <w:rsid w:val="000D4E5A"/>
    <w:rsid w:val="000D54AA"/>
    <w:rsid w:val="000D571C"/>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E7A23"/>
    <w:rsid w:val="000F0059"/>
    <w:rsid w:val="000F01EC"/>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91"/>
    <w:rsid w:val="00117FE0"/>
    <w:rsid w:val="00120A55"/>
    <w:rsid w:val="00122527"/>
    <w:rsid w:val="001228B0"/>
    <w:rsid w:val="00122BFC"/>
    <w:rsid w:val="00123696"/>
    <w:rsid w:val="00123AFF"/>
    <w:rsid w:val="0012467C"/>
    <w:rsid w:val="00124B11"/>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A7A74"/>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D37"/>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2DBA"/>
    <w:rsid w:val="001D33EB"/>
    <w:rsid w:val="001D3BFB"/>
    <w:rsid w:val="001D4097"/>
    <w:rsid w:val="001D491E"/>
    <w:rsid w:val="001D5150"/>
    <w:rsid w:val="001D59AA"/>
    <w:rsid w:val="001D5A30"/>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363B"/>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6EB"/>
    <w:rsid w:val="00237821"/>
    <w:rsid w:val="0024052C"/>
    <w:rsid w:val="00240926"/>
    <w:rsid w:val="00240BBC"/>
    <w:rsid w:val="002413D3"/>
    <w:rsid w:val="00241AD3"/>
    <w:rsid w:val="002422AB"/>
    <w:rsid w:val="00242873"/>
    <w:rsid w:val="00242B8D"/>
    <w:rsid w:val="00242BD8"/>
    <w:rsid w:val="0024327B"/>
    <w:rsid w:val="002435B9"/>
    <w:rsid w:val="00243F6B"/>
    <w:rsid w:val="00245DBC"/>
    <w:rsid w:val="00246630"/>
    <w:rsid w:val="00246BC3"/>
    <w:rsid w:val="00246CF2"/>
    <w:rsid w:val="00246FF8"/>
    <w:rsid w:val="00247478"/>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3D1"/>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A9B"/>
    <w:rsid w:val="002A3F6C"/>
    <w:rsid w:val="002A40C6"/>
    <w:rsid w:val="002A422C"/>
    <w:rsid w:val="002A55B9"/>
    <w:rsid w:val="002A5B3B"/>
    <w:rsid w:val="002A7FA3"/>
    <w:rsid w:val="002B1197"/>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E8A"/>
    <w:rsid w:val="002C52E2"/>
    <w:rsid w:val="002C570C"/>
    <w:rsid w:val="002C579F"/>
    <w:rsid w:val="002C6836"/>
    <w:rsid w:val="002D0CAF"/>
    <w:rsid w:val="002D217F"/>
    <w:rsid w:val="002D2D99"/>
    <w:rsid w:val="002D3C3B"/>
    <w:rsid w:val="002D3C6C"/>
    <w:rsid w:val="002D4040"/>
    <w:rsid w:val="002D4A75"/>
    <w:rsid w:val="002D4FD6"/>
    <w:rsid w:val="002D4FDD"/>
    <w:rsid w:val="002D5FE1"/>
    <w:rsid w:val="002D7510"/>
    <w:rsid w:val="002D7916"/>
    <w:rsid w:val="002D7E37"/>
    <w:rsid w:val="002E018D"/>
    <w:rsid w:val="002E15C3"/>
    <w:rsid w:val="002E20A1"/>
    <w:rsid w:val="002E2813"/>
    <w:rsid w:val="002E337D"/>
    <w:rsid w:val="002E3480"/>
    <w:rsid w:val="002E3AF8"/>
    <w:rsid w:val="002E4C5E"/>
    <w:rsid w:val="002E56E8"/>
    <w:rsid w:val="002E5758"/>
    <w:rsid w:val="002E648C"/>
    <w:rsid w:val="002E66A6"/>
    <w:rsid w:val="002E6A65"/>
    <w:rsid w:val="002E6B6B"/>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3543"/>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47A8B"/>
    <w:rsid w:val="0035037F"/>
    <w:rsid w:val="00350480"/>
    <w:rsid w:val="003516ED"/>
    <w:rsid w:val="003518D6"/>
    <w:rsid w:val="00351FD6"/>
    <w:rsid w:val="00353020"/>
    <w:rsid w:val="00354390"/>
    <w:rsid w:val="00354D50"/>
    <w:rsid w:val="00354DCD"/>
    <w:rsid w:val="003557A2"/>
    <w:rsid w:val="00355D4C"/>
    <w:rsid w:val="00356823"/>
    <w:rsid w:val="003568E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55A6"/>
    <w:rsid w:val="00375707"/>
    <w:rsid w:val="00375872"/>
    <w:rsid w:val="00376123"/>
    <w:rsid w:val="0037676D"/>
    <w:rsid w:val="00376A26"/>
    <w:rsid w:val="0037742E"/>
    <w:rsid w:val="003807EE"/>
    <w:rsid w:val="0038105E"/>
    <w:rsid w:val="0038128B"/>
    <w:rsid w:val="00381374"/>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2ED1"/>
    <w:rsid w:val="00393687"/>
    <w:rsid w:val="00393A2B"/>
    <w:rsid w:val="00394DE8"/>
    <w:rsid w:val="0039530E"/>
    <w:rsid w:val="0039566C"/>
    <w:rsid w:val="00395793"/>
    <w:rsid w:val="00396AAD"/>
    <w:rsid w:val="003A09AA"/>
    <w:rsid w:val="003A0BD9"/>
    <w:rsid w:val="003A0E65"/>
    <w:rsid w:val="003A0F1E"/>
    <w:rsid w:val="003A3B10"/>
    <w:rsid w:val="003A3DE2"/>
    <w:rsid w:val="003A4469"/>
    <w:rsid w:val="003A4670"/>
    <w:rsid w:val="003A4A4E"/>
    <w:rsid w:val="003A4B90"/>
    <w:rsid w:val="003A6356"/>
    <w:rsid w:val="003A674A"/>
    <w:rsid w:val="003A6A75"/>
    <w:rsid w:val="003A7D09"/>
    <w:rsid w:val="003A7FC8"/>
    <w:rsid w:val="003B12DF"/>
    <w:rsid w:val="003B1373"/>
    <w:rsid w:val="003B147F"/>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301F"/>
    <w:rsid w:val="003C3070"/>
    <w:rsid w:val="003C314B"/>
    <w:rsid w:val="003C327F"/>
    <w:rsid w:val="003C42F9"/>
    <w:rsid w:val="003C45F7"/>
    <w:rsid w:val="003C4A75"/>
    <w:rsid w:val="003C4F71"/>
    <w:rsid w:val="003C5339"/>
    <w:rsid w:val="003C7B58"/>
    <w:rsid w:val="003C7DD5"/>
    <w:rsid w:val="003D0139"/>
    <w:rsid w:val="003D015C"/>
    <w:rsid w:val="003D08FC"/>
    <w:rsid w:val="003D0C08"/>
    <w:rsid w:val="003D1166"/>
    <w:rsid w:val="003D1980"/>
    <w:rsid w:val="003D1B92"/>
    <w:rsid w:val="003D1C8F"/>
    <w:rsid w:val="003D20FB"/>
    <w:rsid w:val="003D2891"/>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8CD"/>
    <w:rsid w:val="0042197B"/>
    <w:rsid w:val="00421A98"/>
    <w:rsid w:val="00422655"/>
    <w:rsid w:val="004243F4"/>
    <w:rsid w:val="0042447E"/>
    <w:rsid w:val="00424BB9"/>
    <w:rsid w:val="00425000"/>
    <w:rsid w:val="00425044"/>
    <w:rsid w:val="00425783"/>
    <w:rsid w:val="0042582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074B"/>
    <w:rsid w:val="00441324"/>
    <w:rsid w:val="00441C9F"/>
    <w:rsid w:val="0044313B"/>
    <w:rsid w:val="00443356"/>
    <w:rsid w:val="00443AED"/>
    <w:rsid w:val="00443B32"/>
    <w:rsid w:val="0044406B"/>
    <w:rsid w:val="0044450B"/>
    <w:rsid w:val="004454F2"/>
    <w:rsid w:val="00445846"/>
    <w:rsid w:val="0044683E"/>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621"/>
    <w:rsid w:val="00503775"/>
    <w:rsid w:val="00503849"/>
    <w:rsid w:val="00503E22"/>
    <w:rsid w:val="00504151"/>
    <w:rsid w:val="0050438F"/>
    <w:rsid w:val="005047B1"/>
    <w:rsid w:val="00504B4E"/>
    <w:rsid w:val="00504E35"/>
    <w:rsid w:val="00505A18"/>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359"/>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553"/>
    <w:rsid w:val="005A6D85"/>
    <w:rsid w:val="005A70CA"/>
    <w:rsid w:val="005A760D"/>
    <w:rsid w:val="005A786B"/>
    <w:rsid w:val="005A7CB8"/>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AF2"/>
    <w:rsid w:val="005C4F45"/>
    <w:rsid w:val="005C6883"/>
    <w:rsid w:val="005C6DE3"/>
    <w:rsid w:val="005C6EDC"/>
    <w:rsid w:val="005C7030"/>
    <w:rsid w:val="005C70B0"/>
    <w:rsid w:val="005C711E"/>
    <w:rsid w:val="005C7DEB"/>
    <w:rsid w:val="005D02BD"/>
    <w:rsid w:val="005D0411"/>
    <w:rsid w:val="005D0ED2"/>
    <w:rsid w:val="005D114D"/>
    <w:rsid w:val="005D1597"/>
    <w:rsid w:val="005D17A3"/>
    <w:rsid w:val="005D271D"/>
    <w:rsid w:val="005D5BB9"/>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1FCF"/>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38D"/>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2"/>
    <w:rsid w:val="006223A6"/>
    <w:rsid w:val="00622823"/>
    <w:rsid w:val="006230FA"/>
    <w:rsid w:val="00623D53"/>
    <w:rsid w:val="00624129"/>
    <w:rsid w:val="0062432F"/>
    <w:rsid w:val="006244E4"/>
    <w:rsid w:val="006251ED"/>
    <w:rsid w:val="006253C7"/>
    <w:rsid w:val="00625AFD"/>
    <w:rsid w:val="00625BC9"/>
    <w:rsid w:val="00626532"/>
    <w:rsid w:val="006268E0"/>
    <w:rsid w:val="00626B0C"/>
    <w:rsid w:val="00626C7B"/>
    <w:rsid w:val="00626F65"/>
    <w:rsid w:val="00630681"/>
    <w:rsid w:val="00630C8C"/>
    <w:rsid w:val="00630D27"/>
    <w:rsid w:val="00630D2B"/>
    <w:rsid w:val="00630EE9"/>
    <w:rsid w:val="00631550"/>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2ED2"/>
    <w:rsid w:val="00644602"/>
    <w:rsid w:val="006446FC"/>
    <w:rsid w:val="00644C3C"/>
    <w:rsid w:val="00645305"/>
    <w:rsid w:val="00645738"/>
    <w:rsid w:val="0064662C"/>
    <w:rsid w:val="00646F0A"/>
    <w:rsid w:val="00647B56"/>
    <w:rsid w:val="00647B80"/>
    <w:rsid w:val="00647D2F"/>
    <w:rsid w:val="00650221"/>
    <w:rsid w:val="006502F0"/>
    <w:rsid w:val="006516D9"/>
    <w:rsid w:val="00651AA8"/>
    <w:rsid w:val="00651C3B"/>
    <w:rsid w:val="00652671"/>
    <w:rsid w:val="00652D50"/>
    <w:rsid w:val="006537CB"/>
    <w:rsid w:val="006544C0"/>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46A5"/>
    <w:rsid w:val="006C51E8"/>
    <w:rsid w:val="006C605A"/>
    <w:rsid w:val="006C65B9"/>
    <w:rsid w:val="006C6A3B"/>
    <w:rsid w:val="006C6CFF"/>
    <w:rsid w:val="006C6FBF"/>
    <w:rsid w:val="006C76B3"/>
    <w:rsid w:val="006C775A"/>
    <w:rsid w:val="006D02B9"/>
    <w:rsid w:val="006D0B00"/>
    <w:rsid w:val="006D0D24"/>
    <w:rsid w:val="006D1177"/>
    <w:rsid w:val="006D11C0"/>
    <w:rsid w:val="006D1E4E"/>
    <w:rsid w:val="006D213B"/>
    <w:rsid w:val="006D252B"/>
    <w:rsid w:val="006D2CA5"/>
    <w:rsid w:val="006D461B"/>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07D47"/>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6AC9"/>
    <w:rsid w:val="00747EB6"/>
    <w:rsid w:val="00750AC5"/>
    <w:rsid w:val="007513F2"/>
    <w:rsid w:val="00751ACF"/>
    <w:rsid w:val="007529C9"/>
    <w:rsid w:val="00753BEB"/>
    <w:rsid w:val="00755136"/>
    <w:rsid w:val="00755B12"/>
    <w:rsid w:val="007563E6"/>
    <w:rsid w:val="007571E4"/>
    <w:rsid w:val="00757B0D"/>
    <w:rsid w:val="0076057F"/>
    <w:rsid w:val="007605B5"/>
    <w:rsid w:val="00760D12"/>
    <w:rsid w:val="007610F5"/>
    <w:rsid w:val="007617E4"/>
    <w:rsid w:val="0076182F"/>
    <w:rsid w:val="00761DF3"/>
    <w:rsid w:val="00761FA3"/>
    <w:rsid w:val="00762C5F"/>
    <w:rsid w:val="00763F46"/>
    <w:rsid w:val="00763FE2"/>
    <w:rsid w:val="007640F4"/>
    <w:rsid w:val="0076415A"/>
    <w:rsid w:val="007642E8"/>
    <w:rsid w:val="00764845"/>
    <w:rsid w:val="00764CE7"/>
    <w:rsid w:val="00765768"/>
    <w:rsid w:val="00765CFA"/>
    <w:rsid w:val="007665D3"/>
    <w:rsid w:val="00767811"/>
    <w:rsid w:val="00767D13"/>
    <w:rsid w:val="00770035"/>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AD3"/>
    <w:rsid w:val="00793E04"/>
    <w:rsid w:val="00793F05"/>
    <w:rsid w:val="00793F73"/>
    <w:rsid w:val="0079441E"/>
    <w:rsid w:val="00794823"/>
    <w:rsid w:val="00794974"/>
    <w:rsid w:val="00794DA5"/>
    <w:rsid w:val="0079580F"/>
    <w:rsid w:val="007964BC"/>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0CF4"/>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5FB8"/>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1B7"/>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175"/>
    <w:rsid w:val="00811251"/>
    <w:rsid w:val="00811550"/>
    <w:rsid w:val="0081156D"/>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60"/>
    <w:rsid w:val="008365FF"/>
    <w:rsid w:val="008366F8"/>
    <w:rsid w:val="0083671C"/>
    <w:rsid w:val="008369A1"/>
    <w:rsid w:val="00837B78"/>
    <w:rsid w:val="00840208"/>
    <w:rsid w:val="00840901"/>
    <w:rsid w:val="00840D2E"/>
    <w:rsid w:val="00841011"/>
    <w:rsid w:val="00841462"/>
    <w:rsid w:val="00841737"/>
    <w:rsid w:val="00841A39"/>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5EDA"/>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1F3A"/>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C2C"/>
    <w:rsid w:val="008A7DCC"/>
    <w:rsid w:val="008B1241"/>
    <w:rsid w:val="008B220B"/>
    <w:rsid w:val="008B2341"/>
    <w:rsid w:val="008B2F2D"/>
    <w:rsid w:val="008B304A"/>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685"/>
    <w:rsid w:val="008F0E8F"/>
    <w:rsid w:val="008F0F7D"/>
    <w:rsid w:val="008F12DB"/>
    <w:rsid w:val="008F2F4E"/>
    <w:rsid w:val="008F3140"/>
    <w:rsid w:val="008F34F1"/>
    <w:rsid w:val="008F4781"/>
    <w:rsid w:val="008F4862"/>
    <w:rsid w:val="008F4945"/>
    <w:rsid w:val="008F4EBD"/>
    <w:rsid w:val="008F54D0"/>
    <w:rsid w:val="008F5B8F"/>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AFD"/>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3658"/>
    <w:rsid w:val="0097374F"/>
    <w:rsid w:val="00973D0A"/>
    <w:rsid w:val="00974E72"/>
    <w:rsid w:val="00975457"/>
    <w:rsid w:val="00975487"/>
    <w:rsid w:val="009757EF"/>
    <w:rsid w:val="00975C71"/>
    <w:rsid w:val="00975EFD"/>
    <w:rsid w:val="00975F5F"/>
    <w:rsid w:val="00976A39"/>
    <w:rsid w:val="00977C87"/>
    <w:rsid w:val="00977D9D"/>
    <w:rsid w:val="00980834"/>
    <w:rsid w:val="00981BEC"/>
    <w:rsid w:val="00981DFA"/>
    <w:rsid w:val="00981E8D"/>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06A"/>
    <w:rsid w:val="009A14EB"/>
    <w:rsid w:val="009A16BB"/>
    <w:rsid w:val="009A18AB"/>
    <w:rsid w:val="009A1A62"/>
    <w:rsid w:val="009A1CB4"/>
    <w:rsid w:val="009A285B"/>
    <w:rsid w:val="009A28C0"/>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E96"/>
    <w:rsid w:val="00A0046D"/>
    <w:rsid w:val="00A0069D"/>
    <w:rsid w:val="00A00D6C"/>
    <w:rsid w:val="00A01A07"/>
    <w:rsid w:val="00A01F45"/>
    <w:rsid w:val="00A020BD"/>
    <w:rsid w:val="00A028CA"/>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39E1"/>
    <w:rsid w:val="00A1462B"/>
    <w:rsid w:val="00A14759"/>
    <w:rsid w:val="00A15026"/>
    <w:rsid w:val="00A150EC"/>
    <w:rsid w:val="00A15749"/>
    <w:rsid w:val="00A15CAB"/>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D1C"/>
    <w:rsid w:val="00A302BB"/>
    <w:rsid w:val="00A31440"/>
    <w:rsid w:val="00A3193D"/>
    <w:rsid w:val="00A31FF1"/>
    <w:rsid w:val="00A328B6"/>
    <w:rsid w:val="00A32FC7"/>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1DB9"/>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1E72"/>
    <w:rsid w:val="00A53579"/>
    <w:rsid w:val="00A54103"/>
    <w:rsid w:val="00A54592"/>
    <w:rsid w:val="00A55412"/>
    <w:rsid w:val="00A55907"/>
    <w:rsid w:val="00A55CC2"/>
    <w:rsid w:val="00A56027"/>
    <w:rsid w:val="00A57E37"/>
    <w:rsid w:val="00A6003E"/>
    <w:rsid w:val="00A6045E"/>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6969"/>
    <w:rsid w:val="00AA7D37"/>
    <w:rsid w:val="00AB26A6"/>
    <w:rsid w:val="00AB2F38"/>
    <w:rsid w:val="00AB3A84"/>
    <w:rsid w:val="00AB46E4"/>
    <w:rsid w:val="00AB4ED6"/>
    <w:rsid w:val="00AB542E"/>
    <w:rsid w:val="00AB705B"/>
    <w:rsid w:val="00AB77A7"/>
    <w:rsid w:val="00AB7AF7"/>
    <w:rsid w:val="00AC0B92"/>
    <w:rsid w:val="00AC1E62"/>
    <w:rsid w:val="00AC22CA"/>
    <w:rsid w:val="00AC2423"/>
    <w:rsid w:val="00AC2834"/>
    <w:rsid w:val="00AC2DFE"/>
    <w:rsid w:val="00AC3EFF"/>
    <w:rsid w:val="00AC4513"/>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6D24"/>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69BF"/>
    <w:rsid w:val="00B76DD1"/>
    <w:rsid w:val="00B76E3B"/>
    <w:rsid w:val="00B77916"/>
    <w:rsid w:val="00B8054A"/>
    <w:rsid w:val="00B80772"/>
    <w:rsid w:val="00B810AA"/>
    <w:rsid w:val="00B814F9"/>
    <w:rsid w:val="00B81C67"/>
    <w:rsid w:val="00B82983"/>
    <w:rsid w:val="00B82CF4"/>
    <w:rsid w:val="00B836A8"/>
    <w:rsid w:val="00B838AB"/>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831"/>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E75C6"/>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BD1"/>
    <w:rsid w:val="00C34CE7"/>
    <w:rsid w:val="00C357B8"/>
    <w:rsid w:val="00C357D0"/>
    <w:rsid w:val="00C3598C"/>
    <w:rsid w:val="00C3705B"/>
    <w:rsid w:val="00C37B4E"/>
    <w:rsid w:val="00C37C3D"/>
    <w:rsid w:val="00C41A8C"/>
    <w:rsid w:val="00C4358E"/>
    <w:rsid w:val="00C438BD"/>
    <w:rsid w:val="00C4445B"/>
    <w:rsid w:val="00C44A70"/>
    <w:rsid w:val="00C4540E"/>
    <w:rsid w:val="00C4619B"/>
    <w:rsid w:val="00C4690C"/>
    <w:rsid w:val="00C46D16"/>
    <w:rsid w:val="00C471D8"/>
    <w:rsid w:val="00C4745D"/>
    <w:rsid w:val="00C47D8C"/>
    <w:rsid w:val="00C51190"/>
    <w:rsid w:val="00C51226"/>
    <w:rsid w:val="00C51256"/>
    <w:rsid w:val="00C51D72"/>
    <w:rsid w:val="00C51FF0"/>
    <w:rsid w:val="00C52824"/>
    <w:rsid w:val="00C52831"/>
    <w:rsid w:val="00C53197"/>
    <w:rsid w:val="00C53E05"/>
    <w:rsid w:val="00C553F0"/>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0BB4"/>
    <w:rsid w:val="00C71516"/>
    <w:rsid w:val="00C727DD"/>
    <w:rsid w:val="00C72B29"/>
    <w:rsid w:val="00C72C4A"/>
    <w:rsid w:val="00C72FDE"/>
    <w:rsid w:val="00C73273"/>
    <w:rsid w:val="00C73374"/>
    <w:rsid w:val="00C742EC"/>
    <w:rsid w:val="00C75022"/>
    <w:rsid w:val="00C754CA"/>
    <w:rsid w:val="00C75641"/>
    <w:rsid w:val="00C75684"/>
    <w:rsid w:val="00C7575F"/>
    <w:rsid w:val="00C76384"/>
    <w:rsid w:val="00C76D27"/>
    <w:rsid w:val="00C77224"/>
    <w:rsid w:val="00C777CB"/>
    <w:rsid w:val="00C77F33"/>
    <w:rsid w:val="00C804BD"/>
    <w:rsid w:val="00C80C24"/>
    <w:rsid w:val="00C81364"/>
    <w:rsid w:val="00C83795"/>
    <w:rsid w:val="00C83D89"/>
    <w:rsid w:val="00C841F3"/>
    <w:rsid w:val="00C84548"/>
    <w:rsid w:val="00C84F68"/>
    <w:rsid w:val="00C860F2"/>
    <w:rsid w:val="00C862EA"/>
    <w:rsid w:val="00C872B4"/>
    <w:rsid w:val="00C903E7"/>
    <w:rsid w:val="00C9072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0731"/>
    <w:rsid w:val="00CB2074"/>
    <w:rsid w:val="00CB2A24"/>
    <w:rsid w:val="00CB2C1D"/>
    <w:rsid w:val="00CB2EC6"/>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319"/>
    <w:rsid w:val="00CF7970"/>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C53"/>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6A0"/>
    <w:rsid w:val="00D17353"/>
    <w:rsid w:val="00D173AA"/>
    <w:rsid w:val="00D176E9"/>
    <w:rsid w:val="00D17DB0"/>
    <w:rsid w:val="00D20193"/>
    <w:rsid w:val="00D204BF"/>
    <w:rsid w:val="00D20851"/>
    <w:rsid w:val="00D20ACC"/>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1E1"/>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EA2"/>
    <w:rsid w:val="00D73559"/>
    <w:rsid w:val="00D73891"/>
    <w:rsid w:val="00D73EA6"/>
    <w:rsid w:val="00D7413C"/>
    <w:rsid w:val="00D744AC"/>
    <w:rsid w:val="00D7455E"/>
    <w:rsid w:val="00D74588"/>
    <w:rsid w:val="00D74B80"/>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0972"/>
    <w:rsid w:val="00D917C0"/>
    <w:rsid w:val="00D918F2"/>
    <w:rsid w:val="00D92069"/>
    <w:rsid w:val="00D9214E"/>
    <w:rsid w:val="00D92CAA"/>
    <w:rsid w:val="00D93320"/>
    <w:rsid w:val="00D9366E"/>
    <w:rsid w:val="00D93C23"/>
    <w:rsid w:val="00D93F26"/>
    <w:rsid w:val="00D94352"/>
    <w:rsid w:val="00D943AA"/>
    <w:rsid w:val="00D94AFF"/>
    <w:rsid w:val="00D9522E"/>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6918"/>
    <w:rsid w:val="00DC7E10"/>
    <w:rsid w:val="00DC7E6E"/>
    <w:rsid w:val="00DD00FC"/>
    <w:rsid w:val="00DD0BF7"/>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697"/>
    <w:rsid w:val="00E04EC4"/>
    <w:rsid w:val="00E0579D"/>
    <w:rsid w:val="00E05E88"/>
    <w:rsid w:val="00E0678C"/>
    <w:rsid w:val="00E07AD3"/>
    <w:rsid w:val="00E11A1B"/>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17A0F"/>
    <w:rsid w:val="00E17A9C"/>
    <w:rsid w:val="00E17F06"/>
    <w:rsid w:val="00E20E1F"/>
    <w:rsid w:val="00E236C5"/>
    <w:rsid w:val="00E236F5"/>
    <w:rsid w:val="00E24088"/>
    <w:rsid w:val="00E2440E"/>
    <w:rsid w:val="00E24998"/>
    <w:rsid w:val="00E249E9"/>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58A"/>
    <w:rsid w:val="00E46999"/>
    <w:rsid w:val="00E47284"/>
    <w:rsid w:val="00E4737F"/>
    <w:rsid w:val="00E502A7"/>
    <w:rsid w:val="00E50491"/>
    <w:rsid w:val="00E505B3"/>
    <w:rsid w:val="00E506E0"/>
    <w:rsid w:val="00E50B38"/>
    <w:rsid w:val="00E5127A"/>
    <w:rsid w:val="00E514DC"/>
    <w:rsid w:val="00E51A48"/>
    <w:rsid w:val="00E51CED"/>
    <w:rsid w:val="00E52576"/>
    <w:rsid w:val="00E530C3"/>
    <w:rsid w:val="00E53780"/>
    <w:rsid w:val="00E55E30"/>
    <w:rsid w:val="00E5668F"/>
    <w:rsid w:val="00E56829"/>
    <w:rsid w:val="00E57EE5"/>
    <w:rsid w:val="00E608D5"/>
    <w:rsid w:val="00E61331"/>
    <w:rsid w:val="00E62497"/>
    <w:rsid w:val="00E62EBE"/>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455F"/>
    <w:rsid w:val="00E94EBC"/>
    <w:rsid w:val="00E95D12"/>
    <w:rsid w:val="00E95DCA"/>
    <w:rsid w:val="00E963C2"/>
    <w:rsid w:val="00E96E72"/>
    <w:rsid w:val="00E96FB5"/>
    <w:rsid w:val="00EA0619"/>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4DE7"/>
    <w:rsid w:val="00EB51DA"/>
    <w:rsid w:val="00EB7021"/>
    <w:rsid w:val="00EB72C7"/>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2C53"/>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05B"/>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1135"/>
    <w:rsid w:val="00F513E5"/>
    <w:rsid w:val="00F53061"/>
    <w:rsid w:val="00F539AE"/>
    <w:rsid w:val="00F543CF"/>
    <w:rsid w:val="00F5515E"/>
    <w:rsid w:val="00F56EB0"/>
    <w:rsid w:val="00F56FFE"/>
    <w:rsid w:val="00F57798"/>
    <w:rsid w:val="00F57A93"/>
    <w:rsid w:val="00F60171"/>
    <w:rsid w:val="00F606C7"/>
    <w:rsid w:val="00F6091E"/>
    <w:rsid w:val="00F61780"/>
    <w:rsid w:val="00F61A95"/>
    <w:rsid w:val="00F6337D"/>
    <w:rsid w:val="00F635E0"/>
    <w:rsid w:val="00F63DBE"/>
    <w:rsid w:val="00F63ECE"/>
    <w:rsid w:val="00F64041"/>
    <w:rsid w:val="00F66CF1"/>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945"/>
    <w:rsid w:val="00F959F2"/>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16A1"/>
    <w:rsid w:val="00FB234F"/>
    <w:rsid w:val="00FB2CF4"/>
    <w:rsid w:val="00FB3907"/>
    <w:rsid w:val="00FB3923"/>
    <w:rsid w:val="00FB4B74"/>
    <w:rsid w:val="00FB5BC6"/>
    <w:rsid w:val="00FB5C78"/>
    <w:rsid w:val="00FB5E2A"/>
    <w:rsid w:val="00FB604B"/>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2AEB"/>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36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8BF78-998F-498F-8750-F4652F77E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2013-11-04T04:35:00Z</dcterms:created>
  <dcterms:modified xsi:type="dcterms:W3CDTF">2013-11-04T22:14:00Z</dcterms:modified>
</cp:coreProperties>
</file>