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9C7D58" w:rsidRPr="007408EB">
        <w:rPr>
          <w:rFonts w:cs="Arial"/>
          <w:sz w:val="24"/>
          <w:szCs w:val="24"/>
          <w:lang w:val="en-US" w:eastAsia="ja-JP"/>
        </w:rPr>
        <w:t>#</w:t>
      </w:r>
      <w:r w:rsidR="0098147C">
        <w:rPr>
          <w:rFonts w:cs="Arial"/>
          <w:sz w:val="24"/>
          <w:szCs w:val="24"/>
          <w:lang w:val="en-US" w:eastAsia="ja-JP"/>
        </w:rPr>
        <w:t>68</w:t>
      </w:r>
      <w:r w:rsidR="000566FE">
        <w:rPr>
          <w:rFonts w:cs="Arial"/>
          <w:sz w:val="24"/>
          <w:szCs w:val="24"/>
          <w:lang w:val="en-US" w:eastAsia="ja-JP"/>
        </w:rPr>
        <w:t>bis</w:t>
      </w:r>
      <w:r w:rsidR="000D5335" w:rsidRPr="007408EB">
        <w:rPr>
          <w:rFonts w:cs="Arial"/>
          <w:sz w:val="24"/>
          <w:szCs w:val="24"/>
          <w:lang w:val="en-US"/>
        </w:rPr>
        <w:tab/>
        <w:t>R4</w:t>
      </w:r>
      <w:r w:rsidR="00BF4407" w:rsidRPr="007408EB">
        <w:rPr>
          <w:rFonts w:cs="Arial"/>
          <w:sz w:val="24"/>
          <w:szCs w:val="24"/>
          <w:lang w:val="en-US"/>
        </w:rPr>
        <w:t>-</w:t>
      </w:r>
      <w:r w:rsidR="00093FE8">
        <w:rPr>
          <w:rFonts w:cs="Arial"/>
          <w:sz w:val="24"/>
          <w:szCs w:val="24"/>
          <w:lang w:val="en-US"/>
        </w:rPr>
        <w:t>13</w:t>
      </w:r>
      <w:r w:rsidR="00955777">
        <w:rPr>
          <w:rFonts w:cs="Arial"/>
          <w:sz w:val="24"/>
          <w:szCs w:val="24"/>
          <w:lang w:val="en-US"/>
        </w:rPr>
        <w:t>5443</w:t>
      </w:r>
    </w:p>
    <w:p w:rsidR="00445267" w:rsidRPr="007408EB" w:rsidRDefault="003A04C8" w:rsidP="00445267">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Riga</w:t>
      </w:r>
      <w:r w:rsidR="00C425DE" w:rsidRPr="007408EB">
        <w:rPr>
          <w:rFonts w:ascii="Arial" w:hAnsi="Arial" w:cs="Arial"/>
          <w:b/>
          <w:sz w:val="24"/>
          <w:szCs w:val="24"/>
          <w:lang w:eastAsia="ja-JP"/>
        </w:rPr>
        <w:t>,</w:t>
      </w:r>
      <w:r w:rsidR="00657E17" w:rsidRPr="007408EB">
        <w:rPr>
          <w:rFonts w:ascii="Arial" w:hAnsi="Arial" w:cs="Arial"/>
          <w:b/>
          <w:sz w:val="24"/>
          <w:szCs w:val="24"/>
          <w:lang w:eastAsia="ja-JP"/>
        </w:rPr>
        <w:t xml:space="preserve"> </w:t>
      </w:r>
      <w:r>
        <w:rPr>
          <w:rFonts w:ascii="Arial" w:hAnsi="Arial" w:cs="Arial"/>
          <w:b/>
          <w:sz w:val="24"/>
          <w:szCs w:val="24"/>
          <w:lang w:eastAsia="ja-JP"/>
        </w:rPr>
        <w:t>Latvia</w:t>
      </w:r>
      <w:r w:rsidR="00657E17" w:rsidRPr="007408EB">
        <w:rPr>
          <w:rFonts w:ascii="Arial" w:hAnsi="Arial" w:cs="Arial"/>
          <w:b/>
          <w:sz w:val="24"/>
          <w:szCs w:val="24"/>
          <w:lang w:eastAsia="ja-JP"/>
        </w:rPr>
        <w:t>,</w:t>
      </w:r>
      <w:r w:rsidR="00C425DE" w:rsidRPr="007408EB">
        <w:rPr>
          <w:rFonts w:ascii="Arial" w:hAnsi="Arial" w:cs="Arial"/>
          <w:b/>
          <w:sz w:val="24"/>
          <w:szCs w:val="24"/>
          <w:lang w:eastAsia="ja-JP"/>
        </w:rPr>
        <w:t xml:space="preserve"> </w:t>
      </w:r>
      <w:r w:rsidR="00537EE2">
        <w:rPr>
          <w:rFonts w:ascii="Arial" w:hAnsi="Arial" w:cs="Arial"/>
          <w:b/>
          <w:sz w:val="24"/>
          <w:szCs w:val="24"/>
          <w:lang w:eastAsia="ja-JP"/>
        </w:rPr>
        <w:t>October</w:t>
      </w:r>
      <w:r w:rsidR="00453547">
        <w:rPr>
          <w:rFonts w:ascii="Arial" w:hAnsi="Arial" w:cs="Arial"/>
          <w:b/>
          <w:sz w:val="24"/>
          <w:szCs w:val="24"/>
          <w:lang w:eastAsia="ja-JP"/>
        </w:rPr>
        <w:t xml:space="preserve"> </w:t>
      </w:r>
      <w:r w:rsidR="00A742BA">
        <w:rPr>
          <w:rFonts w:ascii="Arial" w:hAnsi="Arial" w:cs="Arial"/>
          <w:b/>
          <w:sz w:val="24"/>
          <w:szCs w:val="24"/>
          <w:lang w:eastAsia="ja-JP"/>
        </w:rPr>
        <w:t>7</w:t>
      </w:r>
      <w:r w:rsidR="00AA7D07" w:rsidRPr="00AA7D07">
        <w:rPr>
          <w:rFonts w:ascii="Arial" w:hAnsi="Arial" w:cs="Arial"/>
          <w:b/>
          <w:sz w:val="24"/>
          <w:szCs w:val="24"/>
          <w:vertAlign w:val="superscript"/>
          <w:lang w:eastAsia="ja-JP"/>
        </w:rPr>
        <w:t>th</w:t>
      </w:r>
      <w:r w:rsidR="00760496" w:rsidRPr="007408EB">
        <w:rPr>
          <w:rFonts w:ascii="Arial" w:hAnsi="Arial" w:cs="Arial"/>
          <w:b/>
          <w:sz w:val="24"/>
          <w:szCs w:val="24"/>
          <w:lang w:eastAsia="ja-JP"/>
        </w:rPr>
        <w:t xml:space="preserve"> </w:t>
      </w:r>
      <w:r w:rsidR="00C425DE" w:rsidRPr="007408EB">
        <w:rPr>
          <w:rFonts w:ascii="Arial" w:hAnsi="Arial" w:cs="Arial"/>
          <w:b/>
          <w:sz w:val="24"/>
          <w:szCs w:val="24"/>
          <w:lang w:eastAsia="ja-JP"/>
        </w:rPr>
        <w:t xml:space="preserve">– </w:t>
      </w:r>
      <w:r w:rsidR="00A742BA">
        <w:rPr>
          <w:rFonts w:ascii="Arial" w:hAnsi="Arial" w:cs="Arial"/>
          <w:b/>
          <w:sz w:val="24"/>
          <w:szCs w:val="24"/>
          <w:lang w:eastAsia="ja-JP"/>
        </w:rPr>
        <w:t>11</w:t>
      </w:r>
      <w:r w:rsidR="00A742BA" w:rsidRPr="00A742BA">
        <w:rPr>
          <w:rFonts w:ascii="Arial" w:hAnsi="Arial" w:cs="Arial"/>
          <w:b/>
          <w:sz w:val="24"/>
          <w:szCs w:val="24"/>
          <w:vertAlign w:val="superscript"/>
          <w:lang w:eastAsia="ja-JP"/>
        </w:rPr>
        <w:t>th</w:t>
      </w:r>
      <w:r w:rsidR="00C425DE" w:rsidRPr="007408EB">
        <w:rPr>
          <w:rFonts w:ascii="Arial" w:hAnsi="Arial" w:cs="Arial"/>
          <w:b/>
          <w:sz w:val="24"/>
          <w:szCs w:val="24"/>
          <w:lang w:eastAsia="ja-JP"/>
        </w:rPr>
        <w:t xml:space="preserve">, </w:t>
      </w:r>
      <w:r w:rsidR="00BC7C52" w:rsidRPr="007408EB">
        <w:rPr>
          <w:rFonts w:ascii="Arial" w:hAnsi="Arial" w:cs="Arial"/>
          <w:b/>
          <w:sz w:val="24"/>
          <w:szCs w:val="24"/>
          <w:lang w:eastAsia="ja-JP"/>
        </w:rPr>
        <w:t>201</w:t>
      </w:r>
      <w:r w:rsidR="00453547">
        <w:rPr>
          <w:rFonts w:ascii="Arial" w:hAnsi="Arial" w:cs="Arial"/>
          <w:b/>
          <w:sz w:val="24"/>
          <w:szCs w:val="24"/>
          <w:lang w:eastAsia="ja-JP"/>
        </w:rPr>
        <w:t>3</w:t>
      </w:r>
    </w:p>
    <w:p w:rsidR="00DE67D1" w:rsidRPr="007408EB" w:rsidRDefault="00DE67D1" w:rsidP="00DE67D1">
      <w:pPr>
        <w:tabs>
          <w:tab w:val="left" w:pos="1985"/>
        </w:tabs>
        <w:spacing w:after="0"/>
        <w:jc w:val="both"/>
        <w:rPr>
          <w:rFonts w:ascii="Arial" w:hAnsi="Arial" w:cs="Arial"/>
          <w:b/>
          <w:sz w:val="24"/>
          <w:lang w:val="sv-SE" w:eastAsia="ja-JP"/>
        </w:rPr>
      </w:pPr>
    </w:p>
    <w:p w:rsidR="00DE67D1" w:rsidRPr="007408EB" w:rsidRDefault="00DE67D1" w:rsidP="00401A03">
      <w:pPr>
        <w:tabs>
          <w:tab w:val="left" w:pos="1740"/>
        </w:tabs>
        <w:spacing w:before="120" w:after="120"/>
        <w:jc w:val="both"/>
        <w:rPr>
          <w:rFonts w:ascii="Arial" w:hAnsi="Arial" w:cs="Arial"/>
          <w:sz w:val="24"/>
          <w:lang w:val="en-US" w:eastAsia="ja-JP"/>
        </w:rPr>
      </w:pPr>
      <w:r w:rsidRPr="007408EB">
        <w:rPr>
          <w:rFonts w:ascii="Arial" w:hAnsi="Arial" w:cs="Arial"/>
          <w:b/>
          <w:sz w:val="24"/>
          <w:lang w:val="en-US"/>
        </w:rPr>
        <w:t>Agenda item:</w:t>
      </w:r>
      <w:r w:rsidRPr="007408EB">
        <w:rPr>
          <w:rFonts w:ascii="Arial" w:hAnsi="Arial" w:cs="Arial"/>
          <w:sz w:val="24"/>
          <w:lang w:val="en-US"/>
        </w:rPr>
        <w:tab/>
      </w:r>
      <w:bookmarkStart w:id="0" w:name="Source"/>
      <w:bookmarkEnd w:id="0"/>
      <w:r w:rsidR="00FD1A62">
        <w:rPr>
          <w:rFonts w:ascii="Arial" w:hAnsi="Arial" w:cs="Arial"/>
          <w:sz w:val="24"/>
          <w:lang w:val="en-US"/>
        </w:rPr>
        <w:t>8.</w:t>
      </w:r>
      <w:r w:rsidR="007039B9">
        <w:rPr>
          <w:rFonts w:ascii="Arial" w:hAnsi="Arial" w:cs="Arial"/>
          <w:sz w:val="24"/>
          <w:lang w:val="en-US"/>
        </w:rPr>
        <w:t>2</w:t>
      </w:r>
      <w:r w:rsidR="00CB20FA">
        <w:rPr>
          <w:rFonts w:ascii="Arial" w:hAnsi="Arial" w:cs="Arial"/>
          <w:sz w:val="24"/>
          <w:lang w:val="en-US"/>
        </w:rPr>
        <w:t>1</w:t>
      </w:r>
    </w:p>
    <w:p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453547">
        <w:rPr>
          <w:rFonts w:ascii="Arial" w:hAnsi="Arial" w:cs="Arial"/>
          <w:sz w:val="24"/>
          <w:lang w:val="en-US" w:eastAsia="ja-JP"/>
        </w:rPr>
        <w:t xml:space="preserve">MediaTek Inc. </w:t>
      </w:r>
    </w:p>
    <w:p w:rsidR="00DE67D1" w:rsidRPr="007408EB" w:rsidRDefault="00DE67D1" w:rsidP="00401A03">
      <w:pPr>
        <w:spacing w:before="120" w:after="120"/>
        <w:ind w:leftChars="-11" w:left="1706" w:hangingChars="717" w:hanging="1728"/>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CB20FA">
        <w:rPr>
          <w:rFonts w:ascii="Arial" w:hAnsi="Arial" w:cs="Arial"/>
          <w:sz w:val="24"/>
          <w:szCs w:val="24"/>
        </w:rPr>
        <w:t>UE refe</w:t>
      </w:r>
      <w:r w:rsidR="00955777">
        <w:rPr>
          <w:rFonts w:ascii="Arial" w:hAnsi="Arial" w:cs="Arial"/>
          <w:sz w:val="24"/>
          <w:szCs w:val="24"/>
        </w:rPr>
        <w:t>rence architectures for CA_B8_B2</w:t>
      </w:r>
      <w:r w:rsidR="00CB20FA">
        <w:rPr>
          <w:rFonts w:ascii="Arial" w:hAnsi="Arial" w:cs="Arial"/>
          <w:sz w:val="24"/>
          <w:szCs w:val="24"/>
        </w:rPr>
        <w:t>6</w:t>
      </w:r>
    </w:p>
    <w:p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5472E2" w:rsidRPr="007408EB">
        <w:rPr>
          <w:rFonts w:ascii="Arial" w:hAnsi="Arial" w:cs="Arial"/>
          <w:sz w:val="24"/>
          <w:lang w:eastAsia="ja-JP"/>
        </w:rPr>
        <w:t>Discussion</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Default="00CB20FA" w:rsidP="00FD1A62">
      <w:pPr>
        <w:spacing w:after="120"/>
        <w:jc w:val="both"/>
        <w:rPr>
          <w:rFonts w:ascii="Arial" w:hAnsi="Arial" w:cs="Arial"/>
          <w:lang w:eastAsia="ja-JP"/>
        </w:rPr>
      </w:pPr>
      <w:r>
        <w:rPr>
          <w:rFonts w:ascii="Arial" w:hAnsi="Arial" w:cs="Arial"/>
          <w:lang w:eastAsia="ja-JP"/>
        </w:rPr>
        <w:t xml:space="preserve">CA_B8_B26 [1] has a unique frequency combination where B8 UL frequency range overlaps with B26 DL frequency range, which not only limits UL transmission to B26 only in CA operation, but also complicates UE front-end configurations. In this contribution, we discuss the potential UE reference architectures and their implication on </w:t>
      </w:r>
      <w:r w:rsidR="00955777">
        <w:rPr>
          <w:rFonts w:ascii="Arial" w:hAnsi="Arial" w:cs="Arial"/>
          <w:lang w:eastAsia="ja-JP"/>
        </w:rPr>
        <w:t>the additional insertion loss</w:t>
      </w:r>
      <w:r w:rsidR="009755FD">
        <w:rPr>
          <w:rFonts w:ascii="Arial" w:hAnsi="Arial" w:cs="Arial"/>
          <w:lang w:eastAsia="ja-JP"/>
        </w:rPr>
        <w:t>es</w:t>
      </w:r>
      <w:r w:rsidR="00955777">
        <w:rPr>
          <w:rFonts w:ascii="Arial" w:hAnsi="Arial" w:cs="Arial"/>
          <w:lang w:eastAsia="ja-JP"/>
        </w:rPr>
        <w:t xml:space="preserve"> to be introduced.</w:t>
      </w:r>
    </w:p>
    <w:p w:rsidR="00284627" w:rsidRPr="007408EB" w:rsidRDefault="00284627" w:rsidP="0090534F">
      <w:pPr>
        <w:spacing w:before="120" w:after="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124C45" w:rsidRDefault="00E5631E" w:rsidP="00743AA1">
      <w:pPr>
        <w:spacing w:after="120"/>
        <w:jc w:val="both"/>
        <w:rPr>
          <w:rFonts w:ascii="Arial" w:hAnsi="Arial" w:cs="Arial"/>
          <w:lang w:eastAsia="ja-JP"/>
        </w:rPr>
      </w:pPr>
      <w:r>
        <w:rPr>
          <w:rFonts w:ascii="Arial" w:hAnsi="Arial" w:cs="Arial"/>
          <w:lang w:eastAsia="ja-JP"/>
        </w:rPr>
        <w:t>UE reference architecture for CA_B8_B26 had been depicted in RAN4 #68 meeting to derive the additional insertion for this band combination [</w:t>
      </w:r>
      <w:r w:rsidR="0028245E">
        <w:rPr>
          <w:rFonts w:ascii="Arial" w:hAnsi="Arial" w:cs="Arial"/>
          <w:lang w:eastAsia="ja-JP"/>
        </w:rPr>
        <w:t>2</w:t>
      </w:r>
      <w:r>
        <w:rPr>
          <w:rFonts w:ascii="Arial" w:hAnsi="Arial" w:cs="Arial"/>
          <w:lang w:eastAsia="ja-JP"/>
        </w:rPr>
        <w:t xml:space="preserve">]. However, due to the unique frequency combination where B8 UL frequency range overlaps with B26 DL frequency range, </w:t>
      </w:r>
      <w:r w:rsidR="00E56E89">
        <w:rPr>
          <w:rFonts w:ascii="Arial" w:hAnsi="Arial" w:cs="Arial"/>
          <w:lang w:eastAsia="ja-JP"/>
        </w:rPr>
        <w:t>the front-end filter using a diplexer followed by B8 and B26 duplexers as proposed in [</w:t>
      </w:r>
      <w:r w:rsidR="0028245E">
        <w:rPr>
          <w:rFonts w:ascii="Arial" w:hAnsi="Arial" w:cs="Arial"/>
          <w:lang w:eastAsia="ja-JP"/>
        </w:rPr>
        <w:t>2</w:t>
      </w:r>
      <w:r w:rsidR="00E56E89">
        <w:rPr>
          <w:rFonts w:ascii="Arial" w:hAnsi="Arial" w:cs="Arial"/>
          <w:lang w:eastAsia="ja-JP"/>
        </w:rPr>
        <w:t xml:space="preserve">] or a quadplexer likely cannot be realized in physical design. </w:t>
      </w:r>
      <w:r w:rsidR="00F50661">
        <w:rPr>
          <w:rFonts w:ascii="Arial" w:hAnsi="Arial" w:cs="Arial"/>
          <w:lang w:eastAsia="ja-JP"/>
        </w:rPr>
        <w:t>It is instead a triplexer, as commented</w:t>
      </w:r>
      <w:r w:rsidR="00ED7EA9">
        <w:rPr>
          <w:rFonts w:ascii="Arial" w:hAnsi="Arial" w:cs="Arial"/>
          <w:lang w:eastAsia="ja-JP"/>
        </w:rPr>
        <w:t xml:space="preserve"> </w:t>
      </w:r>
      <w:r w:rsidR="009755FD">
        <w:rPr>
          <w:rFonts w:ascii="Arial" w:hAnsi="Arial" w:cs="Arial"/>
          <w:lang w:eastAsia="ja-JP"/>
        </w:rPr>
        <w:t>during</w:t>
      </w:r>
      <w:r w:rsidR="00ED7EA9">
        <w:rPr>
          <w:rFonts w:ascii="Arial" w:hAnsi="Arial" w:cs="Arial"/>
          <w:lang w:eastAsia="ja-JP"/>
        </w:rPr>
        <w:t xml:space="preserve"> </w:t>
      </w:r>
      <w:r w:rsidR="009755FD">
        <w:rPr>
          <w:rFonts w:ascii="Arial" w:hAnsi="Arial" w:cs="Arial"/>
          <w:lang w:eastAsia="ja-JP"/>
        </w:rPr>
        <w:t xml:space="preserve">last </w:t>
      </w:r>
      <w:r w:rsidR="00ED7EA9">
        <w:rPr>
          <w:rFonts w:ascii="Arial" w:hAnsi="Arial" w:cs="Arial"/>
          <w:lang w:eastAsia="ja-JP"/>
        </w:rPr>
        <w:t xml:space="preserve">meeting discussion </w:t>
      </w:r>
      <w:r w:rsidR="00F50661">
        <w:rPr>
          <w:rFonts w:ascii="Arial" w:hAnsi="Arial" w:cs="Arial"/>
          <w:lang w:eastAsia="ja-JP"/>
        </w:rPr>
        <w:t>[</w:t>
      </w:r>
      <w:r w:rsidR="0028245E">
        <w:rPr>
          <w:rFonts w:ascii="Arial" w:hAnsi="Arial" w:cs="Arial"/>
          <w:lang w:eastAsia="ja-JP"/>
        </w:rPr>
        <w:t>3</w:t>
      </w:r>
      <w:r w:rsidR="00F50661">
        <w:rPr>
          <w:rFonts w:ascii="Arial" w:hAnsi="Arial" w:cs="Arial"/>
          <w:lang w:eastAsia="ja-JP"/>
        </w:rPr>
        <w:t xml:space="preserve">], which shall be used to support this 1UL/2DL CA operation. Figure 2-1 presents a feasible UE reference architecture </w:t>
      </w:r>
      <w:r w:rsidR="0027333F">
        <w:rPr>
          <w:rFonts w:ascii="Arial" w:hAnsi="Arial" w:cs="Arial"/>
          <w:lang w:eastAsia="ja-JP"/>
        </w:rPr>
        <w:t>supporting this CA band combination, where a common diplexer is incorporated before antenna switch</w:t>
      </w:r>
      <w:r w:rsidR="000D3C10">
        <w:rPr>
          <w:rFonts w:ascii="Arial" w:hAnsi="Arial" w:cs="Arial"/>
          <w:lang w:eastAsia="ja-JP"/>
        </w:rPr>
        <w:t>es</w:t>
      </w:r>
      <w:r w:rsidR="0027333F">
        <w:rPr>
          <w:rFonts w:ascii="Arial" w:hAnsi="Arial" w:cs="Arial"/>
          <w:lang w:eastAsia="ja-JP"/>
        </w:rPr>
        <w:t xml:space="preserve"> with the anticipation that a single UE likely would support numerous CA bands </w:t>
      </w:r>
      <w:r w:rsidR="00124C45">
        <w:rPr>
          <w:rFonts w:ascii="Arial" w:hAnsi="Arial" w:cs="Arial"/>
          <w:lang w:eastAsia="ja-JP"/>
        </w:rPr>
        <w:t>consisting of H/H, L/L, H/L combinations.</w:t>
      </w:r>
    </w:p>
    <w:p w:rsidR="001256EA" w:rsidRDefault="001256EA" w:rsidP="001256EA">
      <w:pPr>
        <w:spacing w:after="0"/>
        <w:jc w:val="both"/>
        <w:rPr>
          <w:rFonts w:ascii="Arial" w:hAnsi="Arial" w:cs="Arial"/>
          <w:lang w:eastAsia="ja-JP"/>
        </w:rPr>
      </w:pPr>
    </w:p>
    <w:p w:rsidR="0013517C" w:rsidRDefault="001256EA" w:rsidP="00CB25DF">
      <w:pPr>
        <w:spacing w:after="0"/>
        <w:jc w:val="center"/>
        <w:rPr>
          <w:rFonts w:ascii="Arial" w:hAnsi="Arial" w:cs="Arial"/>
          <w:lang w:eastAsia="ja-JP"/>
        </w:rPr>
      </w:pPr>
      <w:r>
        <w:object w:dxaOrig="4385" w:dyaOrig="5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76.6pt" o:ole="">
            <v:imagedata r:id="rId11" o:title=""/>
          </v:shape>
          <o:OLEObject Type="Embed" ProgID="Visio.Drawing.11" ShapeID="_x0000_i1025" DrawAspect="Content" ObjectID="_1441922272" r:id="rId12"/>
        </w:object>
      </w:r>
    </w:p>
    <w:p w:rsidR="001256EA" w:rsidRPr="001256EA" w:rsidRDefault="001256EA" w:rsidP="001256EA">
      <w:pPr>
        <w:spacing w:after="0"/>
        <w:jc w:val="center"/>
        <w:rPr>
          <w:rFonts w:ascii="Arial" w:hAnsi="Arial" w:cs="Arial"/>
        </w:rPr>
      </w:pPr>
    </w:p>
    <w:p w:rsidR="001256EA" w:rsidRDefault="001256EA" w:rsidP="001256EA">
      <w:pPr>
        <w:spacing w:after="120"/>
        <w:jc w:val="center"/>
        <w:rPr>
          <w:rFonts w:ascii="Arial" w:hAnsi="Arial" w:cs="Arial"/>
        </w:rPr>
      </w:pPr>
      <w:r>
        <w:rPr>
          <w:rFonts w:ascii="Arial" w:hAnsi="Arial" w:cs="Arial"/>
          <w:b/>
        </w:rPr>
        <w:t>Figure 2-1 A feasible UE reference architecture supporting CA_B8_B26</w:t>
      </w:r>
    </w:p>
    <w:p w:rsidR="00743AA1" w:rsidRDefault="00743AA1" w:rsidP="00A208B3">
      <w:pPr>
        <w:spacing w:after="0"/>
        <w:jc w:val="both"/>
        <w:rPr>
          <w:rFonts w:ascii="Arial" w:hAnsi="Arial" w:cs="Arial"/>
          <w:lang w:eastAsia="ja-JP"/>
        </w:rPr>
      </w:pPr>
    </w:p>
    <w:p w:rsidR="00743AA1" w:rsidRDefault="001256EA" w:rsidP="00743AA1">
      <w:pPr>
        <w:spacing w:after="120"/>
        <w:jc w:val="both"/>
        <w:rPr>
          <w:rFonts w:ascii="Arial" w:hAnsi="Arial" w:cs="Arial"/>
          <w:lang w:eastAsia="ja-JP"/>
        </w:rPr>
      </w:pPr>
      <w:r>
        <w:rPr>
          <w:rFonts w:ascii="Arial" w:hAnsi="Arial" w:cs="Arial"/>
          <w:lang w:eastAsia="ja-JP"/>
        </w:rPr>
        <w:lastRenderedPageBreak/>
        <w:t>This RF front-end configuration</w:t>
      </w:r>
      <w:r w:rsidR="00743AA1">
        <w:rPr>
          <w:rFonts w:ascii="Arial" w:hAnsi="Arial" w:cs="Arial"/>
          <w:lang w:eastAsia="ja-JP"/>
        </w:rPr>
        <w:t xml:space="preserve">, </w:t>
      </w:r>
      <w:r>
        <w:rPr>
          <w:rFonts w:ascii="Arial" w:hAnsi="Arial" w:cs="Arial"/>
          <w:lang w:eastAsia="ja-JP"/>
        </w:rPr>
        <w:t>however, can only support 2DL CA and B26 single-band operation, but not B8 single-band operation. In order to support B8 single-band operation, one alternative is to add an additional B8 duplexer at a separate antenna switch output port, as shown in Figure 2-2</w:t>
      </w:r>
      <w:r w:rsidR="00462F49">
        <w:rPr>
          <w:rFonts w:ascii="Arial" w:hAnsi="Arial" w:cs="Arial"/>
          <w:lang w:eastAsia="ja-JP"/>
        </w:rPr>
        <w:t xml:space="preserve"> (architecture A)</w:t>
      </w:r>
      <w:r w:rsidR="00A257AC">
        <w:rPr>
          <w:rFonts w:ascii="Arial" w:hAnsi="Arial" w:cs="Arial"/>
          <w:lang w:eastAsia="ja-JP"/>
        </w:rPr>
        <w:t>, where f</w:t>
      </w:r>
      <w:r w:rsidR="00CB25DF">
        <w:rPr>
          <w:rFonts w:ascii="Arial" w:hAnsi="Arial" w:cs="Arial"/>
          <w:lang w:eastAsia="ja-JP"/>
        </w:rPr>
        <w:t>or DL C</w:t>
      </w:r>
      <w:r w:rsidR="00462F49">
        <w:rPr>
          <w:rFonts w:ascii="Arial" w:hAnsi="Arial" w:cs="Arial"/>
          <w:lang w:eastAsia="ja-JP"/>
        </w:rPr>
        <w:t xml:space="preserve">A and B26 only operation, the low-band antenna switch is connected to port 1, and for B8 only operation, the switch </w:t>
      </w:r>
      <w:r w:rsidR="00643486">
        <w:rPr>
          <w:rFonts w:ascii="Arial" w:hAnsi="Arial" w:cs="Arial"/>
          <w:lang w:eastAsia="ja-JP"/>
        </w:rPr>
        <w:t>will be</w:t>
      </w:r>
      <w:r w:rsidR="00462F49">
        <w:rPr>
          <w:rFonts w:ascii="Arial" w:hAnsi="Arial" w:cs="Arial"/>
          <w:lang w:eastAsia="ja-JP"/>
        </w:rPr>
        <w:t xml:space="preserve"> connected to port 2. </w:t>
      </w:r>
    </w:p>
    <w:p w:rsidR="00CB25DF" w:rsidRDefault="00CB25DF" w:rsidP="00CB25DF">
      <w:pPr>
        <w:spacing w:after="0"/>
        <w:jc w:val="both"/>
        <w:rPr>
          <w:rFonts w:ascii="Arial" w:hAnsi="Arial" w:cs="Arial"/>
          <w:lang w:eastAsia="ja-JP"/>
        </w:rPr>
      </w:pPr>
    </w:p>
    <w:p w:rsidR="001256EA" w:rsidRDefault="00D90081" w:rsidP="00CB25DF">
      <w:pPr>
        <w:spacing w:after="0"/>
        <w:jc w:val="center"/>
        <w:rPr>
          <w:rFonts w:ascii="Arial" w:hAnsi="Arial" w:cs="Arial"/>
          <w:lang w:eastAsia="ja-JP"/>
        </w:rPr>
      </w:pPr>
      <w:r>
        <w:object w:dxaOrig="5652" w:dyaOrig="5530">
          <v:shape id="_x0000_i1026" type="#_x0000_t75" style="width:268.8pt;height:262.2pt" o:ole="">
            <v:imagedata r:id="rId13" o:title=""/>
          </v:shape>
          <o:OLEObject Type="Embed" ProgID="Visio.Drawing.11" ShapeID="_x0000_i1026" DrawAspect="Content" ObjectID="_1441922273" r:id="rId14"/>
        </w:object>
      </w:r>
    </w:p>
    <w:p w:rsidR="00CB25DF" w:rsidRPr="00CB25DF" w:rsidRDefault="00CB25DF" w:rsidP="00CB25DF">
      <w:pPr>
        <w:spacing w:after="0"/>
        <w:jc w:val="center"/>
        <w:rPr>
          <w:rFonts w:ascii="Arial" w:hAnsi="Arial" w:cs="Arial"/>
        </w:rPr>
      </w:pPr>
    </w:p>
    <w:p w:rsidR="00CB25DF" w:rsidRDefault="00CB25DF" w:rsidP="00CB25DF">
      <w:pPr>
        <w:spacing w:after="120"/>
        <w:jc w:val="center"/>
        <w:rPr>
          <w:rFonts w:ascii="Arial" w:hAnsi="Arial" w:cs="Arial"/>
        </w:rPr>
      </w:pPr>
      <w:r>
        <w:rPr>
          <w:rFonts w:ascii="Arial" w:hAnsi="Arial" w:cs="Arial"/>
          <w:b/>
        </w:rPr>
        <w:t xml:space="preserve">Figure 2-2 UE reference architecture supporting CA_B8_B26 </w:t>
      </w:r>
      <w:r w:rsidR="00A257AC">
        <w:rPr>
          <w:rFonts w:ascii="Arial" w:hAnsi="Arial" w:cs="Arial"/>
          <w:b/>
        </w:rPr>
        <w:t>(architecture A)</w:t>
      </w:r>
    </w:p>
    <w:p w:rsidR="00743AA1" w:rsidRDefault="00743AA1" w:rsidP="009F27A4">
      <w:pPr>
        <w:spacing w:after="0"/>
        <w:jc w:val="both"/>
        <w:rPr>
          <w:rFonts w:ascii="Arial" w:hAnsi="Arial" w:cs="Arial"/>
          <w:lang w:eastAsia="ja-JP"/>
        </w:rPr>
      </w:pPr>
    </w:p>
    <w:p w:rsidR="0011402E" w:rsidRDefault="00462F49" w:rsidP="00462F49">
      <w:pPr>
        <w:spacing w:after="120"/>
        <w:jc w:val="both"/>
        <w:rPr>
          <w:rFonts w:ascii="Arial" w:hAnsi="Arial" w:cs="Arial"/>
          <w:lang w:eastAsia="ja-JP"/>
        </w:rPr>
      </w:pPr>
      <w:r>
        <w:rPr>
          <w:rFonts w:ascii="Arial" w:hAnsi="Arial" w:cs="Arial"/>
          <w:lang w:eastAsia="ja-JP"/>
        </w:rPr>
        <w:t>One concern with this front-end architecture is that the pairing transceiver may not have sufficient Rx input ports to accommodate two B8 DL signal paths. In this situation, a</w:t>
      </w:r>
      <w:r w:rsidR="009755FD">
        <w:rPr>
          <w:rFonts w:ascii="Arial" w:hAnsi="Arial" w:cs="Arial"/>
          <w:lang w:eastAsia="ja-JP"/>
        </w:rPr>
        <w:t>n</w:t>
      </w:r>
      <w:r>
        <w:rPr>
          <w:rFonts w:ascii="Arial" w:hAnsi="Arial" w:cs="Arial"/>
          <w:lang w:eastAsia="ja-JP"/>
        </w:rPr>
        <w:t xml:space="preserve"> </w:t>
      </w:r>
      <w:r w:rsidR="00A80E66">
        <w:rPr>
          <w:rFonts w:ascii="Arial" w:hAnsi="Arial" w:cs="Arial"/>
          <w:lang w:eastAsia="ja-JP"/>
        </w:rPr>
        <w:t>SPD</w:t>
      </w:r>
      <w:r w:rsidR="00E104F6">
        <w:rPr>
          <w:rFonts w:ascii="Arial" w:hAnsi="Arial" w:cs="Arial"/>
          <w:lang w:eastAsia="ja-JP"/>
        </w:rPr>
        <w:t xml:space="preserve">T </w:t>
      </w:r>
      <w:r>
        <w:rPr>
          <w:rFonts w:ascii="Arial" w:hAnsi="Arial" w:cs="Arial"/>
          <w:lang w:eastAsia="ja-JP"/>
        </w:rPr>
        <w:t xml:space="preserve">switch would be required to multiplex </w:t>
      </w:r>
      <w:r w:rsidR="0011402E">
        <w:rPr>
          <w:rFonts w:ascii="Arial" w:hAnsi="Arial" w:cs="Arial"/>
          <w:lang w:eastAsia="ja-JP"/>
        </w:rPr>
        <w:t>the two B8 DL paths into one Rx input port, as shown in Figure 2-3 (architecture B).</w:t>
      </w:r>
    </w:p>
    <w:p w:rsidR="00A257AC" w:rsidRDefault="00A257AC" w:rsidP="00A257AC">
      <w:pPr>
        <w:spacing w:after="0"/>
        <w:jc w:val="both"/>
        <w:rPr>
          <w:rFonts w:ascii="Arial" w:hAnsi="Arial" w:cs="Arial"/>
          <w:lang w:eastAsia="ja-JP"/>
        </w:rPr>
      </w:pPr>
    </w:p>
    <w:p w:rsidR="00FA066C" w:rsidRPr="009B73C6" w:rsidRDefault="00D90081" w:rsidP="00A257AC">
      <w:pPr>
        <w:spacing w:after="0"/>
        <w:jc w:val="center"/>
        <w:rPr>
          <w:rFonts w:ascii="Arial" w:hAnsi="Arial" w:cs="Arial"/>
          <w:lang w:eastAsia="ja-JP"/>
        </w:rPr>
      </w:pPr>
      <w:r>
        <w:object w:dxaOrig="5652" w:dyaOrig="5530">
          <v:shape id="_x0000_i1027" type="#_x0000_t75" style="width:267pt;height:261pt" o:ole="">
            <v:imagedata r:id="rId15" o:title=""/>
          </v:shape>
          <o:OLEObject Type="Embed" ProgID="Visio.Drawing.11" ShapeID="_x0000_i1027" DrawAspect="Content" ObjectID="_1441922274" r:id="rId16"/>
        </w:object>
      </w:r>
    </w:p>
    <w:p w:rsidR="00784B0D" w:rsidRDefault="00784B0D" w:rsidP="000041E0">
      <w:pPr>
        <w:spacing w:after="0"/>
        <w:rPr>
          <w:rFonts w:ascii="Arial" w:hAnsi="Arial" w:cs="Arial"/>
          <w:b/>
        </w:rPr>
      </w:pPr>
    </w:p>
    <w:p w:rsidR="008D6197" w:rsidRDefault="00A257AC" w:rsidP="00FD1A62">
      <w:pPr>
        <w:spacing w:after="120"/>
        <w:jc w:val="center"/>
        <w:rPr>
          <w:rFonts w:ascii="Arial" w:hAnsi="Arial" w:cs="Arial"/>
        </w:rPr>
      </w:pPr>
      <w:r>
        <w:rPr>
          <w:rFonts w:ascii="Arial" w:hAnsi="Arial" w:cs="Arial"/>
          <w:b/>
        </w:rPr>
        <w:t>Figure 2-3</w:t>
      </w:r>
      <w:r w:rsidR="00784B0D">
        <w:rPr>
          <w:rFonts w:ascii="Arial" w:hAnsi="Arial" w:cs="Arial"/>
          <w:b/>
        </w:rPr>
        <w:t xml:space="preserve"> </w:t>
      </w:r>
      <w:r>
        <w:rPr>
          <w:rFonts w:ascii="Arial" w:hAnsi="Arial" w:cs="Arial"/>
          <w:b/>
        </w:rPr>
        <w:t>UE reference architecture supporting CA_B8_B26 (architecture B)</w:t>
      </w:r>
    </w:p>
    <w:p w:rsidR="006F452A" w:rsidRDefault="00A257AC" w:rsidP="00D90081">
      <w:pPr>
        <w:spacing w:after="0"/>
        <w:jc w:val="both"/>
        <w:rPr>
          <w:rFonts w:ascii="Arial" w:hAnsi="Arial" w:cs="Arial"/>
          <w:lang w:eastAsia="ja-JP"/>
        </w:rPr>
      </w:pPr>
      <w:r>
        <w:rPr>
          <w:rFonts w:ascii="Arial" w:hAnsi="Arial" w:cs="Arial"/>
          <w:lang w:eastAsia="ja-JP"/>
        </w:rPr>
        <w:lastRenderedPageBreak/>
        <w:t>The other potential solution</w:t>
      </w:r>
      <w:r w:rsidR="00F157FA">
        <w:rPr>
          <w:rFonts w:ascii="Arial" w:hAnsi="Arial" w:cs="Arial"/>
          <w:lang w:eastAsia="ja-JP"/>
        </w:rPr>
        <w:t xml:space="preserve"> </w:t>
      </w:r>
      <w:r>
        <w:rPr>
          <w:rFonts w:ascii="Arial" w:hAnsi="Arial" w:cs="Arial"/>
          <w:lang w:eastAsia="ja-JP"/>
        </w:rPr>
        <w:t xml:space="preserve">without adding </w:t>
      </w:r>
      <w:r w:rsidR="00F157FA">
        <w:rPr>
          <w:rFonts w:ascii="Arial" w:hAnsi="Arial" w:cs="Arial"/>
          <w:lang w:eastAsia="ja-JP"/>
        </w:rPr>
        <w:t>an</w:t>
      </w:r>
      <w:r>
        <w:rPr>
          <w:rFonts w:ascii="Arial" w:hAnsi="Arial" w:cs="Arial"/>
          <w:lang w:eastAsia="ja-JP"/>
        </w:rPr>
        <w:t xml:space="preserve"> additional B8 duplexer is to widen the </w:t>
      </w:r>
      <w:r w:rsidR="00F157FA">
        <w:rPr>
          <w:rFonts w:ascii="Arial" w:hAnsi="Arial" w:cs="Arial"/>
          <w:lang w:eastAsia="ja-JP"/>
        </w:rPr>
        <w:t>triple</w:t>
      </w:r>
      <w:r w:rsidR="00643486">
        <w:rPr>
          <w:rFonts w:ascii="Arial" w:hAnsi="Arial" w:cs="Arial"/>
          <w:lang w:eastAsia="ja-JP"/>
        </w:rPr>
        <w:t>xer middle-</w:t>
      </w:r>
      <w:r w:rsidR="00F157FA">
        <w:rPr>
          <w:rFonts w:ascii="Arial" w:hAnsi="Arial" w:cs="Arial"/>
          <w:lang w:eastAsia="ja-JP"/>
        </w:rPr>
        <w:t xml:space="preserve">band filter bandwidth such that it can cover both B8 UL and B26 DL frequency ranges, though this might have some </w:t>
      </w:r>
      <w:r w:rsidR="002A2B62">
        <w:rPr>
          <w:rFonts w:ascii="Arial" w:hAnsi="Arial" w:cs="Arial"/>
          <w:lang w:eastAsia="ja-JP"/>
        </w:rPr>
        <w:t xml:space="preserve">performance </w:t>
      </w:r>
      <w:r w:rsidR="00F157FA">
        <w:rPr>
          <w:rFonts w:ascii="Arial" w:hAnsi="Arial" w:cs="Arial"/>
          <w:lang w:eastAsia="ja-JP"/>
        </w:rPr>
        <w:t xml:space="preserve">impact to </w:t>
      </w:r>
      <w:r w:rsidR="002A2B62">
        <w:rPr>
          <w:rFonts w:ascii="Arial" w:hAnsi="Arial" w:cs="Arial"/>
          <w:lang w:eastAsia="ja-JP"/>
        </w:rPr>
        <w:t xml:space="preserve">triplexer isolation </w:t>
      </w:r>
      <w:r w:rsidR="00F157FA">
        <w:rPr>
          <w:rFonts w:ascii="Arial" w:hAnsi="Arial" w:cs="Arial"/>
          <w:lang w:eastAsia="ja-JP"/>
        </w:rPr>
        <w:t xml:space="preserve">or insertion loss. </w:t>
      </w:r>
      <w:r w:rsidR="002A2B62">
        <w:rPr>
          <w:rFonts w:ascii="Arial" w:hAnsi="Arial" w:cs="Arial"/>
          <w:lang w:eastAsia="ja-JP"/>
        </w:rPr>
        <w:t>In this configuration, a</w:t>
      </w:r>
      <w:r w:rsidR="00643486">
        <w:rPr>
          <w:rFonts w:ascii="Arial" w:hAnsi="Arial" w:cs="Arial"/>
          <w:lang w:eastAsia="ja-JP"/>
        </w:rPr>
        <w:t>n</w:t>
      </w:r>
      <w:r w:rsidR="002A2B62">
        <w:rPr>
          <w:rFonts w:ascii="Arial" w:hAnsi="Arial" w:cs="Arial"/>
          <w:lang w:eastAsia="ja-JP"/>
        </w:rPr>
        <w:t xml:space="preserve"> </w:t>
      </w:r>
      <w:r w:rsidR="00A80E66">
        <w:rPr>
          <w:rFonts w:ascii="Arial" w:hAnsi="Arial" w:cs="Arial"/>
          <w:lang w:eastAsia="ja-JP"/>
        </w:rPr>
        <w:t>SPD</w:t>
      </w:r>
      <w:r w:rsidR="001B3802">
        <w:rPr>
          <w:rFonts w:ascii="Arial" w:hAnsi="Arial" w:cs="Arial"/>
          <w:lang w:eastAsia="ja-JP"/>
        </w:rPr>
        <w:t xml:space="preserve">T </w:t>
      </w:r>
      <w:r w:rsidR="002A2B62">
        <w:rPr>
          <w:rFonts w:ascii="Arial" w:hAnsi="Arial" w:cs="Arial"/>
          <w:lang w:eastAsia="ja-JP"/>
        </w:rPr>
        <w:t xml:space="preserve">switch </w:t>
      </w:r>
      <w:r w:rsidR="001B3802">
        <w:rPr>
          <w:rFonts w:ascii="Arial" w:hAnsi="Arial" w:cs="Arial"/>
          <w:lang w:eastAsia="ja-JP"/>
        </w:rPr>
        <w:t xml:space="preserve">as highlighted in Figure 2-4 (architecture C) </w:t>
      </w:r>
      <w:r w:rsidR="002A2B62">
        <w:rPr>
          <w:rFonts w:ascii="Arial" w:hAnsi="Arial" w:cs="Arial"/>
          <w:lang w:eastAsia="ja-JP"/>
        </w:rPr>
        <w:t xml:space="preserve">is required since B8 UL and B26 DL would be sharing the same </w:t>
      </w:r>
      <w:r w:rsidR="001B3802">
        <w:rPr>
          <w:rFonts w:ascii="Arial" w:hAnsi="Arial" w:cs="Arial"/>
          <w:lang w:eastAsia="ja-JP"/>
        </w:rPr>
        <w:t>triplexer filter port, but not simultaneously.</w:t>
      </w:r>
    </w:p>
    <w:p w:rsidR="00391BE8" w:rsidRDefault="002A2B62" w:rsidP="006F452A">
      <w:pPr>
        <w:spacing w:after="0"/>
        <w:jc w:val="both"/>
        <w:rPr>
          <w:rFonts w:ascii="Arial" w:hAnsi="Arial" w:cs="Arial"/>
          <w:lang w:eastAsia="ja-JP"/>
        </w:rPr>
      </w:pPr>
      <w:r>
        <w:rPr>
          <w:rFonts w:ascii="Arial" w:hAnsi="Arial" w:cs="Arial"/>
          <w:lang w:eastAsia="ja-JP"/>
        </w:rPr>
        <w:t xml:space="preserve">  </w:t>
      </w:r>
      <w:r w:rsidR="00F157FA">
        <w:rPr>
          <w:rFonts w:ascii="Arial" w:hAnsi="Arial" w:cs="Arial"/>
          <w:lang w:eastAsia="ja-JP"/>
        </w:rPr>
        <w:t xml:space="preserve">   </w:t>
      </w:r>
      <w:r w:rsidR="00A257AC">
        <w:rPr>
          <w:rFonts w:ascii="Arial" w:hAnsi="Arial" w:cs="Arial"/>
          <w:lang w:eastAsia="ja-JP"/>
        </w:rPr>
        <w:t xml:space="preserve"> </w:t>
      </w:r>
    </w:p>
    <w:p w:rsidR="00391BE8" w:rsidRDefault="00E0127D" w:rsidP="006F452A">
      <w:pPr>
        <w:spacing w:after="0"/>
        <w:jc w:val="center"/>
        <w:rPr>
          <w:rFonts w:ascii="Arial" w:hAnsi="Arial" w:cs="Arial"/>
          <w:lang w:eastAsia="ja-JP"/>
        </w:rPr>
      </w:pPr>
      <w:r>
        <w:object w:dxaOrig="4384" w:dyaOrig="6098">
          <v:shape id="_x0000_i1028" type="#_x0000_t75" style="width:192pt;height:268.2pt" o:ole="">
            <v:imagedata r:id="rId17" o:title=""/>
          </v:shape>
          <o:OLEObject Type="Embed" ProgID="Visio.Drawing.11" ShapeID="_x0000_i1028" DrawAspect="Content" ObjectID="_1441922275" r:id="rId18"/>
        </w:object>
      </w:r>
    </w:p>
    <w:p w:rsidR="00391BE8" w:rsidRPr="00391BE8" w:rsidRDefault="00391BE8" w:rsidP="00391BE8">
      <w:pPr>
        <w:spacing w:after="0"/>
        <w:jc w:val="center"/>
        <w:rPr>
          <w:rFonts w:ascii="Arial" w:hAnsi="Arial" w:cs="Arial"/>
        </w:rPr>
      </w:pPr>
    </w:p>
    <w:p w:rsidR="00391BE8" w:rsidRPr="00391BE8" w:rsidRDefault="006F452A" w:rsidP="00391BE8">
      <w:pPr>
        <w:spacing w:after="120"/>
        <w:jc w:val="center"/>
        <w:rPr>
          <w:rFonts w:ascii="Arial" w:hAnsi="Arial" w:cs="Arial"/>
          <w:b/>
          <w:lang w:eastAsia="ja-JP"/>
        </w:rPr>
      </w:pPr>
      <w:r>
        <w:rPr>
          <w:rFonts w:ascii="Arial" w:hAnsi="Arial" w:cs="Arial"/>
          <w:b/>
        </w:rPr>
        <w:t>Figure 2-4 UE reference architecture supporting CA_B8_B26 (architecture C)</w:t>
      </w:r>
    </w:p>
    <w:p w:rsidR="00FF6104" w:rsidRDefault="00FF6104" w:rsidP="00FF6104">
      <w:pPr>
        <w:spacing w:after="0"/>
        <w:jc w:val="both"/>
        <w:rPr>
          <w:rFonts w:ascii="Arial" w:hAnsi="Arial" w:cs="Arial"/>
          <w:lang w:eastAsia="ja-JP"/>
        </w:rPr>
      </w:pPr>
    </w:p>
    <w:p w:rsidR="00D90081" w:rsidRDefault="006F452A" w:rsidP="00FF6104">
      <w:pPr>
        <w:spacing w:after="0"/>
        <w:jc w:val="both"/>
        <w:rPr>
          <w:rFonts w:ascii="Arial" w:hAnsi="Arial" w:cs="Arial"/>
          <w:lang w:eastAsia="ja-JP"/>
        </w:rPr>
      </w:pPr>
      <w:r>
        <w:rPr>
          <w:rFonts w:ascii="Arial" w:hAnsi="Arial" w:cs="Arial"/>
          <w:lang w:eastAsia="ja-JP"/>
        </w:rPr>
        <w:t>In a separate consideration that B8 UL and B26 UL are in the similar frequency operation range and never will operate simultaneously,</w:t>
      </w:r>
      <w:r w:rsidR="00453981">
        <w:rPr>
          <w:rFonts w:ascii="Arial" w:hAnsi="Arial" w:cs="Arial"/>
          <w:lang w:eastAsia="ja-JP"/>
        </w:rPr>
        <w:t xml:space="preserve"> it is possible to have both ULs share the same PA to save implementation cost. With this thought applied to the aforementioned three reference arc</w:t>
      </w:r>
      <w:r w:rsidR="00ED7EA9">
        <w:rPr>
          <w:rFonts w:ascii="Arial" w:hAnsi="Arial" w:cs="Arial"/>
          <w:lang w:eastAsia="ja-JP"/>
        </w:rPr>
        <w:t xml:space="preserve">hitectures (A, B, and C), </w:t>
      </w:r>
      <w:r w:rsidR="00453981">
        <w:rPr>
          <w:rFonts w:ascii="Arial" w:hAnsi="Arial" w:cs="Arial"/>
          <w:lang w:eastAsia="ja-JP"/>
        </w:rPr>
        <w:t xml:space="preserve">three more alternative configurations </w:t>
      </w:r>
      <w:r w:rsidR="00ED7EA9">
        <w:rPr>
          <w:rFonts w:ascii="Arial" w:hAnsi="Arial" w:cs="Arial"/>
          <w:lang w:eastAsia="ja-JP"/>
        </w:rPr>
        <w:t xml:space="preserve">can be derived </w:t>
      </w:r>
      <w:r w:rsidR="00453981">
        <w:rPr>
          <w:rFonts w:ascii="Arial" w:hAnsi="Arial" w:cs="Arial"/>
          <w:lang w:eastAsia="ja-JP"/>
        </w:rPr>
        <w:t>as shown in Figure 2-5, Figure 2-6, and Figure 2-7, for architectures D, E, and F, respectively.</w:t>
      </w:r>
    </w:p>
    <w:p w:rsidR="00D90081" w:rsidRDefault="00D90081" w:rsidP="00FF6104">
      <w:pPr>
        <w:spacing w:after="0"/>
        <w:jc w:val="both"/>
        <w:rPr>
          <w:rFonts w:ascii="Arial" w:hAnsi="Arial" w:cs="Arial"/>
          <w:lang w:eastAsia="ja-JP"/>
        </w:rPr>
      </w:pPr>
    </w:p>
    <w:p w:rsidR="006F452A" w:rsidRDefault="00D90081" w:rsidP="00D90081">
      <w:pPr>
        <w:spacing w:after="0"/>
        <w:jc w:val="center"/>
        <w:rPr>
          <w:rFonts w:ascii="Arial" w:hAnsi="Arial" w:cs="Arial"/>
          <w:lang w:eastAsia="ja-JP"/>
        </w:rPr>
      </w:pPr>
      <w:r>
        <w:object w:dxaOrig="5749" w:dyaOrig="5165">
          <v:shape id="_x0000_i1029" type="#_x0000_t75" style="width:267pt;height:240.6pt" o:ole="">
            <v:imagedata r:id="rId19" o:title=""/>
          </v:shape>
          <o:OLEObject Type="Embed" ProgID="Visio.Drawing.11" ShapeID="_x0000_i1029" DrawAspect="Content" ObjectID="_1441922276" r:id="rId20"/>
        </w:object>
      </w:r>
    </w:p>
    <w:p w:rsidR="00D90081" w:rsidRDefault="00D90081" w:rsidP="00D90081">
      <w:pPr>
        <w:spacing w:after="0"/>
        <w:jc w:val="center"/>
        <w:rPr>
          <w:rFonts w:ascii="Arial" w:hAnsi="Arial" w:cs="Arial"/>
          <w:b/>
        </w:rPr>
      </w:pPr>
    </w:p>
    <w:p w:rsidR="00D90081" w:rsidRPr="00391BE8" w:rsidRDefault="00D90081" w:rsidP="00D90081">
      <w:pPr>
        <w:spacing w:after="120"/>
        <w:jc w:val="center"/>
        <w:rPr>
          <w:rFonts w:ascii="Arial" w:hAnsi="Arial" w:cs="Arial"/>
          <w:b/>
          <w:lang w:eastAsia="ja-JP"/>
        </w:rPr>
      </w:pPr>
      <w:r>
        <w:rPr>
          <w:rFonts w:ascii="Arial" w:hAnsi="Arial" w:cs="Arial"/>
          <w:b/>
        </w:rPr>
        <w:t>Figure 2-5 UE reference architecture supporting CA_B8_B26 (architecture D)</w:t>
      </w:r>
    </w:p>
    <w:p w:rsidR="001E04B3" w:rsidRDefault="006A1076" w:rsidP="006A1076">
      <w:pPr>
        <w:spacing w:after="0"/>
        <w:jc w:val="center"/>
      </w:pPr>
      <w:r>
        <w:object w:dxaOrig="5749" w:dyaOrig="5165">
          <v:shape id="_x0000_i1030" type="#_x0000_t75" style="width:287.4pt;height:258pt" o:ole="">
            <v:imagedata r:id="rId21" o:title=""/>
          </v:shape>
          <o:OLEObject Type="Embed" ProgID="Visio.Drawing.11" ShapeID="_x0000_i1030" DrawAspect="Content" ObjectID="_1441922277" r:id="rId22"/>
        </w:object>
      </w:r>
    </w:p>
    <w:p w:rsidR="006A1076" w:rsidRDefault="006A1076" w:rsidP="006A1076">
      <w:pPr>
        <w:spacing w:after="0"/>
        <w:jc w:val="center"/>
      </w:pPr>
    </w:p>
    <w:p w:rsidR="00745233" w:rsidRPr="00391BE8" w:rsidRDefault="00745233" w:rsidP="00745233">
      <w:pPr>
        <w:spacing w:after="120"/>
        <w:jc w:val="center"/>
        <w:rPr>
          <w:rFonts w:ascii="Arial" w:hAnsi="Arial" w:cs="Arial"/>
          <w:b/>
          <w:lang w:eastAsia="ja-JP"/>
        </w:rPr>
      </w:pPr>
      <w:r>
        <w:rPr>
          <w:rFonts w:ascii="Arial" w:hAnsi="Arial" w:cs="Arial"/>
          <w:b/>
        </w:rPr>
        <w:t>Figure 2-6 UE reference architecture supporting CA_B8_B26 (architecture E)</w:t>
      </w:r>
    </w:p>
    <w:p w:rsidR="006A1076" w:rsidRDefault="006A1076" w:rsidP="00745233">
      <w:pPr>
        <w:spacing w:after="0"/>
      </w:pPr>
    </w:p>
    <w:p w:rsidR="006A1076" w:rsidRDefault="00745233" w:rsidP="006A1076">
      <w:pPr>
        <w:spacing w:after="0"/>
        <w:jc w:val="center"/>
      </w:pPr>
      <w:r>
        <w:object w:dxaOrig="4385" w:dyaOrig="5951">
          <v:shape id="_x0000_i1031" type="#_x0000_t75" style="width:219pt;height:297.6pt" o:ole="">
            <v:imagedata r:id="rId23" o:title=""/>
          </v:shape>
          <o:OLEObject Type="Embed" ProgID="Visio.Drawing.11" ShapeID="_x0000_i1031" DrawAspect="Content" ObjectID="_1441922278" r:id="rId24"/>
        </w:object>
      </w:r>
    </w:p>
    <w:p w:rsidR="006A1076" w:rsidRDefault="006A1076" w:rsidP="006A1076">
      <w:pPr>
        <w:spacing w:after="0"/>
        <w:jc w:val="center"/>
      </w:pPr>
    </w:p>
    <w:p w:rsidR="00745233" w:rsidRPr="00391BE8" w:rsidRDefault="00745233" w:rsidP="00745233">
      <w:pPr>
        <w:spacing w:after="120"/>
        <w:jc w:val="center"/>
        <w:rPr>
          <w:rFonts w:ascii="Arial" w:hAnsi="Arial" w:cs="Arial"/>
          <w:b/>
          <w:lang w:eastAsia="ja-JP"/>
        </w:rPr>
      </w:pPr>
      <w:r>
        <w:rPr>
          <w:rFonts w:ascii="Arial" w:hAnsi="Arial" w:cs="Arial"/>
          <w:b/>
        </w:rPr>
        <w:t>Figure 2-7 UE reference architecture supporting CA_B8_B26 (architecture F)</w:t>
      </w:r>
    </w:p>
    <w:p w:rsidR="006A1076" w:rsidRDefault="006A1076" w:rsidP="006A1076">
      <w:pPr>
        <w:spacing w:after="0"/>
        <w:jc w:val="center"/>
        <w:rPr>
          <w:rFonts w:ascii="Arial" w:hAnsi="Arial" w:cs="Arial"/>
        </w:rPr>
      </w:pPr>
    </w:p>
    <w:p w:rsidR="0075048C" w:rsidRDefault="00745233" w:rsidP="001E04B3">
      <w:pPr>
        <w:spacing w:after="0"/>
        <w:jc w:val="both"/>
        <w:rPr>
          <w:rFonts w:ascii="Arial" w:hAnsi="Arial" w:cs="Arial"/>
        </w:rPr>
      </w:pPr>
      <w:r>
        <w:rPr>
          <w:rFonts w:ascii="Arial" w:hAnsi="Arial" w:cs="Arial"/>
        </w:rPr>
        <w:t>For different front-end configurations</w:t>
      </w:r>
      <w:r w:rsidR="00B5637A">
        <w:rPr>
          <w:rFonts w:ascii="Arial" w:hAnsi="Arial" w:cs="Arial"/>
        </w:rPr>
        <w:t xml:space="preserve"> as illustrated in architectures A to F</w:t>
      </w:r>
      <w:r>
        <w:rPr>
          <w:rFonts w:ascii="Arial" w:hAnsi="Arial" w:cs="Arial"/>
        </w:rPr>
        <w:t xml:space="preserve">, the same </w:t>
      </w:r>
      <w:r w:rsidR="00B5637A">
        <w:rPr>
          <w:rFonts w:ascii="Arial" w:hAnsi="Arial" w:cs="Arial"/>
        </w:rPr>
        <w:t xml:space="preserve">Tx or Rx </w:t>
      </w:r>
      <w:r>
        <w:rPr>
          <w:rFonts w:ascii="Arial" w:hAnsi="Arial" w:cs="Arial"/>
        </w:rPr>
        <w:t xml:space="preserve">signal </w:t>
      </w:r>
      <w:r w:rsidR="00B5637A">
        <w:rPr>
          <w:rFonts w:ascii="Arial" w:hAnsi="Arial" w:cs="Arial"/>
        </w:rPr>
        <w:t>may be subjected to different insertion loss under CA or single-band mode</w:t>
      </w:r>
      <w:r w:rsidR="00596865">
        <w:rPr>
          <w:rFonts w:ascii="Arial" w:hAnsi="Arial" w:cs="Arial"/>
        </w:rPr>
        <w:t xml:space="preserve"> operation</w:t>
      </w:r>
      <w:r w:rsidR="00B5637A">
        <w:rPr>
          <w:rFonts w:ascii="Arial" w:hAnsi="Arial" w:cs="Arial"/>
        </w:rPr>
        <w:t xml:space="preserve">. Table 2-1 summarizes all the additional insertion losses to be introduced </w:t>
      </w:r>
      <w:r w:rsidR="00E22086">
        <w:rPr>
          <w:rFonts w:ascii="Arial" w:hAnsi="Arial" w:cs="Arial"/>
        </w:rPr>
        <w:t xml:space="preserve">in Tx and Rx signal paths </w:t>
      </w:r>
      <w:r w:rsidR="00596865">
        <w:rPr>
          <w:rFonts w:ascii="Arial" w:hAnsi="Arial" w:cs="Arial"/>
        </w:rPr>
        <w:t>based on</w:t>
      </w:r>
      <w:r w:rsidR="00B5637A">
        <w:rPr>
          <w:rFonts w:ascii="Arial" w:hAnsi="Arial" w:cs="Arial"/>
        </w:rPr>
        <w:t xml:space="preserve"> these </w:t>
      </w:r>
      <w:r w:rsidR="00F24095">
        <w:rPr>
          <w:rFonts w:ascii="Arial" w:hAnsi="Arial" w:cs="Arial"/>
        </w:rPr>
        <w:t>six</w:t>
      </w:r>
      <w:r w:rsidR="00B5637A">
        <w:rPr>
          <w:rFonts w:ascii="Arial" w:hAnsi="Arial" w:cs="Arial"/>
        </w:rPr>
        <w:t xml:space="preserve"> </w:t>
      </w:r>
      <w:r w:rsidR="00E22086">
        <w:rPr>
          <w:rFonts w:ascii="Arial" w:hAnsi="Arial" w:cs="Arial"/>
        </w:rPr>
        <w:t>plausible</w:t>
      </w:r>
      <w:r w:rsidR="00E0127D">
        <w:rPr>
          <w:rFonts w:ascii="Arial" w:hAnsi="Arial" w:cs="Arial"/>
        </w:rPr>
        <w:t xml:space="preserve"> reference architectures, where the </w:t>
      </w:r>
      <w:r w:rsidR="00A80E66">
        <w:rPr>
          <w:rFonts w:ascii="Arial" w:hAnsi="Arial" w:cs="Arial"/>
        </w:rPr>
        <w:t>value</w:t>
      </w:r>
      <w:r w:rsidR="00E22086">
        <w:rPr>
          <w:rFonts w:ascii="Arial" w:hAnsi="Arial" w:cs="Arial"/>
        </w:rPr>
        <w:t xml:space="preserve"> </w:t>
      </w:r>
      <w:r w:rsidR="00F93872">
        <w:rPr>
          <w:rFonts w:ascii="Arial" w:hAnsi="Arial" w:cs="Arial"/>
        </w:rPr>
        <w:t>of</w:t>
      </w:r>
      <w:r w:rsidR="00E22086">
        <w:rPr>
          <w:rFonts w:ascii="Arial" w:hAnsi="Arial" w:cs="Arial"/>
        </w:rPr>
        <w:t xml:space="preserve"> each component insertion loss is kept open for further studies.</w:t>
      </w:r>
    </w:p>
    <w:p w:rsidR="0075048C" w:rsidRDefault="0075048C" w:rsidP="001E04B3">
      <w:pPr>
        <w:spacing w:after="0"/>
        <w:jc w:val="both"/>
        <w:rPr>
          <w:rFonts w:ascii="Arial" w:hAnsi="Arial" w:cs="Arial"/>
        </w:rPr>
      </w:pPr>
    </w:p>
    <w:p w:rsidR="00D90081" w:rsidRPr="001E04B3" w:rsidRDefault="00E22086" w:rsidP="001E04B3">
      <w:pPr>
        <w:spacing w:after="0"/>
        <w:jc w:val="both"/>
        <w:rPr>
          <w:rFonts w:ascii="Arial" w:hAnsi="Arial" w:cs="Arial"/>
        </w:rPr>
      </w:pPr>
      <w:r>
        <w:rPr>
          <w:rFonts w:ascii="Arial" w:hAnsi="Arial" w:cs="Arial"/>
        </w:rPr>
        <w:t xml:space="preserve">  </w:t>
      </w:r>
      <w:r w:rsidR="00B5637A">
        <w:rPr>
          <w:rFonts w:ascii="Arial" w:hAnsi="Arial" w:cs="Arial"/>
        </w:rPr>
        <w:t xml:space="preserve"> </w:t>
      </w:r>
      <w:r w:rsidR="00745233">
        <w:rPr>
          <w:rFonts w:ascii="Arial" w:hAnsi="Arial" w:cs="Arial"/>
        </w:rPr>
        <w:t xml:space="preserve"> </w:t>
      </w:r>
    </w:p>
    <w:tbl>
      <w:tblPr>
        <w:tblW w:w="9506" w:type="dxa"/>
        <w:jc w:val="center"/>
        <w:tblInd w:w="96" w:type="dxa"/>
        <w:tblLook w:val="04A0"/>
      </w:tblPr>
      <w:tblGrid>
        <w:gridCol w:w="1129"/>
        <w:gridCol w:w="611"/>
        <w:gridCol w:w="1202"/>
        <w:gridCol w:w="1202"/>
        <w:gridCol w:w="1202"/>
        <w:gridCol w:w="1040"/>
        <w:gridCol w:w="1040"/>
        <w:gridCol w:w="1040"/>
        <w:gridCol w:w="1040"/>
      </w:tblGrid>
      <w:tr w:rsidR="0075048C" w:rsidRPr="0075048C" w:rsidTr="00F24095">
        <w:trPr>
          <w:trHeight w:val="288"/>
          <w:jc w:val="center"/>
        </w:trPr>
        <w:tc>
          <w:tcPr>
            <w:tcW w:w="1129" w:type="dxa"/>
            <w:vMerge w:val="restart"/>
            <w:tcBorders>
              <w:top w:val="single" w:sz="8" w:space="0" w:color="auto"/>
              <w:left w:val="single" w:sz="8" w:space="0" w:color="auto"/>
              <w:bottom w:val="double" w:sz="6" w:space="0" w:color="000000"/>
              <w:right w:val="double" w:sz="6"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lastRenderedPageBreak/>
              <w:t>Architecture</w:t>
            </w:r>
          </w:p>
        </w:tc>
        <w:tc>
          <w:tcPr>
            <w:tcW w:w="4217" w:type="dxa"/>
            <w:gridSpan w:val="4"/>
            <w:tcBorders>
              <w:top w:val="single" w:sz="8" w:space="0" w:color="auto"/>
              <w:left w:val="nil"/>
              <w:bottom w:val="single" w:sz="4" w:space="0" w:color="auto"/>
              <w:right w:val="single" w:sz="4"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CA Operation</w:t>
            </w:r>
          </w:p>
        </w:tc>
        <w:tc>
          <w:tcPr>
            <w:tcW w:w="4160" w:type="dxa"/>
            <w:gridSpan w:val="4"/>
            <w:tcBorders>
              <w:top w:val="single" w:sz="8" w:space="0" w:color="auto"/>
              <w:left w:val="nil"/>
              <w:bottom w:val="single" w:sz="4" w:space="0" w:color="auto"/>
              <w:right w:val="single" w:sz="8" w:space="0" w:color="000000"/>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Single-band Operation</w:t>
            </w:r>
          </w:p>
        </w:tc>
      </w:tr>
      <w:tr w:rsidR="0075048C" w:rsidRPr="0075048C" w:rsidTr="00F24095">
        <w:trPr>
          <w:trHeight w:val="288"/>
          <w:jc w:val="center"/>
        </w:trPr>
        <w:tc>
          <w:tcPr>
            <w:tcW w:w="1129" w:type="dxa"/>
            <w:vMerge/>
            <w:tcBorders>
              <w:top w:val="single" w:sz="8" w:space="0" w:color="auto"/>
              <w:left w:val="single" w:sz="8" w:space="0" w:color="auto"/>
              <w:bottom w:val="double" w:sz="6" w:space="0" w:color="000000"/>
              <w:right w:val="double" w:sz="6" w:space="0" w:color="auto"/>
            </w:tcBorders>
            <w:vAlign w:val="center"/>
            <w:hideMark/>
          </w:tcPr>
          <w:p w:rsidR="0075048C" w:rsidRPr="0075048C" w:rsidRDefault="0075048C" w:rsidP="0075048C">
            <w:pPr>
              <w:spacing w:after="0"/>
              <w:rPr>
                <w:rFonts w:ascii="Calibri" w:eastAsia="Times New Roman" w:hAnsi="Calibri"/>
                <w:color w:val="000000"/>
                <w:sz w:val="18"/>
                <w:szCs w:val="18"/>
                <w:lang w:val="en-US" w:eastAsia="zh-CN"/>
              </w:rPr>
            </w:pPr>
          </w:p>
        </w:tc>
        <w:tc>
          <w:tcPr>
            <w:tcW w:w="1813" w:type="dxa"/>
            <w:gridSpan w:val="2"/>
            <w:tcBorders>
              <w:top w:val="single" w:sz="4" w:space="0" w:color="auto"/>
              <w:left w:val="nil"/>
              <w:bottom w:val="single" w:sz="4" w:space="0" w:color="auto"/>
              <w:right w:val="single" w:sz="4"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B8</w:t>
            </w:r>
          </w:p>
        </w:tc>
        <w:tc>
          <w:tcPr>
            <w:tcW w:w="2404" w:type="dxa"/>
            <w:gridSpan w:val="2"/>
            <w:tcBorders>
              <w:top w:val="single" w:sz="4" w:space="0" w:color="auto"/>
              <w:left w:val="nil"/>
              <w:bottom w:val="single" w:sz="4" w:space="0" w:color="auto"/>
              <w:right w:val="single" w:sz="4"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B26</w:t>
            </w:r>
          </w:p>
        </w:tc>
        <w:tc>
          <w:tcPr>
            <w:tcW w:w="2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B8</w:t>
            </w:r>
          </w:p>
        </w:tc>
        <w:tc>
          <w:tcPr>
            <w:tcW w:w="208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B26</w:t>
            </w:r>
          </w:p>
        </w:tc>
      </w:tr>
      <w:tr w:rsidR="0075048C" w:rsidRPr="0075048C" w:rsidTr="00F24095">
        <w:trPr>
          <w:trHeight w:val="300"/>
          <w:jc w:val="center"/>
        </w:trPr>
        <w:tc>
          <w:tcPr>
            <w:tcW w:w="1129" w:type="dxa"/>
            <w:vMerge/>
            <w:tcBorders>
              <w:top w:val="single" w:sz="8" w:space="0" w:color="auto"/>
              <w:left w:val="single" w:sz="8" w:space="0" w:color="auto"/>
              <w:bottom w:val="double" w:sz="6" w:space="0" w:color="000000"/>
              <w:right w:val="double" w:sz="6" w:space="0" w:color="auto"/>
            </w:tcBorders>
            <w:vAlign w:val="center"/>
            <w:hideMark/>
          </w:tcPr>
          <w:p w:rsidR="0075048C" w:rsidRPr="0075048C" w:rsidRDefault="0075048C" w:rsidP="0075048C">
            <w:pPr>
              <w:spacing w:after="0"/>
              <w:rPr>
                <w:rFonts w:ascii="Calibri" w:eastAsia="Times New Roman" w:hAnsi="Calibri"/>
                <w:color w:val="000000"/>
                <w:sz w:val="18"/>
                <w:szCs w:val="18"/>
                <w:lang w:val="en-US" w:eastAsia="zh-CN"/>
              </w:rPr>
            </w:pPr>
          </w:p>
        </w:tc>
        <w:tc>
          <w:tcPr>
            <w:tcW w:w="611" w:type="dxa"/>
            <w:tcBorders>
              <w:top w:val="nil"/>
              <w:left w:val="nil"/>
              <w:bottom w:val="double" w:sz="6" w:space="0" w:color="auto"/>
              <w:right w:val="single" w:sz="4"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Tx</w:t>
            </w:r>
          </w:p>
        </w:tc>
        <w:tc>
          <w:tcPr>
            <w:tcW w:w="1202" w:type="dxa"/>
            <w:tcBorders>
              <w:top w:val="nil"/>
              <w:left w:val="nil"/>
              <w:bottom w:val="double" w:sz="6" w:space="0" w:color="auto"/>
              <w:right w:val="single" w:sz="4"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Rx</w:t>
            </w:r>
          </w:p>
        </w:tc>
        <w:tc>
          <w:tcPr>
            <w:tcW w:w="1202" w:type="dxa"/>
            <w:tcBorders>
              <w:top w:val="nil"/>
              <w:left w:val="nil"/>
              <w:bottom w:val="double" w:sz="6" w:space="0" w:color="auto"/>
              <w:right w:val="single" w:sz="4"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Tx</w:t>
            </w:r>
          </w:p>
        </w:tc>
        <w:tc>
          <w:tcPr>
            <w:tcW w:w="1202" w:type="dxa"/>
            <w:tcBorders>
              <w:top w:val="nil"/>
              <w:left w:val="nil"/>
              <w:bottom w:val="double" w:sz="6" w:space="0" w:color="auto"/>
              <w:right w:val="single" w:sz="4"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Rx</w:t>
            </w:r>
          </w:p>
        </w:tc>
        <w:tc>
          <w:tcPr>
            <w:tcW w:w="1040" w:type="dxa"/>
            <w:tcBorders>
              <w:top w:val="nil"/>
              <w:left w:val="nil"/>
              <w:bottom w:val="double" w:sz="6" w:space="0" w:color="auto"/>
              <w:right w:val="single" w:sz="4"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Tx</w:t>
            </w:r>
          </w:p>
        </w:tc>
        <w:tc>
          <w:tcPr>
            <w:tcW w:w="1040" w:type="dxa"/>
            <w:tcBorders>
              <w:top w:val="nil"/>
              <w:left w:val="nil"/>
              <w:bottom w:val="double" w:sz="6" w:space="0" w:color="auto"/>
              <w:right w:val="single" w:sz="4"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Rx</w:t>
            </w:r>
          </w:p>
        </w:tc>
        <w:tc>
          <w:tcPr>
            <w:tcW w:w="1040" w:type="dxa"/>
            <w:tcBorders>
              <w:top w:val="nil"/>
              <w:left w:val="nil"/>
              <w:bottom w:val="double" w:sz="6" w:space="0" w:color="auto"/>
              <w:right w:val="single" w:sz="4"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Tx</w:t>
            </w:r>
          </w:p>
        </w:tc>
        <w:tc>
          <w:tcPr>
            <w:tcW w:w="1040" w:type="dxa"/>
            <w:tcBorders>
              <w:top w:val="nil"/>
              <w:left w:val="nil"/>
              <w:bottom w:val="double" w:sz="6" w:space="0" w:color="auto"/>
              <w:right w:val="single" w:sz="8"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Rx</w:t>
            </w:r>
          </w:p>
        </w:tc>
      </w:tr>
      <w:tr w:rsidR="0075048C" w:rsidRPr="0075048C" w:rsidTr="00F24095">
        <w:trPr>
          <w:trHeight w:val="492"/>
          <w:jc w:val="center"/>
        </w:trPr>
        <w:tc>
          <w:tcPr>
            <w:tcW w:w="1129" w:type="dxa"/>
            <w:tcBorders>
              <w:top w:val="nil"/>
              <w:left w:val="single" w:sz="8" w:space="0" w:color="auto"/>
              <w:bottom w:val="single" w:sz="4" w:space="0" w:color="auto"/>
              <w:right w:val="double" w:sz="6"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A</w:t>
            </w:r>
          </w:p>
        </w:tc>
        <w:tc>
          <w:tcPr>
            <w:tcW w:w="611" w:type="dxa"/>
            <w:tcBorders>
              <w:top w:val="nil"/>
              <w:left w:val="nil"/>
              <w:bottom w:val="single" w:sz="4" w:space="0" w:color="auto"/>
              <w:right w:val="single" w:sz="4"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N/A</w:t>
            </w:r>
          </w:p>
        </w:tc>
        <w:tc>
          <w:tcPr>
            <w:tcW w:w="1202"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p>
        </w:tc>
        <w:tc>
          <w:tcPr>
            <w:tcW w:w="1202"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p>
        </w:tc>
        <w:tc>
          <w:tcPr>
            <w:tcW w:w="1202"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p>
        </w:tc>
        <w:tc>
          <w:tcPr>
            <w:tcW w:w="1040" w:type="dxa"/>
            <w:tcBorders>
              <w:top w:val="nil"/>
              <w:left w:val="nil"/>
              <w:bottom w:val="single" w:sz="4" w:space="0" w:color="auto"/>
              <w:right w:val="single" w:sz="4" w:space="0" w:color="auto"/>
            </w:tcBorders>
            <w:shd w:val="clear" w:color="auto" w:fill="auto"/>
            <w:noWrap/>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p>
        </w:tc>
        <w:tc>
          <w:tcPr>
            <w:tcW w:w="1040" w:type="dxa"/>
            <w:tcBorders>
              <w:top w:val="nil"/>
              <w:left w:val="nil"/>
              <w:bottom w:val="single" w:sz="4" w:space="0" w:color="auto"/>
              <w:right w:val="single" w:sz="4" w:space="0" w:color="auto"/>
            </w:tcBorders>
            <w:shd w:val="clear" w:color="auto" w:fill="auto"/>
            <w:noWrap/>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p>
        </w:tc>
        <w:tc>
          <w:tcPr>
            <w:tcW w:w="1040"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p>
        </w:tc>
        <w:tc>
          <w:tcPr>
            <w:tcW w:w="1040" w:type="dxa"/>
            <w:tcBorders>
              <w:top w:val="nil"/>
              <w:left w:val="nil"/>
              <w:bottom w:val="single" w:sz="4" w:space="0" w:color="auto"/>
              <w:right w:val="single" w:sz="8"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p>
        </w:tc>
      </w:tr>
      <w:tr w:rsidR="0075048C" w:rsidRPr="0075048C" w:rsidTr="00F24095">
        <w:trPr>
          <w:trHeight w:val="720"/>
          <w:jc w:val="center"/>
        </w:trPr>
        <w:tc>
          <w:tcPr>
            <w:tcW w:w="1129" w:type="dxa"/>
            <w:tcBorders>
              <w:top w:val="nil"/>
              <w:left w:val="single" w:sz="8" w:space="0" w:color="auto"/>
              <w:bottom w:val="single" w:sz="4" w:space="0" w:color="auto"/>
              <w:right w:val="double" w:sz="6"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B</w:t>
            </w:r>
          </w:p>
        </w:tc>
        <w:tc>
          <w:tcPr>
            <w:tcW w:w="611" w:type="dxa"/>
            <w:tcBorders>
              <w:top w:val="nil"/>
              <w:left w:val="nil"/>
              <w:bottom w:val="single" w:sz="4" w:space="0" w:color="auto"/>
              <w:right w:val="single" w:sz="4"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N/A</w:t>
            </w:r>
          </w:p>
        </w:tc>
        <w:tc>
          <w:tcPr>
            <w:tcW w:w="1202"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r w:rsidRPr="0075048C">
              <w:rPr>
                <w:rFonts w:ascii="Calibri" w:eastAsia="Times New Roman" w:hAnsi="Calibri"/>
                <w:color w:val="000000"/>
                <w:sz w:val="18"/>
                <w:szCs w:val="18"/>
                <w:lang w:val="en-US" w:eastAsia="zh-CN"/>
              </w:rPr>
              <w:br/>
              <w:t>SPDT</w:t>
            </w:r>
          </w:p>
        </w:tc>
        <w:tc>
          <w:tcPr>
            <w:tcW w:w="1202"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p>
        </w:tc>
        <w:tc>
          <w:tcPr>
            <w:tcW w:w="1202"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p>
        </w:tc>
        <w:tc>
          <w:tcPr>
            <w:tcW w:w="1040" w:type="dxa"/>
            <w:tcBorders>
              <w:top w:val="nil"/>
              <w:left w:val="nil"/>
              <w:bottom w:val="single" w:sz="4" w:space="0" w:color="auto"/>
              <w:right w:val="single" w:sz="4" w:space="0" w:color="auto"/>
            </w:tcBorders>
            <w:shd w:val="clear" w:color="auto" w:fill="auto"/>
            <w:noWrap/>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p>
        </w:tc>
        <w:tc>
          <w:tcPr>
            <w:tcW w:w="1040"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SPDT</w:t>
            </w:r>
          </w:p>
        </w:tc>
        <w:tc>
          <w:tcPr>
            <w:tcW w:w="1040"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p>
        </w:tc>
        <w:tc>
          <w:tcPr>
            <w:tcW w:w="1040" w:type="dxa"/>
            <w:tcBorders>
              <w:top w:val="nil"/>
              <w:left w:val="nil"/>
              <w:bottom w:val="single" w:sz="4" w:space="0" w:color="auto"/>
              <w:right w:val="single" w:sz="8"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p>
        </w:tc>
      </w:tr>
      <w:tr w:rsidR="0075048C" w:rsidRPr="0075048C" w:rsidTr="00F24095">
        <w:trPr>
          <w:trHeight w:val="720"/>
          <w:jc w:val="center"/>
        </w:trPr>
        <w:tc>
          <w:tcPr>
            <w:tcW w:w="1129" w:type="dxa"/>
            <w:tcBorders>
              <w:top w:val="nil"/>
              <w:left w:val="single" w:sz="8" w:space="0" w:color="auto"/>
              <w:bottom w:val="single" w:sz="4" w:space="0" w:color="auto"/>
              <w:right w:val="double" w:sz="6"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C</w:t>
            </w:r>
          </w:p>
        </w:tc>
        <w:tc>
          <w:tcPr>
            <w:tcW w:w="611" w:type="dxa"/>
            <w:tcBorders>
              <w:top w:val="nil"/>
              <w:left w:val="nil"/>
              <w:bottom w:val="single" w:sz="4" w:space="0" w:color="auto"/>
              <w:right w:val="single" w:sz="4"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N/A</w:t>
            </w:r>
          </w:p>
        </w:tc>
        <w:tc>
          <w:tcPr>
            <w:tcW w:w="1202"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p>
        </w:tc>
        <w:tc>
          <w:tcPr>
            <w:tcW w:w="1202"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p>
        </w:tc>
        <w:tc>
          <w:tcPr>
            <w:tcW w:w="1202"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r w:rsidRPr="0075048C">
              <w:rPr>
                <w:rFonts w:ascii="Calibri" w:eastAsia="Times New Roman" w:hAnsi="Calibri"/>
                <w:color w:val="000000"/>
                <w:sz w:val="18"/>
                <w:szCs w:val="18"/>
                <w:lang w:val="en-US" w:eastAsia="zh-CN"/>
              </w:rPr>
              <w:br/>
              <w:t>SPDT</w:t>
            </w:r>
          </w:p>
        </w:tc>
        <w:tc>
          <w:tcPr>
            <w:tcW w:w="1040"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r w:rsidRPr="0075048C">
              <w:rPr>
                <w:rFonts w:ascii="Calibri" w:eastAsia="Times New Roman" w:hAnsi="Calibri"/>
                <w:color w:val="000000"/>
                <w:sz w:val="18"/>
                <w:szCs w:val="18"/>
                <w:lang w:val="en-US" w:eastAsia="zh-CN"/>
              </w:rPr>
              <w:br/>
              <w:t>SPDT</w:t>
            </w:r>
          </w:p>
        </w:tc>
        <w:tc>
          <w:tcPr>
            <w:tcW w:w="1040"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p>
        </w:tc>
        <w:tc>
          <w:tcPr>
            <w:tcW w:w="1040"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p>
        </w:tc>
        <w:tc>
          <w:tcPr>
            <w:tcW w:w="1040" w:type="dxa"/>
            <w:tcBorders>
              <w:top w:val="nil"/>
              <w:left w:val="nil"/>
              <w:bottom w:val="single" w:sz="4" w:space="0" w:color="auto"/>
              <w:right w:val="single" w:sz="8"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r w:rsidRPr="0075048C">
              <w:rPr>
                <w:rFonts w:ascii="Calibri" w:eastAsia="Times New Roman" w:hAnsi="Calibri"/>
                <w:color w:val="000000"/>
                <w:sz w:val="18"/>
                <w:szCs w:val="18"/>
                <w:lang w:val="en-US" w:eastAsia="zh-CN"/>
              </w:rPr>
              <w:br/>
              <w:t>SPDT</w:t>
            </w:r>
          </w:p>
        </w:tc>
      </w:tr>
      <w:tr w:rsidR="0075048C" w:rsidRPr="0075048C" w:rsidTr="00F24095">
        <w:trPr>
          <w:trHeight w:val="720"/>
          <w:jc w:val="center"/>
        </w:trPr>
        <w:tc>
          <w:tcPr>
            <w:tcW w:w="1129" w:type="dxa"/>
            <w:tcBorders>
              <w:top w:val="nil"/>
              <w:left w:val="single" w:sz="8" w:space="0" w:color="auto"/>
              <w:bottom w:val="single" w:sz="4" w:space="0" w:color="auto"/>
              <w:right w:val="double" w:sz="6"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w:t>
            </w:r>
          </w:p>
        </w:tc>
        <w:tc>
          <w:tcPr>
            <w:tcW w:w="611" w:type="dxa"/>
            <w:tcBorders>
              <w:top w:val="nil"/>
              <w:left w:val="nil"/>
              <w:bottom w:val="single" w:sz="4" w:space="0" w:color="auto"/>
              <w:right w:val="single" w:sz="4"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N/A</w:t>
            </w:r>
          </w:p>
        </w:tc>
        <w:tc>
          <w:tcPr>
            <w:tcW w:w="1202"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p>
        </w:tc>
        <w:tc>
          <w:tcPr>
            <w:tcW w:w="1202"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r w:rsidRPr="0075048C">
              <w:rPr>
                <w:rFonts w:ascii="Calibri" w:eastAsia="Times New Roman" w:hAnsi="Calibri"/>
                <w:color w:val="000000"/>
                <w:sz w:val="18"/>
                <w:szCs w:val="18"/>
                <w:lang w:val="en-US" w:eastAsia="zh-CN"/>
              </w:rPr>
              <w:br/>
              <w:t>SPDT</w:t>
            </w:r>
          </w:p>
        </w:tc>
        <w:tc>
          <w:tcPr>
            <w:tcW w:w="1202"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p>
        </w:tc>
        <w:tc>
          <w:tcPr>
            <w:tcW w:w="1040"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SPDT</w:t>
            </w:r>
          </w:p>
        </w:tc>
        <w:tc>
          <w:tcPr>
            <w:tcW w:w="1040" w:type="dxa"/>
            <w:tcBorders>
              <w:top w:val="nil"/>
              <w:left w:val="nil"/>
              <w:bottom w:val="single" w:sz="4" w:space="0" w:color="auto"/>
              <w:right w:val="single" w:sz="4" w:space="0" w:color="auto"/>
            </w:tcBorders>
            <w:shd w:val="clear" w:color="auto" w:fill="auto"/>
            <w:noWrap/>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p>
        </w:tc>
        <w:tc>
          <w:tcPr>
            <w:tcW w:w="1040"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r w:rsidRPr="0075048C">
              <w:rPr>
                <w:rFonts w:ascii="Calibri" w:eastAsia="Times New Roman" w:hAnsi="Calibri"/>
                <w:color w:val="000000"/>
                <w:sz w:val="18"/>
                <w:szCs w:val="18"/>
                <w:lang w:val="en-US" w:eastAsia="zh-CN"/>
              </w:rPr>
              <w:br/>
              <w:t>SPDT</w:t>
            </w:r>
          </w:p>
        </w:tc>
        <w:tc>
          <w:tcPr>
            <w:tcW w:w="1040" w:type="dxa"/>
            <w:tcBorders>
              <w:top w:val="nil"/>
              <w:left w:val="nil"/>
              <w:bottom w:val="single" w:sz="4" w:space="0" w:color="auto"/>
              <w:right w:val="single" w:sz="8"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p>
        </w:tc>
      </w:tr>
      <w:tr w:rsidR="0075048C" w:rsidRPr="0075048C" w:rsidTr="00F24095">
        <w:trPr>
          <w:trHeight w:val="720"/>
          <w:jc w:val="center"/>
        </w:trPr>
        <w:tc>
          <w:tcPr>
            <w:tcW w:w="1129" w:type="dxa"/>
            <w:tcBorders>
              <w:top w:val="nil"/>
              <w:left w:val="single" w:sz="8" w:space="0" w:color="auto"/>
              <w:bottom w:val="single" w:sz="4" w:space="0" w:color="auto"/>
              <w:right w:val="double" w:sz="6"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E</w:t>
            </w:r>
          </w:p>
        </w:tc>
        <w:tc>
          <w:tcPr>
            <w:tcW w:w="611" w:type="dxa"/>
            <w:tcBorders>
              <w:top w:val="nil"/>
              <w:left w:val="nil"/>
              <w:bottom w:val="single" w:sz="4" w:space="0" w:color="auto"/>
              <w:right w:val="single" w:sz="4"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N/A</w:t>
            </w:r>
          </w:p>
        </w:tc>
        <w:tc>
          <w:tcPr>
            <w:tcW w:w="1202"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r w:rsidRPr="0075048C">
              <w:rPr>
                <w:rFonts w:ascii="Calibri" w:eastAsia="Times New Roman" w:hAnsi="Calibri"/>
                <w:color w:val="000000"/>
                <w:sz w:val="18"/>
                <w:szCs w:val="18"/>
                <w:lang w:val="en-US" w:eastAsia="zh-CN"/>
              </w:rPr>
              <w:br/>
              <w:t>SPDT</w:t>
            </w:r>
          </w:p>
        </w:tc>
        <w:tc>
          <w:tcPr>
            <w:tcW w:w="1202"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r w:rsidRPr="0075048C">
              <w:rPr>
                <w:rFonts w:ascii="Calibri" w:eastAsia="Times New Roman" w:hAnsi="Calibri"/>
                <w:color w:val="000000"/>
                <w:sz w:val="18"/>
                <w:szCs w:val="18"/>
                <w:lang w:val="en-US" w:eastAsia="zh-CN"/>
              </w:rPr>
              <w:br/>
              <w:t>SPDT</w:t>
            </w:r>
          </w:p>
        </w:tc>
        <w:tc>
          <w:tcPr>
            <w:tcW w:w="1202"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p>
        </w:tc>
        <w:tc>
          <w:tcPr>
            <w:tcW w:w="1040"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SPDT</w:t>
            </w:r>
          </w:p>
        </w:tc>
        <w:tc>
          <w:tcPr>
            <w:tcW w:w="1040"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SPDT</w:t>
            </w:r>
          </w:p>
        </w:tc>
        <w:tc>
          <w:tcPr>
            <w:tcW w:w="1040" w:type="dxa"/>
            <w:tcBorders>
              <w:top w:val="nil"/>
              <w:left w:val="nil"/>
              <w:bottom w:val="single" w:sz="4" w:space="0" w:color="auto"/>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r w:rsidRPr="0075048C">
              <w:rPr>
                <w:rFonts w:ascii="Calibri" w:eastAsia="Times New Roman" w:hAnsi="Calibri"/>
                <w:color w:val="000000"/>
                <w:sz w:val="18"/>
                <w:szCs w:val="18"/>
                <w:lang w:val="en-US" w:eastAsia="zh-CN"/>
              </w:rPr>
              <w:br/>
              <w:t>SPDT</w:t>
            </w:r>
          </w:p>
        </w:tc>
        <w:tc>
          <w:tcPr>
            <w:tcW w:w="1040" w:type="dxa"/>
            <w:tcBorders>
              <w:top w:val="nil"/>
              <w:left w:val="nil"/>
              <w:bottom w:val="single" w:sz="4" w:space="0" w:color="auto"/>
              <w:right w:val="single" w:sz="8"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p>
        </w:tc>
      </w:tr>
      <w:tr w:rsidR="0075048C" w:rsidRPr="0075048C" w:rsidTr="00F24095">
        <w:trPr>
          <w:trHeight w:val="960"/>
          <w:jc w:val="center"/>
        </w:trPr>
        <w:tc>
          <w:tcPr>
            <w:tcW w:w="1129" w:type="dxa"/>
            <w:tcBorders>
              <w:top w:val="nil"/>
              <w:left w:val="single" w:sz="8" w:space="0" w:color="auto"/>
              <w:bottom w:val="nil"/>
              <w:right w:val="double" w:sz="6"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F</w:t>
            </w:r>
          </w:p>
        </w:tc>
        <w:tc>
          <w:tcPr>
            <w:tcW w:w="611" w:type="dxa"/>
            <w:tcBorders>
              <w:top w:val="nil"/>
              <w:left w:val="nil"/>
              <w:bottom w:val="nil"/>
              <w:right w:val="single" w:sz="4" w:space="0" w:color="auto"/>
            </w:tcBorders>
            <w:shd w:val="clear" w:color="auto" w:fill="auto"/>
            <w:noWrap/>
            <w:vAlign w:val="center"/>
            <w:hideMark/>
          </w:tcPr>
          <w:p w:rsidR="0075048C" w:rsidRPr="0075048C" w:rsidRDefault="0075048C" w:rsidP="0075048C">
            <w:pPr>
              <w:spacing w:after="0"/>
              <w:jc w:val="center"/>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N/A</w:t>
            </w:r>
          </w:p>
        </w:tc>
        <w:tc>
          <w:tcPr>
            <w:tcW w:w="1202" w:type="dxa"/>
            <w:tcBorders>
              <w:top w:val="nil"/>
              <w:left w:val="nil"/>
              <w:bottom w:val="nil"/>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p>
        </w:tc>
        <w:tc>
          <w:tcPr>
            <w:tcW w:w="1202" w:type="dxa"/>
            <w:tcBorders>
              <w:top w:val="nil"/>
              <w:left w:val="nil"/>
              <w:bottom w:val="nil"/>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r w:rsidRPr="0075048C">
              <w:rPr>
                <w:rFonts w:ascii="Calibri" w:eastAsia="Times New Roman" w:hAnsi="Calibri"/>
                <w:color w:val="000000"/>
                <w:sz w:val="18"/>
                <w:szCs w:val="18"/>
                <w:lang w:val="en-US" w:eastAsia="zh-CN"/>
              </w:rPr>
              <w:br/>
              <w:t>SPDT</w:t>
            </w:r>
          </w:p>
        </w:tc>
        <w:tc>
          <w:tcPr>
            <w:tcW w:w="1202" w:type="dxa"/>
            <w:tcBorders>
              <w:top w:val="nil"/>
              <w:left w:val="nil"/>
              <w:bottom w:val="nil"/>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r w:rsidRPr="0075048C">
              <w:rPr>
                <w:rFonts w:ascii="Calibri" w:eastAsia="Times New Roman" w:hAnsi="Calibri"/>
                <w:color w:val="000000"/>
                <w:sz w:val="18"/>
                <w:szCs w:val="18"/>
                <w:lang w:val="en-US" w:eastAsia="zh-CN"/>
              </w:rPr>
              <w:br/>
              <w:t>SPDT</w:t>
            </w:r>
          </w:p>
        </w:tc>
        <w:tc>
          <w:tcPr>
            <w:tcW w:w="1040" w:type="dxa"/>
            <w:tcBorders>
              <w:top w:val="nil"/>
              <w:left w:val="nil"/>
              <w:bottom w:val="nil"/>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r w:rsidRPr="0075048C">
              <w:rPr>
                <w:rFonts w:ascii="Calibri" w:eastAsia="Times New Roman" w:hAnsi="Calibri"/>
                <w:color w:val="000000"/>
                <w:sz w:val="18"/>
                <w:szCs w:val="18"/>
                <w:lang w:val="en-US" w:eastAsia="zh-CN"/>
              </w:rPr>
              <w:br/>
              <w:t>SPDT+</w:t>
            </w:r>
            <w:r w:rsidRPr="0075048C">
              <w:rPr>
                <w:rFonts w:ascii="Calibri" w:eastAsia="Times New Roman" w:hAnsi="Calibri"/>
                <w:color w:val="000000"/>
                <w:sz w:val="18"/>
                <w:szCs w:val="18"/>
                <w:lang w:val="en-US" w:eastAsia="zh-CN"/>
              </w:rPr>
              <w:br/>
              <w:t>SPDT</w:t>
            </w:r>
          </w:p>
        </w:tc>
        <w:tc>
          <w:tcPr>
            <w:tcW w:w="1040" w:type="dxa"/>
            <w:tcBorders>
              <w:top w:val="nil"/>
              <w:left w:val="nil"/>
              <w:bottom w:val="nil"/>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p>
        </w:tc>
        <w:tc>
          <w:tcPr>
            <w:tcW w:w="1040" w:type="dxa"/>
            <w:tcBorders>
              <w:top w:val="nil"/>
              <w:left w:val="nil"/>
              <w:bottom w:val="nil"/>
              <w:right w:val="single" w:sz="4"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r w:rsidRPr="0075048C">
              <w:rPr>
                <w:rFonts w:ascii="Calibri" w:eastAsia="Times New Roman" w:hAnsi="Calibri"/>
                <w:color w:val="000000"/>
                <w:sz w:val="18"/>
                <w:szCs w:val="18"/>
                <w:lang w:val="en-US" w:eastAsia="zh-CN"/>
              </w:rPr>
              <w:br/>
              <w:t>SPDT</w:t>
            </w:r>
          </w:p>
        </w:tc>
        <w:tc>
          <w:tcPr>
            <w:tcW w:w="1040" w:type="dxa"/>
            <w:tcBorders>
              <w:top w:val="nil"/>
              <w:left w:val="nil"/>
              <w:bottom w:val="single" w:sz="4" w:space="0" w:color="auto"/>
              <w:right w:val="single" w:sz="8" w:space="0" w:color="auto"/>
            </w:tcBorders>
            <w:shd w:val="clear" w:color="auto" w:fill="auto"/>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Diplexer+</w:t>
            </w:r>
            <w:r w:rsidRPr="0075048C">
              <w:rPr>
                <w:rFonts w:ascii="Calibri" w:eastAsia="Times New Roman" w:hAnsi="Calibri"/>
                <w:color w:val="000000"/>
                <w:sz w:val="18"/>
                <w:szCs w:val="18"/>
                <w:lang w:val="en-US" w:eastAsia="zh-CN"/>
              </w:rPr>
              <w:br/>
              <w:t>(Tri-Dup)+</w:t>
            </w:r>
            <w:r w:rsidRPr="0075048C">
              <w:rPr>
                <w:rFonts w:ascii="Calibri" w:eastAsia="Times New Roman" w:hAnsi="Calibri"/>
                <w:color w:val="000000"/>
                <w:sz w:val="18"/>
                <w:szCs w:val="18"/>
                <w:lang w:val="en-US" w:eastAsia="zh-CN"/>
              </w:rPr>
              <w:br/>
              <w:t>SPDT</w:t>
            </w:r>
          </w:p>
        </w:tc>
      </w:tr>
      <w:tr w:rsidR="0075048C" w:rsidRPr="0075048C" w:rsidTr="00F24095">
        <w:trPr>
          <w:trHeight w:val="384"/>
          <w:jc w:val="center"/>
        </w:trPr>
        <w:tc>
          <w:tcPr>
            <w:tcW w:w="9506" w:type="dxa"/>
            <w:gridSpan w:val="9"/>
            <w:tcBorders>
              <w:top w:val="single" w:sz="4" w:space="0" w:color="auto"/>
              <w:left w:val="single" w:sz="8" w:space="0" w:color="auto"/>
              <w:bottom w:val="single" w:sz="8" w:space="0" w:color="auto"/>
              <w:right w:val="single" w:sz="8" w:space="0" w:color="000000"/>
            </w:tcBorders>
            <w:shd w:val="clear" w:color="auto" w:fill="auto"/>
            <w:noWrap/>
            <w:vAlign w:val="center"/>
            <w:hideMark/>
          </w:tcPr>
          <w:p w:rsidR="0075048C" w:rsidRPr="0075048C" w:rsidRDefault="0075048C" w:rsidP="0075048C">
            <w:pPr>
              <w:spacing w:after="0"/>
              <w:rPr>
                <w:rFonts w:ascii="Calibri" w:eastAsia="Times New Roman" w:hAnsi="Calibri"/>
                <w:color w:val="000000"/>
                <w:sz w:val="18"/>
                <w:szCs w:val="18"/>
                <w:lang w:val="en-US" w:eastAsia="zh-CN"/>
              </w:rPr>
            </w:pPr>
            <w:r w:rsidRPr="0075048C">
              <w:rPr>
                <w:rFonts w:ascii="Calibri" w:eastAsia="Times New Roman" w:hAnsi="Calibri"/>
                <w:color w:val="000000"/>
                <w:sz w:val="18"/>
                <w:szCs w:val="18"/>
                <w:lang w:val="en-US" w:eastAsia="zh-CN"/>
              </w:rPr>
              <w:t>Note: (Tri-Dup) is the insertion loss difference between triplexer and single-band duplexer.</w:t>
            </w:r>
          </w:p>
        </w:tc>
      </w:tr>
    </w:tbl>
    <w:p w:rsidR="00F24095" w:rsidRDefault="00F24095" w:rsidP="00F24095">
      <w:pPr>
        <w:spacing w:after="0"/>
        <w:jc w:val="center"/>
        <w:rPr>
          <w:rFonts w:ascii="Arial" w:hAnsi="Arial" w:cs="Arial"/>
          <w:b/>
        </w:rPr>
      </w:pPr>
    </w:p>
    <w:p w:rsidR="001C2ADB" w:rsidRPr="00F24095" w:rsidRDefault="00F24095" w:rsidP="00F24095">
      <w:pPr>
        <w:spacing w:after="120"/>
        <w:jc w:val="center"/>
        <w:rPr>
          <w:rFonts w:ascii="Arial" w:hAnsi="Arial" w:cs="Arial"/>
          <w:b/>
          <w:lang w:eastAsia="ja-JP"/>
        </w:rPr>
      </w:pPr>
      <w:r>
        <w:rPr>
          <w:rFonts w:ascii="Arial" w:hAnsi="Arial" w:cs="Arial"/>
          <w:b/>
        </w:rPr>
        <w:t xml:space="preserve">Table 2-1 Summary of additional insertion losses for six potential CA_B8_B26 </w:t>
      </w:r>
      <w:r w:rsidR="00596865">
        <w:rPr>
          <w:rFonts w:ascii="Arial" w:hAnsi="Arial" w:cs="Arial"/>
          <w:b/>
        </w:rPr>
        <w:t>front-end</w:t>
      </w:r>
      <w:r>
        <w:rPr>
          <w:rFonts w:ascii="Arial" w:hAnsi="Arial" w:cs="Arial"/>
          <w:b/>
        </w:rPr>
        <w:t xml:space="preserve"> architectures  </w:t>
      </w:r>
    </w:p>
    <w:p w:rsidR="00344BF4" w:rsidRDefault="00344BF4" w:rsidP="00344BF4">
      <w:pPr>
        <w:spacing w:after="0"/>
        <w:jc w:val="both"/>
        <w:rPr>
          <w:rFonts w:ascii="Arial" w:hAnsi="Arial" w:cs="Arial"/>
          <w:lang w:eastAsia="ja-JP"/>
        </w:rPr>
      </w:pPr>
    </w:p>
    <w:p w:rsidR="00F14520" w:rsidRPr="007408EB" w:rsidRDefault="00F14520" w:rsidP="00F14520">
      <w:pPr>
        <w:pStyle w:val="Heading2"/>
        <w:rPr>
          <w:rFonts w:cs="Arial"/>
        </w:rPr>
      </w:pPr>
      <w:r w:rsidRPr="007408EB">
        <w:rPr>
          <w:rFonts w:cs="Arial"/>
        </w:rPr>
        <w:t>3</w:t>
      </w:r>
      <w:r w:rsidRPr="007408EB">
        <w:rPr>
          <w:rFonts w:cs="Arial"/>
        </w:rPr>
        <w:tab/>
        <w:t>Conclusion</w:t>
      </w:r>
    </w:p>
    <w:p w:rsidR="001F74A5" w:rsidRPr="00E846ED" w:rsidRDefault="00F14520" w:rsidP="00F24095">
      <w:pPr>
        <w:spacing w:after="120"/>
        <w:jc w:val="both"/>
        <w:rPr>
          <w:lang w:eastAsia="ja-JP"/>
        </w:rPr>
      </w:pPr>
      <w:r>
        <w:rPr>
          <w:rFonts w:ascii="Arial" w:hAnsi="Arial" w:cs="Arial"/>
          <w:lang w:eastAsia="ja-JP"/>
        </w:rPr>
        <w:t xml:space="preserve">In this </w:t>
      </w:r>
      <w:r w:rsidR="00F24095">
        <w:rPr>
          <w:rFonts w:ascii="Arial" w:hAnsi="Arial" w:cs="Arial"/>
          <w:lang w:eastAsia="ja-JP"/>
        </w:rPr>
        <w:t xml:space="preserve">contribution, we have derived six potential UE </w:t>
      </w:r>
      <w:r w:rsidR="00596865">
        <w:rPr>
          <w:rFonts w:ascii="Arial" w:hAnsi="Arial" w:cs="Arial"/>
          <w:lang w:eastAsia="ja-JP"/>
        </w:rPr>
        <w:t>front-end</w:t>
      </w:r>
      <w:r w:rsidR="00F24095">
        <w:rPr>
          <w:rFonts w:ascii="Arial" w:hAnsi="Arial" w:cs="Arial"/>
          <w:lang w:eastAsia="ja-JP"/>
        </w:rPr>
        <w:t xml:space="preserve"> architectures for CA_B8_B26 </w:t>
      </w:r>
      <w:r w:rsidR="00596865">
        <w:rPr>
          <w:rFonts w:ascii="Arial" w:hAnsi="Arial" w:cs="Arial"/>
          <w:lang w:eastAsia="ja-JP"/>
        </w:rPr>
        <w:t xml:space="preserve">and summarized the additional insertion losses </w:t>
      </w:r>
      <w:r w:rsidR="0028245E">
        <w:rPr>
          <w:rFonts w:ascii="Arial" w:hAnsi="Arial" w:cs="Arial"/>
          <w:lang w:eastAsia="ja-JP"/>
        </w:rPr>
        <w:t>expected to incur</w:t>
      </w:r>
      <w:r w:rsidR="00596865">
        <w:rPr>
          <w:rFonts w:ascii="Arial" w:hAnsi="Arial" w:cs="Arial"/>
          <w:lang w:eastAsia="ja-JP"/>
        </w:rPr>
        <w:t xml:space="preserve"> </w:t>
      </w:r>
      <w:r w:rsidR="0028245E">
        <w:rPr>
          <w:rFonts w:ascii="Arial" w:hAnsi="Arial" w:cs="Arial"/>
          <w:lang w:eastAsia="ja-JP"/>
        </w:rPr>
        <w:t>in</w:t>
      </w:r>
      <w:r w:rsidR="00596865">
        <w:rPr>
          <w:rFonts w:ascii="Arial" w:hAnsi="Arial" w:cs="Arial"/>
          <w:lang w:eastAsia="ja-JP"/>
        </w:rPr>
        <w:t xml:space="preserve"> each architecture for</w:t>
      </w:r>
      <w:r w:rsidR="00A63ACE">
        <w:rPr>
          <w:rFonts w:ascii="Arial" w:hAnsi="Arial" w:cs="Arial"/>
          <w:lang w:eastAsia="ja-JP"/>
        </w:rPr>
        <w:t xml:space="preserve"> future reference.</w:t>
      </w:r>
      <w:r w:rsidR="00596865">
        <w:rPr>
          <w:rFonts w:ascii="Arial" w:hAnsi="Arial" w:cs="Arial"/>
          <w:lang w:eastAsia="ja-JP"/>
        </w:rPr>
        <w:t xml:space="preserve"> </w:t>
      </w:r>
    </w:p>
    <w:p w:rsidR="00E846ED" w:rsidRDefault="00E846ED" w:rsidP="00344BF4">
      <w:pPr>
        <w:spacing w:after="0"/>
        <w:jc w:val="both"/>
        <w:rPr>
          <w:rFonts w:ascii="Arial" w:hAnsi="Arial" w:cs="Arial"/>
          <w:lang w:eastAsia="ja-JP"/>
        </w:rPr>
      </w:pPr>
    </w:p>
    <w:p w:rsidR="009C5363" w:rsidRPr="007408EB" w:rsidRDefault="009C5363" w:rsidP="009C5363">
      <w:pPr>
        <w:pStyle w:val="Heading2"/>
        <w:rPr>
          <w:rFonts w:cs="Arial"/>
        </w:rPr>
      </w:pPr>
      <w:r w:rsidRPr="007408EB">
        <w:rPr>
          <w:rFonts w:cs="Arial"/>
        </w:rPr>
        <w:t>4</w:t>
      </w:r>
      <w:r w:rsidRPr="007408EB">
        <w:rPr>
          <w:rFonts w:cs="Arial"/>
        </w:rPr>
        <w:tab/>
        <w:t>References</w:t>
      </w:r>
    </w:p>
    <w:p w:rsidR="00E84D30" w:rsidRDefault="00A63ACE" w:rsidP="009C5363">
      <w:pPr>
        <w:pStyle w:val="B1"/>
        <w:numPr>
          <w:ilvl w:val="0"/>
          <w:numId w:val="1"/>
        </w:numPr>
        <w:jc w:val="both"/>
        <w:rPr>
          <w:rFonts w:ascii="Arial" w:hAnsi="Arial" w:cs="Arial"/>
          <w:lang w:eastAsia="ja-JP"/>
        </w:rPr>
      </w:pPr>
      <w:r w:rsidRPr="00A63ACE">
        <w:rPr>
          <w:rFonts w:ascii="Arial" w:hAnsi="Arial" w:cs="Arial"/>
          <w:lang w:eastAsia="ja-JP"/>
        </w:rPr>
        <w:t>RP-130201, “Work Item Proposal: LTE Advanced inter-band Carrier Aggrega</w:t>
      </w:r>
      <w:r>
        <w:rPr>
          <w:rFonts w:ascii="Arial" w:hAnsi="Arial" w:cs="Arial"/>
          <w:lang w:eastAsia="ja-JP"/>
        </w:rPr>
        <w:t>tion of Band 8 and Band 26”, KT, 3GPPRAN</w:t>
      </w:r>
      <w:r w:rsidRPr="00A63ACE">
        <w:rPr>
          <w:rFonts w:ascii="Arial" w:hAnsi="Arial" w:cs="Arial"/>
          <w:lang w:eastAsia="ja-JP"/>
        </w:rPr>
        <w:t>#59</w:t>
      </w:r>
      <w:r>
        <w:rPr>
          <w:rFonts w:ascii="Arial" w:hAnsi="Arial" w:cs="Arial"/>
          <w:lang w:eastAsia="ja-JP"/>
        </w:rPr>
        <w:t>, Vienna, Austria, Feb. 26</w:t>
      </w:r>
      <w:r w:rsidRPr="00A63ACE">
        <w:rPr>
          <w:rFonts w:ascii="Arial" w:hAnsi="Arial" w:cs="Arial"/>
          <w:vertAlign w:val="superscript"/>
          <w:lang w:eastAsia="ja-JP"/>
        </w:rPr>
        <w:t>th</w:t>
      </w:r>
      <w:r>
        <w:rPr>
          <w:rFonts w:ascii="Arial" w:hAnsi="Arial" w:cs="Arial"/>
          <w:lang w:eastAsia="ja-JP"/>
        </w:rPr>
        <w:t xml:space="preserve"> – March 1</w:t>
      </w:r>
      <w:r w:rsidRPr="00A63ACE">
        <w:rPr>
          <w:rFonts w:ascii="Arial" w:hAnsi="Arial" w:cs="Arial"/>
          <w:vertAlign w:val="superscript"/>
          <w:lang w:eastAsia="ja-JP"/>
        </w:rPr>
        <w:t>st</w:t>
      </w:r>
      <w:r>
        <w:rPr>
          <w:rFonts w:ascii="Arial" w:hAnsi="Arial" w:cs="Arial"/>
          <w:lang w:eastAsia="ja-JP"/>
        </w:rPr>
        <w:t>, 2013</w:t>
      </w:r>
    </w:p>
    <w:p w:rsidR="007A2916" w:rsidRDefault="000041E0" w:rsidP="009C5363">
      <w:pPr>
        <w:pStyle w:val="B1"/>
        <w:numPr>
          <w:ilvl w:val="0"/>
          <w:numId w:val="1"/>
        </w:numPr>
        <w:jc w:val="both"/>
        <w:rPr>
          <w:rFonts w:ascii="Arial" w:hAnsi="Arial" w:cs="Arial"/>
          <w:lang w:eastAsia="ja-JP"/>
        </w:rPr>
      </w:pPr>
      <w:r w:rsidRPr="000041E0">
        <w:rPr>
          <w:rFonts w:ascii="Arial" w:hAnsi="Arial" w:cs="Arial"/>
          <w:lang w:eastAsia="ja-JP"/>
        </w:rPr>
        <w:t>R4-13</w:t>
      </w:r>
      <w:r w:rsidR="0028245E">
        <w:rPr>
          <w:rFonts w:ascii="Arial" w:hAnsi="Arial" w:cs="Arial"/>
          <w:lang w:eastAsia="ja-JP"/>
        </w:rPr>
        <w:t>3156</w:t>
      </w:r>
      <w:r w:rsidR="007A2916">
        <w:rPr>
          <w:rFonts w:ascii="Arial" w:hAnsi="Arial" w:cs="Arial"/>
          <w:lang w:eastAsia="ja-JP"/>
        </w:rPr>
        <w:t>, “</w:t>
      </w:r>
      <w:r w:rsidR="0028245E" w:rsidRPr="0028245E">
        <w:rPr>
          <w:rFonts w:ascii="Arial" w:hAnsi="Arial" w:cs="Arial"/>
          <w:lang w:eastAsia="ja-JP"/>
        </w:rPr>
        <w:t>Insertion Loss for LTE Advanced Inter-Band Carrier Aggregation of Band 8 and Band 26</w:t>
      </w:r>
      <w:r w:rsidR="007A2916">
        <w:rPr>
          <w:rFonts w:ascii="Arial" w:hAnsi="Arial" w:cs="Arial"/>
          <w:lang w:eastAsia="ja-JP"/>
        </w:rPr>
        <w:t xml:space="preserve">” </w:t>
      </w:r>
      <w:r w:rsidR="0028245E">
        <w:rPr>
          <w:rFonts w:ascii="Arial" w:hAnsi="Arial" w:cs="Arial"/>
          <w:lang w:eastAsia="ja-JP"/>
        </w:rPr>
        <w:t>KT</w:t>
      </w:r>
      <w:r w:rsidR="007A2916">
        <w:rPr>
          <w:rFonts w:ascii="Arial" w:hAnsi="Arial" w:cs="Arial"/>
          <w:lang w:eastAsia="ja-JP"/>
        </w:rPr>
        <w:t xml:space="preserve">, </w:t>
      </w:r>
      <w:r w:rsidR="007A2916" w:rsidRPr="0095765D">
        <w:rPr>
          <w:rFonts w:ascii="Arial" w:hAnsi="Arial" w:cs="Arial"/>
          <w:lang w:eastAsia="ja-JP"/>
        </w:rPr>
        <w:t xml:space="preserve">TSG-RAN WG4 Meeting </w:t>
      </w:r>
      <w:r w:rsidR="007A2916">
        <w:rPr>
          <w:rFonts w:ascii="Arial" w:hAnsi="Arial" w:cs="Arial"/>
          <w:lang w:eastAsia="ja-JP"/>
        </w:rPr>
        <w:t>#6</w:t>
      </w:r>
      <w:r>
        <w:rPr>
          <w:rFonts w:ascii="Arial" w:hAnsi="Arial" w:cs="Arial"/>
          <w:lang w:eastAsia="ja-JP"/>
        </w:rPr>
        <w:t>8</w:t>
      </w:r>
      <w:r w:rsidR="007A2916">
        <w:rPr>
          <w:rFonts w:ascii="Arial" w:hAnsi="Arial" w:cs="Arial"/>
          <w:lang w:eastAsia="ja-JP"/>
        </w:rPr>
        <w:t xml:space="preserve">, </w:t>
      </w:r>
      <w:r>
        <w:rPr>
          <w:rFonts w:ascii="Arial" w:hAnsi="Arial" w:cs="Arial"/>
          <w:lang w:eastAsia="ja-JP"/>
        </w:rPr>
        <w:t>Barcelona</w:t>
      </w:r>
      <w:r w:rsidR="007A2916">
        <w:rPr>
          <w:rFonts w:ascii="Arial" w:hAnsi="Arial" w:cs="Arial"/>
          <w:lang w:eastAsia="ja-JP"/>
        </w:rPr>
        <w:t xml:space="preserve">, </w:t>
      </w:r>
      <w:r>
        <w:rPr>
          <w:rFonts w:ascii="Arial" w:hAnsi="Arial" w:cs="Arial"/>
          <w:lang w:eastAsia="ja-JP"/>
        </w:rPr>
        <w:t>Spain</w:t>
      </w:r>
      <w:r w:rsidR="007A2916">
        <w:rPr>
          <w:rFonts w:ascii="Arial" w:hAnsi="Arial" w:cs="Arial"/>
          <w:lang w:eastAsia="ja-JP"/>
        </w:rPr>
        <w:t xml:space="preserve">, </w:t>
      </w:r>
      <w:r>
        <w:rPr>
          <w:rFonts w:ascii="Arial" w:hAnsi="Arial" w:cs="Arial"/>
          <w:lang w:eastAsia="ja-JP"/>
        </w:rPr>
        <w:t>August</w:t>
      </w:r>
      <w:r w:rsidR="007A2916">
        <w:rPr>
          <w:rFonts w:ascii="Arial" w:hAnsi="Arial" w:cs="Arial"/>
          <w:lang w:eastAsia="ja-JP"/>
        </w:rPr>
        <w:t xml:space="preserve"> 1</w:t>
      </w:r>
      <w:r>
        <w:rPr>
          <w:rFonts w:ascii="Arial" w:hAnsi="Arial" w:cs="Arial"/>
          <w:lang w:eastAsia="ja-JP"/>
        </w:rPr>
        <w:t>9</w:t>
      </w:r>
      <w:r w:rsidR="007A2916" w:rsidRPr="0095765D">
        <w:rPr>
          <w:rFonts w:ascii="Arial" w:hAnsi="Arial" w:cs="Arial"/>
          <w:vertAlign w:val="superscript"/>
          <w:lang w:eastAsia="ja-JP"/>
        </w:rPr>
        <w:t>th</w:t>
      </w:r>
      <w:r w:rsidR="007A2916">
        <w:rPr>
          <w:rFonts w:ascii="Arial" w:hAnsi="Arial" w:cs="Arial"/>
          <w:lang w:eastAsia="ja-JP"/>
        </w:rPr>
        <w:t xml:space="preserve"> – </w:t>
      </w:r>
      <w:r>
        <w:rPr>
          <w:rFonts w:ascii="Arial" w:hAnsi="Arial" w:cs="Arial"/>
          <w:lang w:eastAsia="ja-JP"/>
        </w:rPr>
        <w:t>23</w:t>
      </w:r>
      <w:r w:rsidRPr="000041E0">
        <w:rPr>
          <w:rFonts w:ascii="Arial" w:hAnsi="Arial" w:cs="Arial"/>
          <w:vertAlign w:val="superscript"/>
          <w:lang w:eastAsia="ja-JP"/>
        </w:rPr>
        <w:t>rd</w:t>
      </w:r>
      <w:r w:rsidR="007A2916" w:rsidRPr="0095765D">
        <w:rPr>
          <w:rFonts w:ascii="Arial" w:hAnsi="Arial" w:cs="Arial"/>
          <w:lang w:eastAsia="ja-JP"/>
        </w:rPr>
        <w:t>, 2013</w:t>
      </w:r>
    </w:p>
    <w:p w:rsidR="009F1646" w:rsidRDefault="00B75EF5" w:rsidP="009C5363">
      <w:pPr>
        <w:pStyle w:val="B1"/>
        <w:numPr>
          <w:ilvl w:val="0"/>
          <w:numId w:val="1"/>
        </w:numPr>
        <w:jc w:val="both"/>
        <w:rPr>
          <w:rFonts w:ascii="Arial" w:hAnsi="Arial" w:cs="Arial"/>
          <w:lang w:eastAsia="ja-JP"/>
        </w:rPr>
      </w:pPr>
      <w:r>
        <w:rPr>
          <w:rFonts w:ascii="Arial" w:hAnsi="Arial" w:cs="Arial"/>
          <w:lang w:eastAsia="ja-JP"/>
        </w:rPr>
        <w:t xml:space="preserve">“RAN4 #68 Meeting Report”, </w:t>
      </w:r>
      <w:r w:rsidRPr="00CB6A25">
        <w:rPr>
          <w:rFonts w:ascii="Arial" w:hAnsi="Arial" w:cs="Arial"/>
          <w:lang w:eastAsia="ja-JP"/>
        </w:rPr>
        <w:t>TSG-RAN WG4 Meeting #68, Barcelona, Spain, August 19</w:t>
      </w:r>
      <w:r w:rsidRPr="00CB6A25">
        <w:rPr>
          <w:rFonts w:ascii="Arial" w:hAnsi="Arial" w:cs="Arial"/>
          <w:vertAlign w:val="superscript"/>
          <w:lang w:eastAsia="ja-JP"/>
        </w:rPr>
        <w:t>th</w:t>
      </w:r>
      <w:r w:rsidRPr="00CB6A25">
        <w:rPr>
          <w:rFonts w:ascii="Arial" w:hAnsi="Arial" w:cs="Arial"/>
          <w:lang w:eastAsia="ja-JP"/>
        </w:rPr>
        <w:t xml:space="preserve"> – 23</w:t>
      </w:r>
      <w:r w:rsidRPr="00CB6A25">
        <w:rPr>
          <w:rFonts w:ascii="Arial" w:hAnsi="Arial" w:cs="Arial"/>
          <w:vertAlign w:val="superscript"/>
          <w:lang w:eastAsia="ja-JP"/>
        </w:rPr>
        <w:t>rd</w:t>
      </w:r>
      <w:r w:rsidRPr="00CB6A25">
        <w:rPr>
          <w:rFonts w:ascii="Arial" w:hAnsi="Arial" w:cs="Arial"/>
          <w:lang w:eastAsia="ja-JP"/>
        </w:rPr>
        <w:t>, 2013</w:t>
      </w:r>
    </w:p>
    <w:p w:rsidR="009C5363" w:rsidRPr="00AD024F" w:rsidRDefault="009C5363" w:rsidP="00657E86">
      <w:pPr>
        <w:pStyle w:val="B1"/>
        <w:ind w:left="0" w:firstLine="0"/>
        <w:jc w:val="both"/>
        <w:rPr>
          <w:rFonts w:ascii="Arial" w:hAnsi="Arial" w:cs="Arial"/>
          <w:lang w:eastAsia="ja-JP"/>
        </w:rPr>
      </w:pPr>
    </w:p>
    <w:sectPr w:rsidR="009C5363" w:rsidRPr="00AD024F"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0FA" w:rsidRDefault="00CB20FA">
      <w:r>
        <w:separator/>
      </w:r>
    </w:p>
  </w:endnote>
  <w:endnote w:type="continuationSeparator" w:id="0">
    <w:p w:rsidR="00CB20FA" w:rsidRDefault="00CB20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0FA" w:rsidRDefault="00CB20FA">
      <w:r>
        <w:separator/>
      </w:r>
    </w:p>
  </w:footnote>
  <w:footnote w:type="continuationSeparator" w:id="0">
    <w:p w:rsidR="00CB20FA" w:rsidRDefault="00CB20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6">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2">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3">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24"/>
  </w:num>
  <w:num w:numId="3">
    <w:abstractNumId w:val="12"/>
  </w:num>
  <w:num w:numId="4">
    <w:abstractNumId w:val="15"/>
  </w:num>
  <w:num w:numId="5">
    <w:abstractNumId w:val="10"/>
  </w:num>
  <w:num w:numId="6">
    <w:abstractNumId w:val="22"/>
  </w:num>
  <w:num w:numId="7">
    <w:abstractNumId w:val="16"/>
  </w:num>
  <w:num w:numId="8">
    <w:abstractNumId w:val="2"/>
  </w:num>
  <w:num w:numId="9">
    <w:abstractNumId w:val="8"/>
  </w:num>
  <w:num w:numId="10">
    <w:abstractNumId w:val="18"/>
  </w:num>
  <w:num w:numId="11">
    <w:abstractNumId w:val="20"/>
  </w:num>
  <w:num w:numId="12">
    <w:abstractNumId w:val="4"/>
  </w:num>
  <w:num w:numId="13">
    <w:abstractNumId w:val="21"/>
  </w:num>
  <w:num w:numId="14">
    <w:abstractNumId w:val="0"/>
  </w:num>
  <w:num w:numId="15">
    <w:abstractNumId w:val="3"/>
  </w:num>
  <w:num w:numId="16">
    <w:abstractNumId w:val="11"/>
  </w:num>
  <w:num w:numId="17">
    <w:abstractNumId w:val="5"/>
  </w:num>
  <w:num w:numId="18">
    <w:abstractNumId w:val="13"/>
  </w:num>
  <w:num w:numId="19">
    <w:abstractNumId w:val="1"/>
  </w:num>
  <w:num w:numId="20">
    <w:abstractNumId w:val="6"/>
  </w:num>
  <w:num w:numId="21">
    <w:abstractNumId w:val="23"/>
  </w:num>
  <w:num w:numId="22">
    <w:abstractNumId w:val="14"/>
  </w:num>
  <w:num w:numId="23">
    <w:abstractNumId w:val="17"/>
  </w:num>
  <w:num w:numId="24">
    <w:abstractNumId w:val="7"/>
  </w:num>
  <w:num w:numId="2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840"/>
  <w:drawingGridHorizontalSpacing w:val="187"/>
  <w:drawingGridVerticalSpacing w:val="187"/>
  <w:displayHorizontalDrawingGridEvery w:val="0"/>
  <w:displayVerticalDrawingGridEvery w:val="2"/>
  <w:characterSpacingControl w:val="compressPunctuation"/>
  <w:hdrShapeDefaults>
    <o:shapedefaults v:ext="edit" spidmax="5017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7D1"/>
    <w:rsid w:val="00000015"/>
    <w:rsid w:val="00001374"/>
    <w:rsid w:val="00003417"/>
    <w:rsid w:val="0000374D"/>
    <w:rsid w:val="000041E0"/>
    <w:rsid w:val="000043F8"/>
    <w:rsid w:val="00004BFD"/>
    <w:rsid w:val="00004F47"/>
    <w:rsid w:val="00006B6C"/>
    <w:rsid w:val="0000797A"/>
    <w:rsid w:val="00010B90"/>
    <w:rsid w:val="00013230"/>
    <w:rsid w:val="00014615"/>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954"/>
    <w:rsid w:val="00036A01"/>
    <w:rsid w:val="00036DF7"/>
    <w:rsid w:val="0003776F"/>
    <w:rsid w:val="00037B2C"/>
    <w:rsid w:val="000400DE"/>
    <w:rsid w:val="00040E69"/>
    <w:rsid w:val="000412C3"/>
    <w:rsid w:val="00041AA7"/>
    <w:rsid w:val="00042183"/>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66FE"/>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57DE"/>
    <w:rsid w:val="00075ADC"/>
    <w:rsid w:val="00076349"/>
    <w:rsid w:val="00076423"/>
    <w:rsid w:val="000765BD"/>
    <w:rsid w:val="00076791"/>
    <w:rsid w:val="0007684A"/>
    <w:rsid w:val="00077334"/>
    <w:rsid w:val="00077783"/>
    <w:rsid w:val="000813C0"/>
    <w:rsid w:val="00082359"/>
    <w:rsid w:val="00082B31"/>
    <w:rsid w:val="00083AC5"/>
    <w:rsid w:val="000842C6"/>
    <w:rsid w:val="00084A5C"/>
    <w:rsid w:val="00084E8B"/>
    <w:rsid w:val="0008512E"/>
    <w:rsid w:val="000854BB"/>
    <w:rsid w:val="0008573F"/>
    <w:rsid w:val="00085832"/>
    <w:rsid w:val="00085A3A"/>
    <w:rsid w:val="000861FB"/>
    <w:rsid w:val="0008720F"/>
    <w:rsid w:val="000873BD"/>
    <w:rsid w:val="00090E45"/>
    <w:rsid w:val="000924E0"/>
    <w:rsid w:val="000932B9"/>
    <w:rsid w:val="00093A84"/>
    <w:rsid w:val="00093FE8"/>
    <w:rsid w:val="00094B1B"/>
    <w:rsid w:val="00095342"/>
    <w:rsid w:val="00095FD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50A5"/>
    <w:rsid w:val="000A52EA"/>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3C10"/>
    <w:rsid w:val="000D4FC7"/>
    <w:rsid w:val="000D50BD"/>
    <w:rsid w:val="000D5335"/>
    <w:rsid w:val="000D60AB"/>
    <w:rsid w:val="000D64D4"/>
    <w:rsid w:val="000D69A3"/>
    <w:rsid w:val="000E0F31"/>
    <w:rsid w:val="000E1714"/>
    <w:rsid w:val="000E1E5A"/>
    <w:rsid w:val="000E23DC"/>
    <w:rsid w:val="000E286A"/>
    <w:rsid w:val="000E29A1"/>
    <w:rsid w:val="000E3728"/>
    <w:rsid w:val="000E4B99"/>
    <w:rsid w:val="000E4D27"/>
    <w:rsid w:val="000E4EC8"/>
    <w:rsid w:val="000E50AC"/>
    <w:rsid w:val="000E535E"/>
    <w:rsid w:val="000E539A"/>
    <w:rsid w:val="000E7ED4"/>
    <w:rsid w:val="000E7F53"/>
    <w:rsid w:val="000F0DFF"/>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02E"/>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D4F"/>
    <w:rsid w:val="00124277"/>
    <w:rsid w:val="00124C45"/>
    <w:rsid w:val="001250CF"/>
    <w:rsid w:val="0012533B"/>
    <w:rsid w:val="001256EA"/>
    <w:rsid w:val="00125B4D"/>
    <w:rsid w:val="00125C6D"/>
    <w:rsid w:val="00125D38"/>
    <w:rsid w:val="00126284"/>
    <w:rsid w:val="0012698F"/>
    <w:rsid w:val="00126FC3"/>
    <w:rsid w:val="00127120"/>
    <w:rsid w:val="0012736C"/>
    <w:rsid w:val="001302B5"/>
    <w:rsid w:val="001317FC"/>
    <w:rsid w:val="001320DF"/>
    <w:rsid w:val="0013277F"/>
    <w:rsid w:val="00134CBC"/>
    <w:rsid w:val="0013517C"/>
    <w:rsid w:val="00135D3C"/>
    <w:rsid w:val="00137A47"/>
    <w:rsid w:val="00140807"/>
    <w:rsid w:val="00140A17"/>
    <w:rsid w:val="0014190B"/>
    <w:rsid w:val="00144D51"/>
    <w:rsid w:val="00145D31"/>
    <w:rsid w:val="00147DD8"/>
    <w:rsid w:val="00150373"/>
    <w:rsid w:val="001523A7"/>
    <w:rsid w:val="00152D10"/>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17C"/>
    <w:rsid w:val="00181E89"/>
    <w:rsid w:val="00181E8C"/>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5E13"/>
    <w:rsid w:val="001B2374"/>
    <w:rsid w:val="001B295B"/>
    <w:rsid w:val="001B2F11"/>
    <w:rsid w:val="001B342B"/>
    <w:rsid w:val="001B34E1"/>
    <w:rsid w:val="001B3802"/>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229"/>
    <w:rsid w:val="001C7EBD"/>
    <w:rsid w:val="001D03DE"/>
    <w:rsid w:val="001D045C"/>
    <w:rsid w:val="001D187D"/>
    <w:rsid w:val="001D2E8C"/>
    <w:rsid w:val="001D30A0"/>
    <w:rsid w:val="001D3F6C"/>
    <w:rsid w:val="001D5541"/>
    <w:rsid w:val="001D6A35"/>
    <w:rsid w:val="001D6E24"/>
    <w:rsid w:val="001E04B3"/>
    <w:rsid w:val="001E1071"/>
    <w:rsid w:val="001E13B0"/>
    <w:rsid w:val="001E14AA"/>
    <w:rsid w:val="001E2B48"/>
    <w:rsid w:val="001E3044"/>
    <w:rsid w:val="001E32EE"/>
    <w:rsid w:val="001E3442"/>
    <w:rsid w:val="001E4CB9"/>
    <w:rsid w:val="001E5B27"/>
    <w:rsid w:val="001E604A"/>
    <w:rsid w:val="001E7523"/>
    <w:rsid w:val="001E7940"/>
    <w:rsid w:val="001F0DA9"/>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60C1"/>
    <w:rsid w:val="0020667C"/>
    <w:rsid w:val="002068F7"/>
    <w:rsid w:val="00206D2D"/>
    <w:rsid w:val="0020738F"/>
    <w:rsid w:val="002076E7"/>
    <w:rsid w:val="00207D0E"/>
    <w:rsid w:val="00210934"/>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7C26"/>
    <w:rsid w:val="002302E0"/>
    <w:rsid w:val="00230758"/>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510CC"/>
    <w:rsid w:val="0025216B"/>
    <w:rsid w:val="00252581"/>
    <w:rsid w:val="00252710"/>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DEE"/>
    <w:rsid w:val="00270022"/>
    <w:rsid w:val="00270251"/>
    <w:rsid w:val="002703A9"/>
    <w:rsid w:val="00270951"/>
    <w:rsid w:val="00270ACB"/>
    <w:rsid w:val="002712B8"/>
    <w:rsid w:val="002713CB"/>
    <w:rsid w:val="00271A53"/>
    <w:rsid w:val="00271D9F"/>
    <w:rsid w:val="00272702"/>
    <w:rsid w:val="0027333F"/>
    <w:rsid w:val="00273984"/>
    <w:rsid w:val="00273FC1"/>
    <w:rsid w:val="002744BB"/>
    <w:rsid w:val="002751FF"/>
    <w:rsid w:val="00275BAA"/>
    <w:rsid w:val="002766FF"/>
    <w:rsid w:val="00277112"/>
    <w:rsid w:val="00281432"/>
    <w:rsid w:val="002815D7"/>
    <w:rsid w:val="0028221F"/>
    <w:rsid w:val="0028245E"/>
    <w:rsid w:val="0028324F"/>
    <w:rsid w:val="00283964"/>
    <w:rsid w:val="00283EA7"/>
    <w:rsid w:val="00284627"/>
    <w:rsid w:val="00284D6D"/>
    <w:rsid w:val="002856D4"/>
    <w:rsid w:val="0028611F"/>
    <w:rsid w:val="002861F2"/>
    <w:rsid w:val="0029014A"/>
    <w:rsid w:val="0029034A"/>
    <w:rsid w:val="002906A9"/>
    <w:rsid w:val="00290A7D"/>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B62"/>
    <w:rsid w:val="002A2FD5"/>
    <w:rsid w:val="002A3815"/>
    <w:rsid w:val="002A3ABA"/>
    <w:rsid w:val="002A423C"/>
    <w:rsid w:val="002A45AB"/>
    <w:rsid w:val="002A460F"/>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6EA"/>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7347"/>
    <w:rsid w:val="002D739A"/>
    <w:rsid w:val="002D77D9"/>
    <w:rsid w:val="002D7B17"/>
    <w:rsid w:val="002E3C7B"/>
    <w:rsid w:val="002E4FF0"/>
    <w:rsid w:val="002E6BA9"/>
    <w:rsid w:val="002E7004"/>
    <w:rsid w:val="002E7D35"/>
    <w:rsid w:val="002F1C21"/>
    <w:rsid w:val="002F2E19"/>
    <w:rsid w:val="002F4D0A"/>
    <w:rsid w:val="002F4F69"/>
    <w:rsid w:val="002F6223"/>
    <w:rsid w:val="002F6F01"/>
    <w:rsid w:val="002F7E40"/>
    <w:rsid w:val="003000F7"/>
    <w:rsid w:val="00300F9C"/>
    <w:rsid w:val="00301C2F"/>
    <w:rsid w:val="00302BD3"/>
    <w:rsid w:val="0030390D"/>
    <w:rsid w:val="003047B2"/>
    <w:rsid w:val="0030497B"/>
    <w:rsid w:val="00304EB8"/>
    <w:rsid w:val="00305F1F"/>
    <w:rsid w:val="00306181"/>
    <w:rsid w:val="0030626A"/>
    <w:rsid w:val="003077DB"/>
    <w:rsid w:val="00307931"/>
    <w:rsid w:val="00307F7F"/>
    <w:rsid w:val="00311E01"/>
    <w:rsid w:val="0031356F"/>
    <w:rsid w:val="00313B19"/>
    <w:rsid w:val="00313B5B"/>
    <w:rsid w:val="003141C3"/>
    <w:rsid w:val="0031433C"/>
    <w:rsid w:val="0031435C"/>
    <w:rsid w:val="00314AD1"/>
    <w:rsid w:val="003155E0"/>
    <w:rsid w:val="003160EE"/>
    <w:rsid w:val="003169E7"/>
    <w:rsid w:val="00316E8C"/>
    <w:rsid w:val="00317BE4"/>
    <w:rsid w:val="003221D4"/>
    <w:rsid w:val="00322E56"/>
    <w:rsid w:val="00322EFC"/>
    <w:rsid w:val="00323A4C"/>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A18"/>
    <w:rsid w:val="00343D9F"/>
    <w:rsid w:val="003445E6"/>
    <w:rsid w:val="00344BF4"/>
    <w:rsid w:val="00344EE2"/>
    <w:rsid w:val="00344F66"/>
    <w:rsid w:val="00346626"/>
    <w:rsid w:val="00346C65"/>
    <w:rsid w:val="003477F0"/>
    <w:rsid w:val="00347805"/>
    <w:rsid w:val="0034795B"/>
    <w:rsid w:val="003501D5"/>
    <w:rsid w:val="00350F33"/>
    <w:rsid w:val="003512FE"/>
    <w:rsid w:val="00351799"/>
    <w:rsid w:val="00353391"/>
    <w:rsid w:val="00354144"/>
    <w:rsid w:val="00354E7C"/>
    <w:rsid w:val="003554E9"/>
    <w:rsid w:val="00355F78"/>
    <w:rsid w:val="00357775"/>
    <w:rsid w:val="00357FF5"/>
    <w:rsid w:val="0036000C"/>
    <w:rsid w:val="00360E6C"/>
    <w:rsid w:val="00360FF3"/>
    <w:rsid w:val="0036277D"/>
    <w:rsid w:val="00362E20"/>
    <w:rsid w:val="003631CC"/>
    <w:rsid w:val="00364633"/>
    <w:rsid w:val="003664CA"/>
    <w:rsid w:val="0037269D"/>
    <w:rsid w:val="00373341"/>
    <w:rsid w:val="003736F8"/>
    <w:rsid w:val="0037399B"/>
    <w:rsid w:val="00377CCD"/>
    <w:rsid w:val="00377EEC"/>
    <w:rsid w:val="00381A3A"/>
    <w:rsid w:val="0038239B"/>
    <w:rsid w:val="003824E5"/>
    <w:rsid w:val="00382B57"/>
    <w:rsid w:val="0038318B"/>
    <w:rsid w:val="00384024"/>
    <w:rsid w:val="00385200"/>
    <w:rsid w:val="003862D8"/>
    <w:rsid w:val="00387FD1"/>
    <w:rsid w:val="003900C8"/>
    <w:rsid w:val="00390926"/>
    <w:rsid w:val="003914A1"/>
    <w:rsid w:val="00391BE8"/>
    <w:rsid w:val="00391DE1"/>
    <w:rsid w:val="003922AD"/>
    <w:rsid w:val="00396757"/>
    <w:rsid w:val="00396FBB"/>
    <w:rsid w:val="003973EB"/>
    <w:rsid w:val="00397CA1"/>
    <w:rsid w:val="00397CA4"/>
    <w:rsid w:val="003A04C8"/>
    <w:rsid w:val="003A0E18"/>
    <w:rsid w:val="003A1A3B"/>
    <w:rsid w:val="003A23E4"/>
    <w:rsid w:val="003A24F6"/>
    <w:rsid w:val="003A4414"/>
    <w:rsid w:val="003A44C4"/>
    <w:rsid w:val="003A49A3"/>
    <w:rsid w:val="003A4A8C"/>
    <w:rsid w:val="003A4C29"/>
    <w:rsid w:val="003A553A"/>
    <w:rsid w:val="003A57D9"/>
    <w:rsid w:val="003A58EC"/>
    <w:rsid w:val="003A5D3A"/>
    <w:rsid w:val="003A603C"/>
    <w:rsid w:val="003A68C8"/>
    <w:rsid w:val="003A6A52"/>
    <w:rsid w:val="003A6FE2"/>
    <w:rsid w:val="003A70C9"/>
    <w:rsid w:val="003A77B4"/>
    <w:rsid w:val="003A7D5E"/>
    <w:rsid w:val="003B0BFF"/>
    <w:rsid w:val="003B1D66"/>
    <w:rsid w:val="003B3833"/>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29B7"/>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662"/>
    <w:rsid w:val="00406FC0"/>
    <w:rsid w:val="00411FE7"/>
    <w:rsid w:val="0041270F"/>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981"/>
    <w:rsid w:val="00453A2F"/>
    <w:rsid w:val="00453D21"/>
    <w:rsid w:val="00453FC8"/>
    <w:rsid w:val="004542DE"/>
    <w:rsid w:val="00454876"/>
    <w:rsid w:val="00456411"/>
    <w:rsid w:val="0045687D"/>
    <w:rsid w:val="00460E00"/>
    <w:rsid w:val="004619D2"/>
    <w:rsid w:val="0046297A"/>
    <w:rsid w:val="00462AA5"/>
    <w:rsid w:val="00462D58"/>
    <w:rsid w:val="00462F49"/>
    <w:rsid w:val="00462F4D"/>
    <w:rsid w:val="004632CE"/>
    <w:rsid w:val="0046362D"/>
    <w:rsid w:val="00463E2B"/>
    <w:rsid w:val="004647AB"/>
    <w:rsid w:val="00465053"/>
    <w:rsid w:val="004650DE"/>
    <w:rsid w:val="004650E4"/>
    <w:rsid w:val="00465157"/>
    <w:rsid w:val="004654C6"/>
    <w:rsid w:val="0046591A"/>
    <w:rsid w:val="00465FEF"/>
    <w:rsid w:val="00470024"/>
    <w:rsid w:val="00470365"/>
    <w:rsid w:val="004706CE"/>
    <w:rsid w:val="00472323"/>
    <w:rsid w:val="004727CF"/>
    <w:rsid w:val="0047291D"/>
    <w:rsid w:val="00473D85"/>
    <w:rsid w:val="00474DA7"/>
    <w:rsid w:val="00475207"/>
    <w:rsid w:val="00475D6D"/>
    <w:rsid w:val="00476178"/>
    <w:rsid w:val="00476577"/>
    <w:rsid w:val="00477B0B"/>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23E"/>
    <w:rsid w:val="004A7E16"/>
    <w:rsid w:val="004B0288"/>
    <w:rsid w:val="004B0D43"/>
    <w:rsid w:val="004B0D72"/>
    <w:rsid w:val="004B151E"/>
    <w:rsid w:val="004B21B9"/>
    <w:rsid w:val="004B23CC"/>
    <w:rsid w:val="004B23DF"/>
    <w:rsid w:val="004B2DE3"/>
    <w:rsid w:val="004B316D"/>
    <w:rsid w:val="004B47FC"/>
    <w:rsid w:val="004B561B"/>
    <w:rsid w:val="004B5E77"/>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4007"/>
    <w:rsid w:val="004D4636"/>
    <w:rsid w:val="004D5327"/>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6628"/>
    <w:rsid w:val="00507F5B"/>
    <w:rsid w:val="00510374"/>
    <w:rsid w:val="0051062B"/>
    <w:rsid w:val="00510A8D"/>
    <w:rsid w:val="00511950"/>
    <w:rsid w:val="00511968"/>
    <w:rsid w:val="00511BB9"/>
    <w:rsid w:val="00513368"/>
    <w:rsid w:val="00513C76"/>
    <w:rsid w:val="00514320"/>
    <w:rsid w:val="00515C9B"/>
    <w:rsid w:val="00516B0F"/>
    <w:rsid w:val="00517781"/>
    <w:rsid w:val="00520A1F"/>
    <w:rsid w:val="00520BD1"/>
    <w:rsid w:val="00521212"/>
    <w:rsid w:val="005237D5"/>
    <w:rsid w:val="005244F4"/>
    <w:rsid w:val="00524CB3"/>
    <w:rsid w:val="00526553"/>
    <w:rsid w:val="00526D25"/>
    <w:rsid w:val="00526F20"/>
    <w:rsid w:val="00527416"/>
    <w:rsid w:val="00527782"/>
    <w:rsid w:val="005320AA"/>
    <w:rsid w:val="00532B8C"/>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BE0"/>
    <w:rsid w:val="00564E59"/>
    <w:rsid w:val="00564EFB"/>
    <w:rsid w:val="00566402"/>
    <w:rsid w:val="00567D95"/>
    <w:rsid w:val="0057065D"/>
    <w:rsid w:val="00571179"/>
    <w:rsid w:val="005712D6"/>
    <w:rsid w:val="00571597"/>
    <w:rsid w:val="005715A7"/>
    <w:rsid w:val="005724B0"/>
    <w:rsid w:val="00572FA7"/>
    <w:rsid w:val="00572FCA"/>
    <w:rsid w:val="00573928"/>
    <w:rsid w:val="00573D04"/>
    <w:rsid w:val="00573FB2"/>
    <w:rsid w:val="005748F2"/>
    <w:rsid w:val="00574E78"/>
    <w:rsid w:val="005754A9"/>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6865"/>
    <w:rsid w:val="00597546"/>
    <w:rsid w:val="005976C6"/>
    <w:rsid w:val="00597962"/>
    <w:rsid w:val="005A0D2A"/>
    <w:rsid w:val="005A1600"/>
    <w:rsid w:val="005A16B5"/>
    <w:rsid w:val="005A19B3"/>
    <w:rsid w:val="005A23FC"/>
    <w:rsid w:val="005A241D"/>
    <w:rsid w:val="005A25B8"/>
    <w:rsid w:val="005A2686"/>
    <w:rsid w:val="005A2EF9"/>
    <w:rsid w:val="005A5DE5"/>
    <w:rsid w:val="005A6B97"/>
    <w:rsid w:val="005A71BA"/>
    <w:rsid w:val="005A7EC8"/>
    <w:rsid w:val="005B10D3"/>
    <w:rsid w:val="005B1277"/>
    <w:rsid w:val="005B1331"/>
    <w:rsid w:val="005B27A2"/>
    <w:rsid w:val="005B28BD"/>
    <w:rsid w:val="005B2B7B"/>
    <w:rsid w:val="005B3228"/>
    <w:rsid w:val="005B441C"/>
    <w:rsid w:val="005B5554"/>
    <w:rsid w:val="005B6108"/>
    <w:rsid w:val="005C08E6"/>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C91"/>
    <w:rsid w:val="005E0DAB"/>
    <w:rsid w:val="005E1DBF"/>
    <w:rsid w:val="005E20A3"/>
    <w:rsid w:val="005E2363"/>
    <w:rsid w:val="005E27E8"/>
    <w:rsid w:val="005E2ECB"/>
    <w:rsid w:val="005E3435"/>
    <w:rsid w:val="005E4F06"/>
    <w:rsid w:val="005E6ACC"/>
    <w:rsid w:val="005E726E"/>
    <w:rsid w:val="005F001D"/>
    <w:rsid w:val="005F0CAB"/>
    <w:rsid w:val="005F3837"/>
    <w:rsid w:val="005F3E58"/>
    <w:rsid w:val="005F69C4"/>
    <w:rsid w:val="005F771C"/>
    <w:rsid w:val="005F794B"/>
    <w:rsid w:val="005F7AB6"/>
    <w:rsid w:val="00600960"/>
    <w:rsid w:val="00601A1C"/>
    <w:rsid w:val="00601CAD"/>
    <w:rsid w:val="00602634"/>
    <w:rsid w:val="00602FCD"/>
    <w:rsid w:val="006037A4"/>
    <w:rsid w:val="0060585F"/>
    <w:rsid w:val="00606F43"/>
    <w:rsid w:val="006078B4"/>
    <w:rsid w:val="006100A5"/>
    <w:rsid w:val="006110CF"/>
    <w:rsid w:val="00611A03"/>
    <w:rsid w:val="0061276E"/>
    <w:rsid w:val="00612C93"/>
    <w:rsid w:val="0061380A"/>
    <w:rsid w:val="00614748"/>
    <w:rsid w:val="00614792"/>
    <w:rsid w:val="0061537D"/>
    <w:rsid w:val="00616283"/>
    <w:rsid w:val="00616794"/>
    <w:rsid w:val="0062047D"/>
    <w:rsid w:val="00620F4C"/>
    <w:rsid w:val="00621129"/>
    <w:rsid w:val="0062130E"/>
    <w:rsid w:val="00621F53"/>
    <w:rsid w:val="006240EC"/>
    <w:rsid w:val="00624820"/>
    <w:rsid w:val="00624FA9"/>
    <w:rsid w:val="00625263"/>
    <w:rsid w:val="006253BB"/>
    <w:rsid w:val="00627678"/>
    <w:rsid w:val="00627A11"/>
    <w:rsid w:val="00630AF8"/>
    <w:rsid w:val="00631792"/>
    <w:rsid w:val="006333B4"/>
    <w:rsid w:val="006333F9"/>
    <w:rsid w:val="006335E8"/>
    <w:rsid w:val="006344A8"/>
    <w:rsid w:val="00634654"/>
    <w:rsid w:val="006353F6"/>
    <w:rsid w:val="006357B4"/>
    <w:rsid w:val="0063659A"/>
    <w:rsid w:val="0064090B"/>
    <w:rsid w:val="006415FD"/>
    <w:rsid w:val="00643486"/>
    <w:rsid w:val="006453DB"/>
    <w:rsid w:val="00646D74"/>
    <w:rsid w:val="006473D8"/>
    <w:rsid w:val="00647C4D"/>
    <w:rsid w:val="0065002F"/>
    <w:rsid w:val="00651796"/>
    <w:rsid w:val="00652F72"/>
    <w:rsid w:val="0065329C"/>
    <w:rsid w:val="006533BF"/>
    <w:rsid w:val="0065426E"/>
    <w:rsid w:val="00655F3E"/>
    <w:rsid w:val="00656755"/>
    <w:rsid w:val="00657E17"/>
    <w:rsid w:val="00657E86"/>
    <w:rsid w:val="00661085"/>
    <w:rsid w:val="00661367"/>
    <w:rsid w:val="00662F7A"/>
    <w:rsid w:val="00663E57"/>
    <w:rsid w:val="00664EB8"/>
    <w:rsid w:val="00665EDB"/>
    <w:rsid w:val="00666417"/>
    <w:rsid w:val="0066688A"/>
    <w:rsid w:val="00666D4E"/>
    <w:rsid w:val="00667F81"/>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E58"/>
    <w:rsid w:val="0068494A"/>
    <w:rsid w:val="00684B4A"/>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1076"/>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E8D"/>
    <w:rsid w:val="006E1ED7"/>
    <w:rsid w:val="006E22D7"/>
    <w:rsid w:val="006E41A1"/>
    <w:rsid w:val="006E6033"/>
    <w:rsid w:val="006E618F"/>
    <w:rsid w:val="006E6903"/>
    <w:rsid w:val="006F0762"/>
    <w:rsid w:val="006F0DFF"/>
    <w:rsid w:val="006F1186"/>
    <w:rsid w:val="006F1783"/>
    <w:rsid w:val="006F1BC7"/>
    <w:rsid w:val="006F2B9B"/>
    <w:rsid w:val="006F34B8"/>
    <w:rsid w:val="006F3CC9"/>
    <w:rsid w:val="006F400E"/>
    <w:rsid w:val="006F4242"/>
    <w:rsid w:val="006F4493"/>
    <w:rsid w:val="006F452A"/>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EC"/>
    <w:rsid w:val="00710EDD"/>
    <w:rsid w:val="00711037"/>
    <w:rsid w:val="00712AFC"/>
    <w:rsid w:val="007137C2"/>
    <w:rsid w:val="00713D11"/>
    <w:rsid w:val="0071609A"/>
    <w:rsid w:val="007170C7"/>
    <w:rsid w:val="00717C29"/>
    <w:rsid w:val="00721BBB"/>
    <w:rsid w:val="00721F18"/>
    <w:rsid w:val="00722175"/>
    <w:rsid w:val="0072388B"/>
    <w:rsid w:val="007238C0"/>
    <w:rsid w:val="00723A5F"/>
    <w:rsid w:val="0072496C"/>
    <w:rsid w:val="00725B96"/>
    <w:rsid w:val="00725DB9"/>
    <w:rsid w:val="0072601E"/>
    <w:rsid w:val="0073032E"/>
    <w:rsid w:val="00730B59"/>
    <w:rsid w:val="00730D61"/>
    <w:rsid w:val="007321F8"/>
    <w:rsid w:val="00732C90"/>
    <w:rsid w:val="00733138"/>
    <w:rsid w:val="00733490"/>
    <w:rsid w:val="00733CF3"/>
    <w:rsid w:val="00733F47"/>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3AA1"/>
    <w:rsid w:val="00745233"/>
    <w:rsid w:val="007453A7"/>
    <w:rsid w:val="00746ECC"/>
    <w:rsid w:val="007503D1"/>
    <w:rsid w:val="00750482"/>
    <w:rsid w:val="0075048C"/>
    <w:rsid w:val="00752300"/>
    <w:rsid w:val="00752309"/>
    <w:rsid w:val="00754CAF"/>
    <w:rsid w:val="0075786E"/>
    <w:rsid w:val="00760496"/>
    <w:rsid w:val="00761040"/>
    <w:rsid w:val="0076139A"/>
    <w:rsid w:val="0076250B"/>
    <w:rsid w:val="00763B3F"/>
    <w:rsid w:val="00764987"/>
    <w:rsid w:val="00764C75"/>
    <w:rsid w:val="00765F13"/>
    <w:rsid w:val="00765FDA"/>
    <w:rsid w:val="00766113"/>
    <w:rsid w:val="00766334"/>
    <w:rsid w:val="00766B1F"/>
    <w:rsid w:val="00767285"/>
    <w:rsid w:val="00767934"/>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634"/>
    <w:rsid w:val="00780F21"/>
    <w:rsid w:val="00783420"/>
    <w:rsid w:val="00784B05"/>
    <w:rsid w:val="00784B0D"/>
    <w:rsid w:val="00784D3A"/>
    <w:rsid w:val="0078512A"/>
    <w:rsid w:val="00785FE0"/>
    <w:rsid w:val="00786C72"/>
    <w:rsid w:val="007874E8"/>
    <w:rsid w:val="0078751C"/>
    <w:rsid w:val="007879F4"/>
    <w:rsid w:val="00791CFE"/>
    <w:rsid w:val="00793070"/>
    <w:rsid w:val="00793B42"/>
    <w:rsid w:val="00794A6A"/>
    <w:rsid w:val="007963AE"/>
    <w:rsid w:val="007972A1"/>
    <w:rsid w:val="00797898"/>
    <w:rsid w:val="007A00A2"/>
    <w:rsid w:val="007A0A2B"/>
    <w:rsid w:val="007A1010"/>
    <w:rsid w:val="007A1387"/>
    <w:rsid w:val="007A2916"/>
    <w:rsid w:val="007A2DB0"/>
    <w:rsid w:val="007A3E9C"/>
    <w:rsid w:val="007A4B35"/>
    <w:rsid w:val="007A5B4E"/>
    <w:rsid w:val="007A6018"/>
    <w:rsid w:val="007A67FC"/>
    <w:rsid w:val="007A696D"/>
    <w:rsid w:val="007A6C29"/>
    <w:rsid w:val="007A6D2F"/>
    <w:rsid w:val="007A7BCE"/>
    <w:rsid w:val="007B0BFF"/>
    <w:rsid w:val="007B11A8"/>
    <w:rsid w:val="007B195F"/>
    <w:rsid w:val="007B2BEA"/>
    <w:rsid w:val="007B3623"/>
    <w:rsid w:val="007B49E2"/>
    <w:rsid w:val="007B4B3C"/>
    <w:rsid w:val="007B4BDD"/>
    <w:rsid w:val="007B594D"/>
    <w:rsid w:val="007B5C09"/>
    <w:rsid w:val="007C0AF0"/>
    <w:rsid w:val="007C1C6F"/>
    <w:rsid w:val="007C237E"/>
    <w:rsid w:val="007C2FA0"/>
    <w:rsid w:val="007C35A7"/>
    <w:rsid w:val="007C3B6C"/>
    <w:rsid w:val="007C3E2C"/>
    <w:rsid w:val="007C4C17"/>
    <w:rsid w:val="007C50CC"/>
    <w:rsid w:val="007C5440"/>
    <w:rsid w:val="007C655F"/>
    <w:rsid w:val="007C6991"/>
    <w:rsid w:val="007C6AA3"/>
    <w:rsid w:val="007C6F20"/>
    <w:rsid w:val="007C74B1"/>
    <w:rsid w:val="007C75B6"/>
    <w:rsid w:val="007D07A8"/>
    <w:rsid w:val="007D0A71"/>
    <w:rsid w:val="007D1A8B"/>
    <w:rsid w:val="007D2A18"/>
    <w:rsid w:val="007D2CEF"/>
    <w:rsid w:val="007D4396"/>
    <w:rsid w:val="007D4C0B"/>
    <w:rsid w:val="007D68F3"/>
    <w:rsid w:val="007D6FE1"/>
    <w:rsid w:val="007D7AF4"/>
    <w:rsid w:val="007E2D81"/>
    <w:rsid w:val="007E36BC"/>
    <w:rsid w:val="007E37AB"/>
    <w:rsid w:val="007E4529"/>
    <w:rsid w:val="007E4C32"/>
    <w:rsid w:val="007E4F11"/>
    <w:rsid w:val="007E5113"/>
    <w:rsid w:val="007E583E"/>
    <w:rsid w:val="007E5BBA"/>
    <w:rsid w:val="007E5EB5"/>
    <w:rsid w:val="007E77FF"/>
    <w:rsid w:val="007F06B0"/>
    <w:rsid w:val="007F0F5E"/>
    <w:rsid w:val="007F19F8"/>
    <w:rsid w:val="007F223F"/>
    <w:rsid w:val="007F2869"/>
    <w:rsid w:val="007F29CB"/>
    <w:rsid w:val="007F2F09"/>
    <w:rsid w:val="007F389E"/>
    <w:rsid w:val="007F3A04"/>
    <w:rsid w:val="007F4E81"/>
    <w:rsid w:val="007F5053"/>
    <w:rsid w:val="007F5B5B"/>
    <w:rsid w:val="007F62C0"/>
    <w:rsid w:val="0080363B"/>
    <w:rsid w:val="00803C8D"/>
    <w:rsid w:val="008041EE"/>
    <w:rsid w:val="0080424E"/>
    <w:rsid w:val="008047E6"/>
    <w:rsid w:val="0080603D"/>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E9"/>
    <w:rsid w:val="008264AA"/>
    <w:rsid w:val="008310E7"/>
    <w:rsid w:val="00831BA4"/>
    <w:rsid w:val="0083281F"/>
    <w:rsid w:val="00832BBF"/>
    <w:rsid w:val="00832D49"/>
    <w:rsid w:val="008334AD"/>
    <w:rsid w:val="00834DD7"/>
    <w:rsid w:val="00834F05"/>
    <w:rsid w:val="008353D4"/>
    <w:rsid w:val="00835C9A"/>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90E"/>
    <w:rsid w:val="00846E8B"/>
    <w:rsid w:val="00851689"/>
    <w:rsid w:val="00851AB3"/>
    <w:rsid w:val="0085276A"/>
    <w:rsid w:val="00852ABE"/>
    <w:rsid w:val="00852D70"/>
    <w:rsid w:val="00852E6A"/>
    <w:rsid w:val="00853739"/>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5314"/>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A5D"/>
    <w:rsid w:val="008D4F41"/>
    <w:rsid w:val="008D552D"/>
    <w:rsid w:val="008D6197"/>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BEB"/>
    <w:rsid w:val="008F4AE7"/>
    <w:rsid w:val="008F5246"/>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6507"/>
    <w:rsid w:val="00906C6F"/>
    <w:rsid w:val="00906EE0"/>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30714"/>
    <w:rsid w:val="00930EFB"/>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21F2"/>
    <w:rsid w:val="00952535"/>
    <w:rsid w:val="00953584"/>
    <w:rsid w:val="009535B6"/>
    <w:rsid w:val="00953606"/>
    <w:rsid w:val="00954E79"/>
    <w:rsid w:val="00955777"/>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55F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E45"/>
    <w:rsid w:val="00985802"/>
    <w:rsid w:val="00986005"/>
    <w:rsid w:val="0098696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DF8"/>
    <w:rsid w:val="009B675C"/>
    <w:rsid w:val="009B70A7"/>
    <w:rsid w:val="009B711D"/>
    <w:rsid w:val="009B73C6"/>
    <w:rsid w:val="009B756B"/>
    <w:rsid w:val="009C01DF"/>
    <w:rsid w:val="009C0B1A"/>
    <w:rsid w:val="009C3716"/>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E8"/>
    <w:rsid w:val="009E6C9D"/>
    <w:rsid w:val="009E6CC1"/>
    <w:rsid w:val="009E70DF"/>
    <w:rsid w:val="009E79DA"/>
    <w:rsid w:val="009F1646"/>
    <w:rsid w:val="009F2445"/>
    <w:rsid w:val="009F27A4"/>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765E"/>
    <w:rsid w:val="00A2042E"/>
    <w:rsid w:val="00A208B3"/>
    <w:rsid w:val="00A21CEA"/>
    <w:rsid w:val="00A21FA6"/>
    <w:rsid w:val="00A221D5"/>
    <w:rsid w:val="00A22667"/>
    <w:rsid w:val="00A22DE1"/>
    <w:rsid w:val="00A2413A"/>
    <w:rsid w:val="00A2432A"/>
    <w:rsid w:val="00A25558"/>
    <w:rsid w:val="00A257AC"/>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BC1"/>
    <w:rsid w:val="00A55291"/>
    <w:rsid w:val="00A5535D"/>
    <w:rsid w:val="00A55E19"/>
    <w:rsid w:val="00A564A7"/>
    <w:rsid w:val="00A56F55"/>
    <w:rsid w:val="00A61CF5"/>
    <w:rsid w:val="00A61CF8"/>
    <w:rsid w:val="00A61EF8"/>
    <w:rsid w:val="00A628F1"/>
    <w:rsid w:val="00A63188"/>
    <w:rsid w:val="00A63ACE"/>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0E66"/>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6CF0"/>
    <w:rsid w:val="00B07649"/>
    <w:rsid w:val="00B07F2A"/>
    <w:rsid w:val="00B10650"/>
    <w:rsid w:val="00B11393"/>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2607"/>
    <w:rsid w:val="00B326E9"/>
    <w:rsid w:val="00B3403D"/>
    <w:rsid w:val="00B34460"/>
    <w:rsid w:val="00B3456E"/>
    <w:rsid w:val="00B34585"/>
    <w:rsid w:val="00B3633E"/>
    <w:rsid w:val="00B374C0"/>
    <w:rsid w:val="00B37840"/>
    <w:rsid w:val="00B37C78"/>
    <w:rsid w:val="00B402DC"/>
    <w:rsid w:val="00B40C23"/>
    <w:rsid w:val="00B41FB6"/>
    <w:rsid w:val="00B427F1"/>
    <w:rsid w:val="00B431F5"/>
    <w:rsid w:val="00B437E0"/>
    <w:rsid w:val="00B446A3"/>
    <w:rsid w:val="00B44C79"/>
    <w:rsid w:val="00B44E30"/>
    <w:rsid w:val="00B45C76"/>
    <w:rsid w:val="00B461B5"/>
    <w:rsid w:val="00B468BF"/>
    <w:rsid w:val="00B46F27"/>
    <w:rsid w:val="00B471D3"/>
    <w:rsid w:val="00B50CBC"/>
    <w:rsid w:val="00B52287"/>
    <w:rsid w:val="00B539CD"/>
    <w:rsid w:val="00B53B93"/>
    <w:rsid w:val="00B541D0"/>
    <w:rsid w:val="00B543E0"/>
    <w:rsid w:val="00B553EC"/>
    <w:rsid w:val="00B55680"/>
    <w:rsid w:val="00B5637A"/>
    <w:rsid w:val="00B56F18"/>
    <w:rsid w:val="00B570F7"/>
    <w:rsid w:val="00B57D09"/>
    <w:rsid w:val="00B57EEE"/>
    <w:rsid w:val="00B604E2"/>
    <w:rsid w:val="00B61872"/>
    <w:rsid w:val="00B61FA0"/>
    <w:rsid w:val="00B6287D"/>
    <w:rsid w:val="00B62AE6"/>
    <w:rsid w:val="00B6354B"/>
    <w:rsid w:val="00B63D41"/>
    <w:rsid w:val="00B644AF"/>
    <w:rsid w:val="00B65747"/>
    <w:rsid w:val="00B65B3D"/>
    <w:rsid w:val="00B65E4B"/>
    <w:rsid w:val="00B66F9D"/>
    <w:rsid w:val="00B67100"/>
    <w:rsid w:val="00B672F5"/>
    <w:rsid w:val="00B67546"/>
    <w:rsid w:val="00B7062E"/>
    <w:rsid w:val="00B7072B"/>
    <w:rsid w:val="00B70B1C"/>
    <w:rsid w:val="00B72176"/>
    <w:rsid w:val="00B725F0"/>
    <w:rsid w:val="00B72924"/>
    <w:rsid w:val="00B72FF7"/>
    <w:rsid w:val="00B74D15"/>
    <w:rsid w:val="00B74E77"/>
    <w:rsid w:val="00B757B9"/>
    <w:rsid w:val="00B75D73"/>
    <w:rsid w:val="00B75EF5"/>
    <w:rsid w:val="00B77544"/>
    <w:rsid w:val="00B77B2E"/>
    <w:rsid w:val="00B821D4"/>
    <w:rsid w:val="00B8223F"/>
    <w:rsid w:val="00B82C2D"/>
    <w:rsid w:val="00B8353B"/>
    <w:rsid w:val="00B844CE"/>
    <w:rsid w:val="00B84CC4"/>
    <w:rsid w:val="00B8521B"/>
    <w:rsid w:val="00B8583C"/>
    <w:rsid w:val="00B868A6"/>
    <w:rsid w:val="00B8782F"/>
    <w:rsid w:val="00B90087"/>
    <w:rsid w:val="00B908C8"/>
    <w:rsid w:val="00B90DB7"/>
    <w:rsid w:val="00B91B01"/>
    <w:rsid w:val="00B935BC"/>
    <w:rsid w:val="00B9439F"/>
    <w:rsid w:val="00B9440C"/>
    <w:rsid w:val="00B945EF"/>
    <w:rsid w:val="00B95024"/>
    <w:rsid w:val="00B95502"/>
    <w:rsid w:val="00B9650C"/>
    <w:rsid w:val="00B96825"/>
    <w:rsid w:val="00B97935"/>
    <w:rsid w:val="00BA0575"/>
    <w:rsid w:val="00BA0BE3"/>
    <w:rsid w:val="00BA209F"/>
    <w:rsid w:val="00BA2B45"/>
    <w:rsid w:val="00BA38D1"/>
    <w:rsid w:val="00BA39AA"/>
    <w:rsid w:val="00BA3DEB"/>
    <w:rsid w:val="00BA5E01"/>
    <w:rsid w:val="00BA68BF"/>
    <w:rsid w:val="00BA7193"/>
    <w:rsid w:val="00BA75BE"/>
    <w:rsid w:val="00BA78BC"/>
    <w:rsid w:val="00BB1435"/>
    <w:rsid w:val="00BB1919"/>
    <w:rsid w:val="00BB3E31"/>
    <w:rsid w:val="00BB56A0"/>
    <w:rsid w:val="00BB5764"/>
    <w:rsid w:val="00BB5EBC"/>
    <w:rsid w:val="00BB6120"/>
    <w:rsid w:val="00BB6BA7"/>
    <w:rsid w:val="00BB701B"/>
    <w:rsid w:val="00BB7505"/>
    <w:rsid w:val="00BB7668"/>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010E"/>
    <w:rsid w:val="00BE239D"/>
    <w:rsid w:val="00BE2AB3"/>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0E22"/>
    <w:rsid w:val="00C0105D"/>
    <w:rsid w:val="00C04197"/>
    <w:rsid w:val="00C046B8"/>
    <w:rsid w:val="00C05B30"/>
    <w:rsid w:val="00C102A9"/>
    <w:rsid w:val="00C114FF"/>
    <w:rsid w:val="00C13F19"/>
    <w:rsid w:val="00C15E01"/>
    <w:rsid w:val="00C1644F"/>
    <w:rsid w:val="00C165FE"/>
    <w:rsid w:val="00C179F3"/>
    <w:rsid w:val="00C17A7F"/>
    <w:rsid w:val="00C17D43"/>
    <w:rsid w:val="00C17F95"/>
    <w:rsid w:val="00C21CD2"/>
    <w:rsid w:val="00C22150"/>
    <w:rsid w:val="00C2248F"/>
    <w:rsid w:val="00C22695"/>
    <w:rsid w:val="00C2275D"/>
    <w:rsid w:val="00C22806"/>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40C65"/>
    <w:rsid w:val="00C41455"/>
    <w:rsid w:val="00C42145"/>
    <w:rsid w:val="00C425DE"/>
    <w:rsid w:val="00C45333"/>
    <w:rsid w:val="00C46D7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365E"/>
    <w:rsid w:val="00C63994"/>
    <w:rsid w:val="00C63E85"/>
    <w:rsid w:val="00C649F0"/>
    <w:rsid w:val="00C65BA7"/>
    <w:rsid w:val="00C6713B"/>
    <w:rsid w:val="00C67282"/>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256"/>
    <w:rsid w:val="00C976B2"/>
    <w:rsid w:val="00C97A95"/>
    <w:rsid w:val="00C97DA8"/>
    <w:rsid w:val="00C97E21"/>
    <w:rsid w:val="00CA0E78"/>
    <w:rsid w:val="00CA0F5D"/>
    <w:rsid w:val="00CA121B"/>
    <w:rsid w:val="00CA1A09"/>
    <w:rsid w:val="00CA1E63"/>
    <w:rsid w:val="00CA2850"/>
    <w:rsid w:val="00CA3AD9"/>
    <w:rsid w:val="00CA573F"/>
    <w:rsid w:val="00CA6EB7"/>
    <w:rsid w:val="00CB0403"/>
    <w:rsid w:val="00CB114B"/>
    <w:rsid w:val="00CB177A"/>
    <w:rsid w:val="00CB20FA"/>
    <w:rsid w:val="00CB25DF"/>
    <w:rsid w:val="00CB3CE5"/>
    <w:rsid w:val="00CB3FC0"/>
    <w:rsid w:val="00CB407D"/>
    <w:rsid w:val="00CB47F4"/>
    <w:rsid w:val="00CB4AF0"/>
    <w:rsid w:val="00CB50EE"/>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2CF7"/>
    <w:rsid w:val="00CE3E94"/>
    <w:rsid w:val="00CE44A3"/>
    <w:rsid w:val="00CE49BA"/>
    <w:rsid w:val="00CE4D11"/>
    <w:rsid w:val="00CE74FA"/>
    <w:rsid w:val="00CE757B"/>
    <w:rsid w:val="00CE7D6A"/>
    <w:rsid w:val="00CE7F27"/>
    <w:rsid w:val="00CF05B1"/>
    <w:rsid w:val="00CF102F"/>
    <w:rsid w:val="00CF1AF9"/>
    <w:rsid w:val="00CF1CA4"/>
    <w:rsid w:val="00CF232D"/>
    <w:rsid w:val="00CF3603"/>
    <w:rsid w:val="00CF4268"/>
    <w:rsid w:val="00CF51CE"/>
    <w:rsid w:val="00CF574D"/>
    <w:rsid w:val="00CF7A45"/>
    <w:rsid w:val="00CF7CD2"/>
    <w:rsid w:val="00D00DBC"/>
    <w:rsid w:val="00D01909"/>
    <w:rsid w:val="00D02313"/>
    <w:rsid w:val="00D031B2"/>
    <w:rsid w:val="00D03C8C"/>
    <w:rsid w:val="00D03F3D"/>
    <w:rsid w:val="00D04615"/>
    <w:rsid w:val="00D04BF6"/>
    <w:rsid w:val="00D06227"/>
    <w:rsid w:val="00D073FD"/>
    <w:rsid w:val="00D07E01"/>
    <w:rsid w:val="00D108B3"/>
    <w:rsid w:val="00D10EBF"/>
    <w:rsid w:val="00D11F79"/>
    <w:rsid w:val="00D125CD"/>
    <w:rsid w:val="00D12FA4"/>
    <w:rsid w:val="00D141C9"/>
    <w:rsid w:val="00D1453A"/>
    <w:rsid w:val="00D148C1"/>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63D"/>
    <w:rsid w:val="00D27FCB"/>
    <w:rsid w:val="00D304CA"/>
    <w:rsid w:val="00D31077"/>
    <w:rsid w:val="00D311F9"/>
    <w:rsid w:val="00D31F01"/>
    <w:rsid w:val="00D32097"/>
    <w:rsid w:val="00D32167"/>
    <w:rsid w:val="00D33A96"/>
    <w:rsid w:val="00D36B22"/>
    <w:rsid w:val="00D37C85"/>
    <w:rsid w:val="00D415E1"/>
    <w:rsid w:val="00D41A24"/>
    <w:rsid w:val="00D42516"/>
    <w:rsid w:val="00D431C5"/>
    <w:rsid w:val="00D440E4"/>
    <w:rsid w:val="00D44ACE"/>
    <w:rsid w:val="00D44EB1"/>
    <w:rsid w:val="00D44FE7"/>
    <w:rsid w:val="00D46F79"/>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80F73"/>
    <w:rsid w:val="00D81244"/>
    <w:rsid w:val="00D8196F"/>
    <w:rsid w:val="00D819C4"/>
    <w:rsid w:val="00D82398"/>
    <w:rsid w:val="00D8277E"/>
    <w:rsid w:val="00D83354"/>
    <w:rsid w:val="00D83615"/>
    <w:rsid w:val="00D83C72"/>
    <w:rsid w:val="00D83CB9"/>
    <w:rsid w:val="00D83F05"/>
    <w:rsid w:val="00D84399"/>
    <w:rsid w:val="00D86E0D"/>
    <w:rsid w:val="00D87085"/>
    <w:rsid w:val="00D87784"/>
    <w:rsid w:val="00D87AA6"/>
    <w:rsid w:val="00D90081"/>
    <w:rsid w:val="00D90215"/>
    <w:rsid w:val="00D9133A"/>
    <w:rsid w:val="00D9169A"/>
    <w:rsid w:val="00D9250A"/>
    <w:rsid w:val="00D9265C"/>
    <w:rsid w:val="00D92962"/>
    <w:rsid w:val="00D92A2A"/>
    <w:rsid w:val="00D92F7B"/>
    <w:rsid w:val="00D931AE"/>
    <w:rsid w:val="00D93A53"/>
    <w:rsid w:val="00D93AAF"/>
    <w:rsid w:val="00D944AA"/>
    <w:rsid w:val="00D945D3"/>
    <w:rsid w:val="00D9536E"/>
    <w:rsid w:val="00D95CC7"/>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BFA"/>
    <w:rsid w:val="00DD0C71"/>
    <w:rsid w:val="00DD2A74"/>
    <w:rsid w:val="00DD47A6"/>
    <w:rsid w:val="00DD4CEC"/>
    <w:rsid w:val="00DD549F"/>
    <w:rsid w:val="00DD6132"/>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27D"/>
    <w:rsid w:val="00E02DF1"/>
    <w:rsid w:val="00E03357"/>
    <w:rsid w:val="00E03540"/>
    <w:rsid w:val="00E035E4"/>
    <w:rsid w:val="00E041DC"/>
    <w:rsid w:val="00E04EDA"/>
    <w:rsid w:val="00E0531A"/>
    <w:rsid w:val="00E05A8E"/>
    <w:rsid w:val="00E0601F"/>
    <w:rsid w:val="00E0673D"/>
    <w:rsid w:val="00E07B34"/>
    <w:rsid w:val="00E07CB9"/>
    <w:rsid w:val="00E07CCD"/>
    <w:rsid w:val="00E07E4F"/>
    <w:rsid w:val="00E07EC7"/>
    <w:rsid w:val="00E10242"/>
    <w:rsid w:val="00E104F6"/>
    <w:rsid w:val="00E10854"/>
    <w:rsid w:val="00E108BC"/>
    <w:rsid w:val="00E110DD"/>
    <w:rsid w:val="00E13F8C"/>
    <w:rsid w:val="00E141C4"/>
    <w:rsid w:val="00E15C89"/>
    <w:rsid w:val="00E163A0"/>
    <w:rsid w:val="00E1703C"/>
    <w:rsid w:val="00E2013D"/>
    <w:rsid w:val="00E20FBD"/>
    <w:rsid w:val="00E210C4"/>
    <w:rsid w:val="00E210DD"/>
    <w:rsid w:val="00E21A5D"/>
    <w:rsid w:val="00E22086"/>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3D49"/>
    <w:rsid w:val="00E443E6"/>
    <w:rsid w:val="00E44D32"/>
    <w:rsid w:val="00E45429"/>
    <w:rsid w:val="00E458A9"/>
    <w:rsid w:val="00E45C25"/>
    <w:rsid w:val="00E47BB8"/>
    <w:rsid w:val="00E50628"/>
    <w:rsid w:val="00E50B2D"/>
    <w:rsid w:val="00E52209"/>
    <w:rsid w:val="00E5403B"/>
    <w:rsid w:val="00E544E1"/>
    <w:rsid w:val="00E556D5"/>
    <w:rsid w:val="00E55782"/>
    <w:rsid w:val="00E5631E"/>
    <w:rsid w:val="00E56678"/>
    <w:rsid w:val="00E56D79"/>
    <w:rsid w:val="00E56E89"/>
    <w:rsid w:val="00E60543"/>
    <w:rsid w:val="00E61047"/>
    <w:rsid w:val="00E61077"/>
    <w:rsid w:val="00E61A66"/>
    <w:rsid w:val="00E61B63"/>
    <w:rsid w:val="00E623A1"/>
    <w:rsid w:val="00E62CB2"/>
    <w:rsid w:val="00E636BF"/>
    <w:rsid w:val="00E63CA0"/>
    <w:rsid w:val="00E642C1"/>
    <w:rsid w:val="00E652F6"/>
    <w:rsid w:val="00E65303"/>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6ED"/>
    <w:rsid w:val="00E84851"/>
    <w:rsid w:val="00E84B52"/>
    <w:rsid w:val="00E84D30"/>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E3E"/>
    <w:rsid w:val="00EA750F"/>
    <w:rsid w:val="00EA7730"/>
    <w:rsid w:val="00EA792F"/>
    <w:rsid w:val="00EA79C0"/>
    <w:rsid w:val="00EA7BFB"/>
    <w:rsid w:val="00EB01C0"/>
    <w:rsid w:val="00EB1146"/>
    <w:rsid w:val="00EB12DA"/>
    <w:rsid w:val="00EB1628"/>
    <w:rsid w:val="00EB1CC2"/>
    <w:rsid w:val="00EB2067"/>
    <w:rsid w:val="00EB370A"/>
    <w:rsid w:val="00EB5820"/>
    <w:rsid w:val="00EB6AA8"/>
    <w:rsid w:val="00EB6F3E"/>
    <w:rsid w:val="00EC079C"/>
    <w:rsid w:val="00EC080A"/>
    <w:rsid w:val="00EC1271"/>
    <w:rsid w:val="00EC14D8"/>
    <w:rsid w:val="00EC2001"/>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BFC"/>
    <w:rsid w:val="00ED5551"/>
    <w:rsid w:val="00ED5746"/>
    <w:rsid w:val="00ED5931"/>
    <w:rsid w:val="00ED60FB"/>
    <w:rsid w:val="00ED751E"/>
    <w:rsid w:val="00ED7A58"/>
    <w:rsid w:val="00ED7EA9"/>
    <w:rsid w:val="00EE03C6"/>
    <w:rsid w:val="00EE0813"/>
    <w:rsid w:val="00EE1B76"/>
    <w:rsid w:val="00EE2F2B"/>
    <w:rsid w:val="00EE3253"/>
    <w:rsid w:val="00EE333D"/>
    <w:rsid w:val="00EE380F"/>
    <w:rsid w:val="00EE4912"/>
    <w:rsid w:val="00EE69FD"/>
    <w:rsid w:val="00EE6B9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952"/>
    <w:rsid w:val="00F05D58"/>
    <w:rsid w:val="00F05E1E"/>
    <w:rsid w:val="00F05EB0"/>
    <w:rsid w:val="00F0626A"/>
    <w:rsid w:val="00F063FC"/>
    <w:rsid w:val="00F0724C"/>
    <w:rsid w:val="00F11559"/>
    <w:rsid w:val="00F11B50"/>
    <w:rsid w:val="00F1207E"/>
    <w:rsid w:val="00F12CE8"/>
    <w:rsid w:val="00F1326A"/>
    <w:rsid w:val="00F14520"/>
    <w:rsid w:val="00F1458D"/>
    <w:rsid w:val="00F14CAD"/>
    <w:rsid w:val="00F157FA"/>
    <w:rsid w:val="00F15F33"/>
    <w:rsid w:val="00F169E5"/>
    <w:rsid w:val="00F16FFB"/>
    <w:rsid w:val="00F17489"/>
    <w:rsid w:val="00F20443"/>
    <w:rsid w:val="00F20FC4"/>
    <w:rsid w:val="00F21248"/>
    <w:rsid w:val="00F212E6"/>
    <w:rsid w:val="00F23366"/>
    <w:rsid w:val="00F23A35"/>
    <w:rsid w:val="00F23CB1"/>
    <w:rsid w:val="00F23E3A"/>
    <w:rsid w:val="00F24095"/>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09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661"/>
    <w:rsid w:val="00F50BD9"/>
    <w:rsid w:val="00F50CFB"/>
    <w:rsid w:val="00F50ECD"/>
    <w:rsid w:val="00F50EDB"/>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D9C"/>
    <w:rsid w:val="00F773FD"/>
    <w:rsid w:val="00F80347"/>
    <w:rsid w:val="00F80E63"/>
    <w:rsid w:val="00F80F47"/>
    <w:rsid w:val="00F81717"/>
    <w:rsid w:val="00F82068"/>
    <w:rsid w:val="00F820BF"/>
    <w:rsid w:val="00F8220F"/>
    <w:rsid w:val="00F82623"/>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E99"/>
    <w:rsid w:val="00F93872"/>
    <w:rsid w:val="00F938AC"/>
    <w:rsid w:val="00F93A8E"/>
    <w:rsid w:val="00F93B6A"/>
    <w:rsid w:val="00F955FA"/>
    <w:rsid w:val="00F95F3B"/>
    <w:rsid w:val="00F9655F"/>
    <w:rsid w:val="00F9681F"/>
    <w:rsid w:val="00FA066C"/>
    <w:rsid w:val="00FA0938"/>
    <w:rsid w:val="00FA12CD"/>
    <w:rsid w:val="00FA1A48"/>
    <w:rsid w:val="00FA2BB0"/>
    <w:rsid w:val="00FA37E2"/>
    <w:rsid w:val="00FA5685"/>
    <w:rsid w:val="00FA60D5"/>
    <w:rsid w:val="00FA69A4"/>
    <w:rsid w:val="00FA6F09"/>
    <w:rsid w:val="00FB0A4B"/>
    <w:rsid w:val="00FB0F59"/>
    <w:rsid w:val="00FB1A6C"/>
    <w:rsid w:val="00FB2F8E"/>
    <w:rsid w:val="00FB3B38"/>
    <w:rsid w:val="00FB4ACC"/>
    <w:rsid w:val="00FB5521"/>
    <w:rsid w:val="00FB561D"/>
    <w:rsid w:val="00FB586C"/>
    <w:rsid w:val="00FB5DC1"/>
    <w:rsid w:val="00FB6502"/>
    <w:rsid w:val="00FC105A"/>
    <w:rsid w:val="00FC1CA3"/>
    <w:rsid w:val="00FC1CC2"/>
    <w:rsid w:val="00FC21E8"/>
    <w:rsid w:val="00FC3D13"/>
    <w:rsid w:val="00FC40F1"/>
    <w:rsid w:val="00FC4201"/>
    <w:rsid w:val="00FC4817"/>
    <w:rsid w:val="00FC4BD3"/>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s>
</file>

<file path=word/webSettings.xml><?xml version="1.0" encoding="utf-8"?>
<w:webSettings xmlns:r="http://schemas.openxmlformats.org/officeDocument/2006/relationships" xmlns:w="http://schemas.openxmlformats.org/wordprocessingml/2006/main">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7409">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873560">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71879534">
      <w:bodyDiv w:val="1"/>
      <w:marLeft w:val="0"/>
      <w:marRight w:val="0"/>
      <w:marTop w:val="0"/>
      <w:marBottom w:val="0"/>
      <w:divBdr>
        <w:top w:val="none" w:sz="0" w:space="0" w:color="auto"/>
        <w:left w:val="none" w:sz="0" w:space="0" w:color="auto"/>
        <w:bottom w:val="none" w:sz="0" w:space="0" w:color="auto"/>
        <w:right w:val="none" w:sz="0" w:space="0" w:color="auto"/>
      </w:divBdr>
    </w:div>
    <w:div w:id="69056718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79951923">
      <w:bodyDiv w:val="1"/>
      <w:marLeft w:val="0"/>
      <w:marRight w:val="0"/>
      <w:marTop w:val="0"/>
      <w:marBottom w:val="0"/>
      <w:divBdr>
        <w:top w:val="none" w:sz="0" w:space="0" w:color="auto"/>
        <w:left w:val="none" w:sz="0" w:space="0" w:color="auto"/>
        <w:bottom w:val="none" w:sz="0" w:space="0" w:color="auto"/>
        <w:right w:val="none" w:sz="0" w:space="0" w:color="auto"/>
      </w:divBdr>
    </w:div>
    <w:div w:id="780106155">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55267-481E-4777-8708-B6602F2E4D32}">
  <ds:schemaRefs>
    <ds:schemaRef ds:uri="http://schemas.microsoft.com/sharepoint/v3/contenttype/forms"/>
  </ds:schemaRefs>
</ds:datastoreItem>
</file>

<file path=customXml/itemProps2.xml><?xml version="1.0" encoding="utf-8"?>
<ds:datastoreItem xmlns:ds="http://schemas.openxmlformats.org/officeDocument/2006/customXml" ds:itemID="{5CC098ED-3096-4A8F-BB9D-60B868B3D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24B58EE-46D3-4C19-9B8A-279BD0235916}">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7EB8CEEE-BBE7-4778-BD3D-E36DC8C97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1592</TotalTime>
  <Pages>5</Pages>
  <Words>879</Words>
  <Characters>5286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6153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TSG-RAN WG4 TDoc</dc:subject>
  <dc:creator>James Wang</dc:creator>
  <cp:lastModifiedBy>vend_james.wang</cp:lastModifiedBy>
  <cp:revision>10</cp:revision>
  <cp:lastPrinted>2012-09-28T20:55:00Z</cp:lastPrinted>
  <dcterms:created xsi:type="dcterms:W3CDTF">2013-09-26T17:13:00Z</dcterms:created>
  <dcterms:modified xsi:type="dcterms:W3CDTF">2013-09-29T08:09:00Z</dcterms:modified>
</cp:coreProperties>
</file>