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9C7D58" w:rsidRPr="007408EB">
        <w:rPr>
          <w:rFonts w:cs="Arial"/>
          <w:sz w:val="24"/>
          <w:szCs w:val="24"/>
          <w:lang w:val="en-US" w:eastAsia="ja-JP"/>
        </w:rPr>
        <w:t>#</w:t>
      </w:r>
      <w:r w:rsidR="0098147C">
        <w:rPr>
          <w:rFonts w:cs="Arial"/>
          <w:sz w:val="24"/>
          <w:szCs w:val="24"/>
          <w:lang w:val="en-US" w:eastAsia="ja-JP"/>
        </w:rPr>
        <w:t>68</w:t>
      </w:r>
      <w:r w:rsidR="000566FE">
        <w:rPr>
          <w:rFonts w:cs="Arial"/>
          <w:sz w:val="24"/>
          <w:szCs w:val="24"/>
          <w:lang w:val="en-US" w:eastAsia="ja-JP"/>
        </w:rPr>
        <w:t>bis</w:t>
      </w:r>
      <w:r w:rsidR="000D5335" w:rsidRPr="007408EB">
        <w:rPr>
          <w:rFonts w:cs="Arial"/>
          <w:sz w:val="24"/>
          <w:szCs w:val="24"/>
          <w:lang w:val="en-US"/>
        </w:rPr>
        <w:tab/>
        <w:t>R4</w:t>
      </w:r>
      <w:r w:rsidR="00BF4407" w:rsidRPr="007408EB">
        <w:rPr>
          <w:rFonts w:cs="Arial"/>
          <w:sz w:val="24"/>
          <w:szCs w:val="24"/>
          <w:lang w:val="en-US"/>
        </w:rPr>
        <w:t>-</w:t>
      </w:r>
      <w:r w:rsidR="00093FE8">
        <w:rPr>
          <w:rFonts w:cs="Arial"/>
          <w:sz w:val="24"/>
          <w:szCs w:val="24"/>
          <w:lang w:val="en-US"/>
        </w:rPr>
        <w:t>13</w:t>
      </w:r>
      <w:r w:rsidR="006500EF">
        <w:rPr>
          <w:rFonts w:cs="Arial"/>
          <w:sz w:val="24"/>
          <w:szCs w:val="24"/>
          <w:lang w:val="en-US"/>
        </w:rPr>
        <w:t>4964</w:t>
      </w:r>
    </w:p>
    <w:p w:rsidR="00445267" w:rsidRPr="007408EB" w:rsidRDefault="003A04C8"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Riga</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Latvia</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sidR="00537EE2">
        <w:rPr>
          <w:rFonts w:ascii="Arial" w:hAnsi="Arial" w:cs="Arial"/>
          <w:b/>
          <w:sz w:val="24"/>
          <w:szCs w:val="24"/>
          <w:lang w:eastAsia="ja-JP"/>
        </w:rPr>
        <w:t>October</w:t>
      </w:r>
      <w:r w:rsidR="00453547">
        <w:rPr>
          <w:rFonts w:ascii="Arial" w:hAnsi="Arial" w:cs="Arial"/>
          <w:b/>
          <w:sz w:val="24"/>
          <w:szCs w:val="24"/>
          <w:lang w:eastAsia="ja-JP"/>
        </w:rPr>
        <w:t xml:space="preserve"> </w:t>
      </w:r>
      <w:r w:rsidR="00A742BA">
        <w:rPr>
          <w:rFonts w:ascii="Arial" w:hAnsi="Arial" w:cs="Arial"/>
          <w:b/>
          <w:sz w:val="24"/>
          <w:szCs w:val="24"/>
          <w:lang w:eastAsia="ja-JP"/>
        </w:rPr>
        <w:t>7</w:t>
      </w:r>
      <w:r w:rsidR="00AA7D07" w:rsidRPr="00AA7D07">
        <w:rPr>
          <w:rFonts w:ascii="Arial" w:hAnsi="Arial" w:cs="Arial"/>
          <w:b/>
          <w:sz w:val="24"/>
          <w:szCs w:val="24"/>
          <w:vertAlign w:val="superscript"/>
          <w:lang w:eastAsia="ja-JP"/>
        </w:rPr>
        <w:t>th</w:t>
      </w:r>
      <w:r w:rsidR="00760496" w:rsidRPr="007408EB">
        <w:rPr>
          <w:rFonts w:ascii="Arial" w:hAnsi="Arial" w:cs="Arial"/>
          <w:b/>
          <w:sz w:val="24"/>
          <w:szCs w:val="24"/>
          <w:lang w:eastAsia="ja-JP"/>
        </w:rPr>
        <w:t xml:space="preserve"> </w:t>
      </w:r>
      <w:r w:rsidR="00C425DE" w:rsidRPr="007408EB">
        <w:rPr>
          <w:rFonts w:ascii="Arial" w:hAnsi="Arial" w:cs="Arial"/>
          <w:b/>
          <w:sz w:val="24"/>
          <w:szCs w:val="24"/>
          <w:lang w:eastAsia="ja-JP"/>
        </w:rPr>
        <w:t xml:space="preserve">– </w:t>
      </w:r>
      <w:r w:rsidR="00A742BA">
        <w:rPr>
          <w:rFonts w:ascii="Arial" w:hAnsi="Arial" w:cs="Arial"/>
          <w:b/>
          <w:sz w:val="24"/>
          <w:szCs w:val="24"/>
          <w:lang w:eastAsia="ja-JP"/>
        </w:rPr>
        <w:t>11</w:t>
      </w:r>
      <w:r w:rsidR="00A742BA" w:rsidRPr="00A742BA">
        <w:rPr>
          <w:rFonts w:ascii="Arial" w:hAnsi="Arial" w:cs="Arial"/>
          <w:b/>
          <w:sz w:val="24"/>
          <w:szCs w:val="24"/>
          <w:vertAlign w:val="superscript"/>
          <w:lang w:eastAsia="ja-JP"/>
        </w:rPr>
        <w:t>th</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453547">
        <w:rPr>
          <w:rFonts w:ascii="Arial" w:hAnsi="Arial" w:cs="Arial"/>
          <w:b/>
          <w:sz w:val="24"/>
          <w:szCs w:val="24"/>
          <w:lang w:eastAsia="ja-JP"/>
        </w:rPr>
        <w:t>3</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7A6546">
        <w:rPr>
          <w:rFonts w:ascii="Arial" w:hAnsi="Arial" w:cs="Arial"/>
          <w:sz w:val="24"/>
          <w:lang w:val="en-US"/>
        </w:rPr>
        <w:t>7</w:t>
      </w:r>
      <w:r w:rsidR="00FD1A62">
        <w:rPr>
          <w:rFonts w:ascii="Arial" w:hAnsi="Arial" w:cs="Arial"/>
          <w:sz w:val="24"/>
          <w:lang w:val="en-US"/>
        </w:rPr>
        <w:t>.</w:t>
      </w:r>
      <w:r w:rsidR="007A6546">
        <w:rPr>
          <w:rFonts w:ascii="Arial" w:hAnsi="Arial" w:cs="Arial"/>
          <w:sz w:val="24"/>
          <w:lang w:val="en-US"/>
        </w:rPr>
        <w:t>3.1</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453547">
        <w:rPr>
          <w:rFonts w:ascii="Arial" w:hAnsi="Arial" w:cs="Arial"/>
          <w:sz w:val="24"/>
          <w:lang w:val="en-US" w:eastAsia="ja-JP"/>
        </w:rPr>
        <w:t xml:space="preserve">MediaTek Inc. </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CA5B49">
        <w:rPr>
          <w:rFonts w:ascii="Arial" w:hAnsi="Arial" w:cs="Arial"/>
          <w:sz w:val="22"/>
        </w:rPr>
        <w:t xml:space="preserve">Intra-band </w:t>
      </w:r>
      <w:r w:rsidR="007A6546">
        <w:rPr>
          <w:rFonts w:ascii="Arial" w:hAnsi="Arial" w:cs="Arial"/>
          <w:sz w:val="24"/>
          <w:szCs w:val="24"/>
        </w:rPr>
        <w:t>NC CA DL CC power difference tolerance in UE receiver</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5472E2" w:rsidRPr="007408EB">
        <w:rPr>
          <w:rFonts w:ascii="Arial" w:hAnsi="Arial" w:cs="Arial"/>
          <w:sz w:val="24"/>
          <w:lang w:eastAsia="ja-JP"/>
        </w:rPr>
        <w:t>Discussion</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7A6546" w:rsidP="00FD1A62">
      <w:pPr>
        <w:spacing w:after="120"/>
        <w:jc w:val="both"/>
        <w:rPr>
          <w:rFonts w:ascii="Arial" w:hAnsi="Arial" w:cs="Arial"/>
          <w:lang w:eastAsia="ja-JP"/>
        </w:rPr>
      </w:pPr>
      <w:r>
        <w:rPr>
          <w:rFonts w:ascii="Arial" w:hAnsi="Arial" w:cs="Arial"/>
          <w:lang w:eastAsia="ja-JP"/>
        </w:rPr>
        <w:t>In RAN4 #68 meeting, a potential issue related to intra-band NC CA operation was raised where the power difference between two component carriers s</w:t>
      </w:r>
      <w:r w:rsidR="00E571B2">
        <w:rPr>
          <w:rFonts w:ascii="Arial" w:hAnsi="Arial" w:cs="Arial"/>
          <w:lang w:eastAsia="ja-JP"/>
        </w:rPr>
        <w:t>een by UE receiver front-end could</w:t>
      </w:r>
      <w:r>
        <w:rPr>
          <w:rFonts w:ascii="Arial" w:hAnsi="Arial" w:cs="Arial"/>
          <w:lang w:eastAsia="ja-JP"/>
        </w:rPr>
        <w:t xml:space="preserve"> be as high as 90 dB under worst-case d</w:t>
      </w:r>
      <w:r w:rsidR="00A47399">
        <w:rPr>
          <w:rFonts w:ascii="Arial" w:hAnsi="Arial" w:cs="Arial"/>
          <w:lang w:eastAsia="ja-JP"/>
        </w:rPr>
        <w:t xml:space="preserve">eployment scenario </w:t>
      </w:r>
      <w:r w:rsidR="00CD7218">
        <w:rPr>
          <w:rFonts w:ascii="Arial" w:hAnsi="Arial" w:cs="Arial"/>
          <w:lang w:eastAsia="ja-JP"/>
        </w:rPr>
        <w:t>[1]. It was agreed that the maximum</w:t>
      </w:r>
      <w:r w:rsidR="00BA6F4E">
        <w:rPr>
          <w:rFonts w:ascii="Arial" w:hAnsi="Arial" w:cs="Arial"/>
          <w:lang w:eastAsia="ja-JP"/>
        </w:rPr>
        <w:t xml:space="preserve"> power difference </w:t>
      </w:r>
      <w:r w:rsidR="00947D5E">
        <w:rPr>
          <w:rFonts w:ascii="Arial" w:hAnsi="Arial" w:cs="Arial"/>
          <w:lang w:eastAsia="ja-JP"/>
        </w:rPr>
        <w:t xml:space="preserve">between two CCs </w:t>
      </w:r>
      <w:r w:rsidR="00BA6F4E">
        <w:rPr>
          <w:rFonts w:ascii="Arial" w:hAnsi="Arial" w:cs="Arial"/>
          <w:lang w:eastAsia="ja-JP"/>
        </w:rPr>
        <w:t xml:space="preserve">allowed by a </w:t>
      </w:r>
      <w:r w:rsidR="00CD7218">
        <w:rPr>
          <w:rFonts w:ascii="Arial" w:hAnsi="Arial" w:cs="Arial"/>
          <w:lang w:eastAsia="ja-JP"/>
        </w:rPr>
        <w:t xml:space="preserve">UE </w:t>
      </w:r>
      <w:r w:rsidR="00BA6F4E">
        <w:rPr>
          <w:rFonts w:ascii="Arial" w:hAnsi="Arial" w:cs="Arial"/>
          <w:lang w:eastAsia="ja-JP"/>
        </w:rPr>
        <w:t xml:space="preserve">receiver needs to be further studied in </w:t>
      </w:r>
      <w:r w:rsidR="00E571B2">
        <w:rPr>
          <w:rFonts w:ascii="Arial" w:hAnsi="Arial" w:cs="Arial"/>
          <w:lang w:eastAsia="ja-JP"/>
        </w:rPr>
        <w:t xml:space="preserve">imminent </w:t>
      </w:r>
      <w:r w:rsidR="00BA6F4E">
        <w:rPr>
          <w:rFonts w:ascii="Arial" w:hAnsi="Arial" w:cs="Arial"/>
          <w:lang w:eastAsia="ja-JP"/>
        </w:rPr>
        <w:t>RF sessions</w:t>
      </w:r>
      <w:r w:rsidR="00CB6A25">
        <w:rPr>
          <w:rFonts w:ascii="Arial" w:hAnsi="Arial" w:cs="Arial"/>
          <w:lang w:eastAsia="ja-JP"/>
        </w:rPr>
        <w:t xml:space="preserve"> [2]</w:t>
      </w:r>
      <w:r w:rsidR="00BA6F4E">
        <w:rPr>
          <w:rFonts w:ascii="Arial" w:hAnsi="Arial" w:cs="Arial"/>
          <w:lang w:eastAsia="ja-JP"/>
        </w:rPr>
        <w:t xml:space="preserve">. </w:t>
      </w:r>
      <w:r w:rsidR="00A47399">
        <w:rPr>
          <w:rFonts w:ascii="Arial" w:hAnsi="Arial" w:cs="Arial"/>
          <w:lang w:eastAsia="ja-JP"/>
        </w:rPr>
        <w:t xml:space="preserve">In this contribution, we </w:t>
      </w:r>
      <w:r w:rsidR="00AC7E27">
        <w:rPr>
          <w:rFonts w:ascii="Arial" w:hAnsi="Arial" w:cs="Arial"/>
          <w:lang w:eastAsia="ja-JP"/>
        </w:rPr>
        <w:t>have carried out</w:t>
      </w:r>
      <w:r w:rsidR="00A47399">
        <w:rPr>
          <w:rFonts w:ascii="Arial" w:hAnsi="Arial" w:cs="Arial"/>
          <w:lang w:eastAsia="ja-JP"/>
        </w:rPr>
        <w:t xml:space="preserve"> </w:t>
      </w:r>
      <w:r w:rsidR="002F3313">
        <w:rPr>
          <w:rFonts w:ascii="Arial" w:hAnsi="Arial" w:cs="Arial"/>
          <w:lang w:eastAsia="ja-JP"/>
        </w:rPr>
        <w:t xml:space="preserve">link budget analysis to perceive the allowable power difference </w:t>
      </w:r>
      <w:r w:rsidR="00AC7E27">
        <w:rPr>
          <w:rFonts w:ascii="Arial" w:hAnsi="Arial" w:cs="Arial"/>
          <w:lang w:eastAsia="ja-JP"/>
        </w:rPr>
        <w:t>between two CCs subject</w:t>
      </w:r>
      <w:r w:rsidR="00CD7218">
        <w:rPr>
          <w:rFonts w:ascii="Arial" w:hAnsi="Arial" w:cs="Arial"/>
          <w:lang w:eastAsia="ja-JP"/>
        </w:rPr>
        <w:t>ed</w:t>
      </w:r>
      <w:r w:rsidR="00AC7E27">
        <w:rPr>
          <w:rFonts w:ascii="Arial" w:hAnsi="Arial" w:cs="Arial"/>
          <w:lang w:eastAsia="ja-JP"/>
        </w:rPr>
        <w:t xml:space="preserve"> to </w:t>
      </w:r>
      <w:r w:rsidR="00CD7218">
        <w:rPr>
          <w:rFonts w:ascii="Arial" w:hAnsi="Arial" w:cs="Arial"/>
          <w:lang w:eastAsia="ja-JP"/>
        </w:rPr>
        <w:t>three specific desensitization levels</w:t>
      </w:r>
      <w:r w:rsidR="00AC7E27">
        <w:rPr>
          <w:rFonts w:ascii="Arial" w:hAnsi="Arial" w:cs="Arial"/>
          <w:lang w:eastAsia="ja-JP"/>
        </w:rPr>
        <w:t xml:space="preserve"> for a </w:t>
      </w:r>
      <w:r w:rsidR="00F11CCA">
        <w:rPr>
          <w:rFonts w:ascii="Arial" w:hAnsi="Arial" w:cs="Arial"/>
          <w:lang w:eastAsia="ja-JP"/>
        </w:rPr>
        <w:t>practical</w:t>
      </w:r>
      <w:r w:rsidR="00AC7E27">
        <w:rPr>
          <w:rFonts w:ascii="Arial" w:hAnsi="Arial" w:cs="Arial"/>
          <w:lang w:eastAsia="ja-JP"/>
        </w:rPr>
        <w:t xml:space="preserve"> UE receiver</w:t>
      </w:r>
      <w:r w:rsidR="00CD7218">
        <w:rPr>
          <w:rFonts w:ascii="Arial" w:hAnsi="Arial" w:cs="Arial"/>
          <w:lang w:eastAsia="ja-JP"/>
        </w:rPr>
        <w:t xml:space="preserve">. </w:t>
      </w:r>
      <w:r w:rsidR="00AC7E27">
        <w:rPr>
          <w:rFonts w:ascii="Arial" w:hAnsi="Arial" w:cs="Arial"/>
          <w:lang w:eastAsia="ja-JP"/>
        </w:rPr>
        <w:t xml:space="preserve">  </w:t>
      </w:r>
      <w:r>
        <w:rPr>
          <w:rFonts w:ascii="Arial" w:hAnsi="Arial" w:cs="Arial"/>
          <w:lang w:eastAsia="ja-JP"/>
        </w:rPr>
        <w:t xml:space="preserve"> </w:t>
      </w:r>
      <w:r w:rsidR="00E61047">
        <w:rPr>
          <w:rFonts w:ascii="Arial" w:hAnsi="Arial" w:cs="Arial"/>
          <w:lang w:eastAsia="ja-JP"/>
        </w:rPr>
        <w:t xml:space="preserve"> </w:t>
      </w:r>
      <w:r w:rsidR="000F0DFF">
        <w:rPr>
          <w:rFonts w:ascii="Arial" w:hAnsi="Arial" w:cs="Arial"/>
          <w:lang w:eastAsia="ja-JP"/>
        </w:rPr>
        <w:t xml:space="preserve">  </w:t>
      </w:r>
      <w:r w:rsidR="00362E20">
        <w:rPr>
          <w:rFonts w:ascii="Arial" w:hAnsi="Arial" w:cs="Arial"/>
          <w:lang w:eastAsia="ja-JP"/>
        </w:rPr>
        <w:t xml:space="preserve">  </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C47251" w:rsidRDefault="00EC2E20" w:rsidP="00C47251">
      <w:pPr>
        <w:spacing w:after="120"/>
        <w:jc w:val="both"/>
        <w:rPr>
          <w:rFonts w:ascii="Arial" w:hAnsi="Arial" w:cs="Arial"/>
          <w:lang w:eastAsia="ja-JP"/>
        </w:rPr>
      </w:pPr>
      <w:r>
        <w:rPr>
          <w:rFonts w:ascii="Arial" w:hAnsi="Arial" w:cs="Arial"/>
          <w:lang w:eastAsia="ja-JP"/>
        </w:rPr>
        <w:t>The link budget analysis was based on the following assumptions,</w:t>
      </w:r>
    </w:p>
    <w:p w:rsidR="00E136C0" w:rsidRPr="00E136C0" w:rsidRDefault="00E136C0" w:rsidP="00C47251">
      <w:pPr>
        <w:pStyle w:val="ListParagraph"/>
        <w:numPr>
          <w:ilvl w:val="0"/>
          <w:numId w:val="24"/>
        </w:numPr>
        <w:spacing w:before="120" w:line="300" w:lineRule="exact"/>
        <w:rPr>
          <w:lang w:eastAsia="ja-JP"/>
        </w:rPr>
      </w:pPr>
      <w:r>
        <w:rPr>
          <w:rFonts w:ascii="Arial" w:hAnsi="Arial" w:cs="Arial"/>
          <w:lang w:eastAsia="ja-JP"/>
        </w:rPr>
        <w:t>QPSK modulation with demodulator SNR requirement at -3 dB.</w:t>
      </w:r>
    </w:p>
    <w:p w:rsidR="00C47251" w:rsidRPr="00FA066C" w:rsidRDefault="00C47251" w:rsidP="00C47251">
      <w:pPr>
        <w:pStyle w:val="ListParagraph"/>
        <w:numPr>
          <w:ilvl w:val="0"/>
          <w:numId w:val="24"/>
        </w:numPr>
        <w:spacing w:before="120" w:line="300" w:lineRule="exact"/>
        <w:rPr>
          <w:lang w:eastAsia="ja-JP"/>
        </w:rPr>
      </w:pPr>
      <w:r>
        <w:rPr>
          <w:rFonts w:ascii="Arial" w:hAnsi="Arial" w:cs="Arial"/>
          <w:lang w:eastAsia="ja-JP"/>
        </w:rPr>
        <w:t xml:space="preserve">Two independent Rx paths with separate gain control for PCC and SCC after </w:t>
      </w:r>
      <w:r w:rsidR="00FB5664">
        <w:rPr>
          <w:rFonts w:ascii="Arial" w:hAnsi="Arial" w:cs="Arial"/>
          <w:lang w:eastAsia="ja-JP"/>
        </w:rPr>
        <w:t xml:space="preserve">a </w:t>
      </w:r>
      <w:r>
        <w:rPr>
          <w:rFonts w:ascii="Arial" w:hAnsi="Arial" w:cs="Arial"/>
          <w:lang w:eastAsia="ja-JP"/>
        </w:rPr>
        <w:t>shared LNA</w:t>
      </w:r>
    </w:p>
    <w:p w:rsidR="00FB5664" w:rsidRPr="007D0B35" w:rsidRDefault="00FB5664" w:rsidP="00FB5664">
      <w:pPr>
        <w:pStyle w:val="ListParagraph"/>
        <w:numPr>
          <w:ilvl w:val="0"/>
          <w:numId w:val="24"/>
        </w:numPr>
        <w:spacing w:before="120" w:line="300" w:lineRule="exact"/>
        <w:rPr>
          <w:lang w:eastAsia="ja-JP"/>
        </w:rPr>
      </w:pPr>
      <w:r>
        <w:rPr>
          <w:rFonts w:ascii="Arial" w:hAnsi="Arial" w:cs="Arial"/>
          <w:lang w:eastAsia="ja-JP"/>
        </w:rPr>
        <w:t>Receiver noise figure (NF) is 7 dB at maximum RF front-end gain.</w:t>
      </w:r>
    </w:p>
    <w:p w:rsidR="007D0B35" w:rsidRPr="00FB5664" w:rsidRDefault="007D0B35" w:rsidP="00FB5664">
      <w:pPr>
        <w:pStyle w:val="ListParagraph"/>
        <w:numPr>
          <w:ilvl w:val="0"/>
          <w:numId w:val="24"/>
        </w:numPr>
        <w:spacing w:before="120" w:line="300" w:lineRule="exact"/>
        <w:rPr>
          <w:lang w:eastAsia="ja-JP"/>
        </w:rPr>
      </w:pPr>
      <w:r>
        <w:rPr>
          <w:rFonts w:ascii="Arial" w:hAnsi="Arial" w:cs="Arial"/>
          <w:lang w:eastAsia="ja-JP"/>
        </w:rPr>
        <w:t xml:space="preserve">Receiver LO phase noise (PN) </w:t>
      </w:r>
      <w:r w:rsidR="009B1034">
        <w:rPr>
          <w:rFonts w:ascii="Arial" w:hAnsi="Arial" w:cs="Arial"/>
          <w:lang w:eastAsia="ja-JP"/>
        </w:rPr>
        <w:t xml:space="preserve">profile </w:t>
      </w:r>
      <w:r>
        <w:rPr>
          <w:rFonts w:ascii="Arial" w:hAnsi="Arial" w:cs="Arial"/>
          <w:lang w:eastAsia="ja-JP"/>
        </w:rPr>
        <w:t>shown in Figure 2-1.</w:t>
      </w:r>
    </w:p>
    <w:p w:rsidR="001B0D02" w:rsidRPr="001B0D02" w:rsidRDefault="00FB5664" w:rsidP="006B27D6">
      <w:pPr>
        <w:pStyle w:val="ListParagraph"/>
        <w:numPr>
          <w:ilvl w:val="0"/>
          <w:numId w:val="24"/>
        </w:numPr>
        <w:spacing w:before="120" w:line="300" w:lineRule="exact"/>
        <w:rPr>
          <w:lang w:eastAsia="ja-JP"/>
        </w:rPr>
      </w:pPr>
      <w:r>
        <w:rPr>
          <w:rFonts w:ascii="Arial" w:hAnsi="Arial" w:cs="Arial"/>
          <w:lang w:eastAsia="ja-JP"/>
        </w:rPr>
        <w:t xml:space="preserve">Receiver IIP3 is -3 dBm at maximum </w:t>
      </w:r>
      <w:r w:rsidR="001B0D02">
        <w:rPr>
          <w:rFonts w:ascii="Arial" w:hAnsi="Arial" w:cs="Arial"/>
          <w:lang w:eastAsia="ja-JP"/>
        </w:rPr>
        <w:t>RF front-end gain.</w:t>
      </w:r>
    </w:p>
    <w:p w:rsidR="001B0D02" w:rsidRPr="00CA3E53" w:rsidRDefault="001B0D02" w:rsidP="00FB5664">
      <w:pPr>
        <w:pStyle w:val="ListParagraph"/>
        <w:numPr>
          <w:ilvl w:val="0"/>
          <w:numId w:val="24"/>
        </w:numPr>
        <w:spacing w:before="120" w:line="300" w:lineRule="exact"/>
        <w:rPr>
          <w:lang w:eastAsia="ja-JP"/>
        </w:rPr>
      </w:pPr>
      <w:r>
        <w:rPr>
          <w:rFonts w:ascii="Arial" w:hAnsi="Arial" w:cs="Arial"/>
          <w:lang w:eastAsia="ja-JP"/>
        </w:rPr>
        <w:t xml:space="preserve">PCC and SCC are of equal bandwidth at either </w:t>
      </w:r>
      <w:r w:rsidR="00CA3E53">
        <w:rPr>
          <w:rFonts w:ascii="Arial" w:hAnsi="Arial" w:cs="Arial"/>
          <w:lang w:eastAsia="ja-JP"/>
        </w:rPr>
        <w:t>5 MHz or 20 MHz.</w:t>
      </w:r>
    </w:p>
    <w:p w:rsidR="00CA3E53" w:rsidRPr="006B27D6" w:rsidRDefault="006D7CCD" w:rsidP="00FB5664">
      <w:pPr>
        <w:pStyle w:val="ListParagraph"/>
        <w:numPr>
          <w:ilvl w:val="0"/>
          <w:numId w:val="24"/>
        </w:numPr>
        <w:spacing w:before="120" w:line="300" w:lineRule="exact"/>
        <w:rPr>
          <w:lang w:eastAsia="ja-JP"/>
        </w:rPr>
      </w:pPr>
      <w:r>
        <w:rPr>
          <w:rFonts w:ascii="Arial" w:hAnsi="Arial" w:cs="Arial"/>
          <w:lang w:eastAsia="ja-JP"/>
        </w:rPr>
        <w:t xml:space="preserve">Base station (BS) DL ACLR </w:t>
      </w:r>
      <w:r w:rsidR="00CA3E53">
        <w:rPr>
          <w:rFonts w:ascii="Arial" w:hAnsi="Arial" w:cs="Arial"/>
          <w:lang w:eastAsia="ja-JP"/>
        </w:rPr>
        <w:t xml:space="preserve">is -55 dBc </w:t>
      </w:r>
      <w:r>
        <w:rPr>
          <w:rFonts w:ascii="Arial" w:hAnsi="Arial" w:cs="Arial"/>
          <w:lang w:eastAsia="ja-JP"/>
        </w:rPr>
        <w:t xml:space="preserve">(N+1) </w:t>
      </w:r>
      <w:r w:rsidR="00CA3E53">
        <w:rPr>
          <w:rFonts w:ascii="Arial" w:hAnsi="Arial" w:cs="Arial"/>
          <w:lang w:eastAsia="ja-JP"/>
        </w:rPr>
        <w:t xml:space="preserve">and </w:t>
      </w:r>
      <w:r>
        <w:rPr>
          <w:rFonts w:ascii="Arial" w:hAnsi="Arial" w:cs="Arial"/>
          <w:lang w:eastAsia="ja-JP"/>
        </w:rPr>
        <w:t>far-out</w:t>
      </w:r>
      <w:r w:rsidR="00CA3E53">
        <w:rPr>
          <w:rFonts w:ascii="Arial" w:hAnsi="Arial" w:cs="Arial"/>
          <w:lang w:eastAsia="ja-JP"/>
        </w:rPr>
        <w:t xml:space="preserve"> emission level is -80 dBc at (N+9) offset. The emission level between (N+1) and (N+9) offset was linearly interpolated.</w:t>
      </w:r>
    </w:p>
    <w:p w:rsidR="00D21A85" w:rsidRPr="00D21A85" w:rsidRDefault="006B27D6" w:rsidP="00D21A85">
      <w:pPr>
        <w:pStyle w:val="ListParagraph"/>
        <w:numPr>
          <w:ilvl w:val="0"/>
          <w:numId w:val="24"/>
        </w:numPr>
        <w:spacing w:before="120" w:line="300" w:lineRule="exact"/>
        <w:rPr>
          <w:lang w:eastAsia="ja-JP"/>
        </w:rPr>
      </w:pPr>
      <w:r>
        <w:rPr>
          <w:rFonts w:ascii="Arial" w:hAnsi="Arial" w:cs="Arial"/>
          <w:lang w:eastAsia="ja-JP"/>
        </w:rPr>
        <w:t>Band frequency range up to 200 MHz.</w:t>
      </w:r>
    </w:p>
    <w:p w:rsidR="00D21A85" w:rsidRPr="00D21A85" w:rsidRDefault="00D21A85" w:rsidP="00D21A85">
      <w:pPr>
        <w:pStyle w:val="ListParagraph"/>
        <w:spacing w:after="0" w:line="300" w:lineRule="exact"/>
        <w:rPr>
          <w:lang w:eastAsia="ja-JP"/>
        </w:rPr>
      </w:pPr>
    </w:p>
    <w:p w:rsidR="00743AA1" w:rsidRDefault="00707D95" w:rsidP="00707D95">
      <w:pPr>
        <w:spacing w:after="0"/>
        <w:jc w:val="center"/>
        <w:rPr>
          <w:rFonts w:ascii="Arial" w:hAnsi="Arial" w:cs="Arial"/>
          <w:lang w:eastAsia="ja-JP"/>
        </w:rPr>
      </w:pPr>
      <w:r w:rsidRPr="00707D95">
        <w:rPr>
          <w:rFonts w:ascii="Arial" w:hAnsi="Arial" w:cs="Arial"/>
          <w:noProof/>
          <w:lang w:val="en-US" w:eastAsia="zh-CN"/>
        </w:rPr>
        <w:drawing>
          <wp:inline distT="0" distB="0" distL="0" distR="0">
            <wp:extent cx="3345180" cy="1935480"/>
            <wp:effectExtent l="19050" t="0" r="26670" b="7620"/>
            <wp:docPr id="44"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21A85" w:rsidRDefault="00D21A85" w:rsidP="00707D95">
      <w:pPr>
        <w:spacing w:after="0"/>
        <w:jc w:val="center"/>
        <w:rPr>
          <w:rFonts w:ascii="Arial" w:hAnsi="Arial" w:cs="Arial"/>
          <w:lang w:eastAsia="ja-JP"/>
        </w:rPr>
      </w:pPr>
    </w:p>
    <w:p w:rsidR="00D21A85" w:rsidRPr="00D21A85" w:rsidRDefault="00D21A85" w:rsidP="00D21A85">
      <w:pPr>
        <w:spacing w:after="120"/>
        <w:jc w:val="center"/>
        <w:rPr>
          <w:rFonts w:ascii="Arial" w:hAnsi="Arial" w:cs="Arial"/>
          <w:lang w:eastAsia="ja-JP"/>
        </w:rPr>
      </w:pPr>
      <w:r>
        <w:rPr>
          <w:rFonts w:ascii="Arial" w:hAnsi="Arial" w:cs="Arial"/>
          <w:b/>
          <w:lang w:eastAsia="ja-JP"/>
        </w:rPr>
        <w:t>Figure 2-1</w:t>
      </w:r>
      <w:r w:rsidRPr="00D21A85">
        <w:rPr>
          <w:rFonts w:ascii="Arial" w:hAnsi="Arial" w:cs="Arial"/>
          <w:b/>
          <w:lang w:eastAsia="ja-JP"/>
        </w:rPr>
        <w:t xml:space="preserve"> </w:t>
      </w:r>
      <w:r w:rsidR="009457EB">
        <w:rPr>
          <w:rFonts w:ascii="Arial" w:hAnsi="Arial" w:cs="Arial"/>
          <w:b/>
          <w:lang w:eastAsia="ja-JP"/>
        </w:rPr>
        <w:t>A</w:t>
      </w:r>
      <w:r>
        <w:rPr>
          <w:rFonts w:ascii="Arial" w:hAnsi="Arial" w:cs="Arial"/>
          <w:b/>
          <w:lang w:eastAsia="ja-JP"/>
        </w:rPr>
        <w:t>ssumed receiver LO phase noise profile</w:t>
      </w:r>
    </w:p>
    <w:p w:rsidR="00D21A85" w:rsidRDefault="00D21A85" w:rsidP="00D21A85">
      <w:pPr>
        <w:spacing w:after="0"/>
        <w:jc w:val="both"/>
        <w:rPr>
          <w:rFonts w:ascii="Arial" w:hAnsi="Arial" w:cs="Arial"/>
          <w:lang w:eastAsia="ja-JP"/>
        </w:rPr>
      </w:pPr>
    </w:p>
    <w:p w:rsidR="00A54AAC" w:rsidRDefault="00D21A85" w:rsidP="008D1ED5">
      <w:pPr>
        <w:spacing w:after="0"/>
        <w:jc w:val="both"/>
        <w:rPr>
          <w:rFonts w:ascii="Arial" w:hAnsi="Arial" w:cs="Arial"/>
          <w:lang w:eastAsia="ja-JP"/>
        </w:rPr>
      </w:pPr>
      <w:r w:rsidRPr="00D21A85">
        <w:rPr>
          <w:rFonts w:ascii="Arial" w:hAnsi="Arial" w:cs="Arial"/>
          <w:lang w:eastAsia="ja-JP"/>
        </w:rPr>
        <w:t>The tolerable power difference between two CCs as a function of carrier frequency separation was evaluated under three sensitivity degradation levels at 0.2 dB, 3 dB, and 6 dB, respectively. Figure 2-2 and 2-3 present the analysis re</w:t>
      </w:r>
      <w:r w:rsidR="009B1034">
        <w:rPr>
          <w:rFonts w:ascii="Arial" w:hAnsi="Arial" w:cs="Arial"/>
          <w:lang w:eastAsia="ja-JP"/>
        </w:rPr>
        <w:t>sults for 5-MHz carriers and 20-</w:t>
      </w:r>
      <w:r w:rsidRPr="00D21A85">
        <w:rPr>
          <w:rFonts w:ascii="Arial" w:hAnsi="Arial" w:cs="Arial"/>
          <w:lang w:eastAsia="ja-JP"/>
        </w:rPr>
        <w:t>MHz carriers, respectively, where channel offset 1 is equivalent to CA with zero frequency gap.</w:t>
      </w:r>
    </w:p>
    <w:p w:rsidR="00391BE8" w:rsidRDefault="008D1ED5" w:rsidP="00391BE8">
      <w:pPr>
        <w:spacing w:after="0"/>
        <w:jc w:val="center"/>
        <w:rPr>
          <w:rFonts w:ascii="Arial" w:hAnsi="Arial" w:cs="Arial"/>
        </w:rPr>
      </w:pPr>
      <w:r w:rsidRPr="008D1ED5">
        <w:rPr>
          <w:rFonts w:ascii="Arial" w:hAnsi="Arial" w:cs="Arial"/>
          <w:noProof/>
          <w:lang w:val="en-US" w:eastAsia="zh-CN"/>
        </w:rPr>
        <w:lastRenderedPageBreak/>
        <w:drawing>
          <wp:inline distT="0" distB="0" distL="0" distR="0">
            <wp:extent cx="5787390" cy="2453640"/>
            <wp:effectExtent l="19050" t="0" r="22860" b="3810"/>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C462F" w:rsidRPr="00315CC7" w:rsidRDefault="00315CC7" w:rsidP="008F5A1B">
      <w:pPr>
        <w:pStyle w:val="ListParagraph"/>
        <w:numPr>
          <w:ilvl w:val="0"/>
          <w:numId w:val="27"/>
        </w:numPr>
        <w:spacing w:before="60" w:after="0"/>
        <w:jc w:val="center"/>
        <w:rPr>
          <w:rFonts w:ascii="Arial" w:hAnsi="Arial" w:cs="Arial"/>
        </w:rPr>
      </w:pPr>
      <w:r>
        <w:rPr>
          <w:rFonts w:ascii="Arial" w:hAnsi="Arial" w:cs="Arial"/>
        </w:rPr>
        <w:t>0.2-dB desensitization</w:t>
      </w:r>
    </w:p>
    <w:p w:rsidR="002C462F" w:rsidRDefault="002C462F" w:rsidP="00391BE8">
      <w:pPr>
        <w:spacing w:after="0"/>
        <w:jc w:val="center"/>
        <w:rPr>
          <w:rFonts w:ascii="Arial" w:hAnsi="Arial" w:cs="Arial"/>
        </w:rPr>
      </w:pPr>
    </w:p>
    <w:p w:rsidR="002C462F" w:rsidRDefault="008D1ED5" w:rsidP="002C462F">
      <w:pPr>
        <w:spacing w:after="0"/>
        <w:jc w:val="center"/>
        <w:rPr>
          <w:rFonts w:ascii="Arial" w:hAnsi="Arial" w:cs="Arial"/>
        </w:rPr>
      </w:pPr>
      <w:r w:rsidRPr="008D1ED5">
        <w:rPr>
          <w:rFonts w:ascii="Arial" w:hAnsi="Arial" w:cs="Arial"/>
          <w:noProof/>
          <w:lang w:val="en-US" w:eastAsia="zh-CN"/>
        </w:rPr>
        <w:drawing>
          <wp:inline distT="0" distB="0" distL="0" distR="0">
            <wp:extent cx="5821680" cy="2506980"/>
            <wp:effectExtent l="19050" t="0" r="26670" b="7620"/>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D1ED5" w:rsidRPr="00315CC7" w:rsidRDefault="00315CC7" w:rsidP="008F5A1B">
      <w:pPr>
        <w:pStyle w:val="ListParagraph"/>
        <w:numPr>
          <w:ilvl w:val="0"/>
          <w:numId w:val="27"/>
        </w:numPr>
        <w:spacing w:before="60" w:after="0"/>
        <w:jc w:val="center"/>
        <w:rPr>
          <w:rFonts w:ascii="Arial" w:hAnsi="Arial" w:cs="Arial"/>
        </w:rPr>
      </w:pPr>
      <w:r>
        <w:rPr>
          <w:rFonts w:ascii="Arial" w:hAnsi="Arial" w:cs="Arial"/>
        </w:rPr>
        <w:t>3-dB desensitization</w:t>
      </w:r>
    </w:p>
    <w:p w:rsidR="002C462F" w:rsidRDefault="002C462F" w:rsidP="00391BE8">
      <w:pPr>
        <w:spacing w:after="0"/>
        <w:jc w:val="center"/>
        <w:rPr>
          <w:rFonts w:ascii="Arial" w:hAnsi="Arial" w:cs="Arial"/>
        </w:rPr>
      </w:pPr>
    </w:p>
    <w:p w:rsidR="008D1ED5" w:rsidRDefault="00125038" w:rsidP="00391BE8">
      <w:pPr>
        <w:spacing w:after="0"/>
        <w:jc w:val="center"/>
        <w:rPr>
          <w:rFonts w:ascii="Arial" w:hAnsi="Arial" w:cs="Arial"/>
        </w:rPr>
      </w:pPr>
      <w:r w:rsidRPr="00125038">
        <w:rPr>
          <w:rFonts w:ascii="Arial" w:hAnsi="Arial" w:cs="Arial"/>
          <w:noProof/>
          <w:lang w:val="en-US" w:eastAsia="zh-CN"/>
        </w:rPr>
        <w:drawing>
          <wp:inline distT="0" distB="0" distL="0" distR="0">
            <wp:extent cx="5836920" cy="2567940"/>
            <wp:effectExtent l="19050" t="0" r="11430" b="3810"/>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D1ED5" w:rsidRPr="00315CC7" w:rsidRDefault="00315CC7" w:rsidP="008F5A1B">
      <w:pPr>
        <w:pStyle w:val="ListParagraph"/>
        <w:numPr>
          <w:ilvl w:val="0"/>
          <w:numId w:val="27"/>
        </w:numPr>
        <w:spacing w:before="60" w:after="0"/>
        <w:jc w:val="center"/>
        <w:rPr>
          <w:rFonts w:ascii="Arial" w:hAnsi="Arial" w:cs="Arial"/>
        </w:rPr>
      </w:pPr>
      <w:r>
        <w:rPr>
          <w:rFonts w:ascii="Arial" w:hAnsi="Arial" w:cs="Arial"/>
        </w:rPr>
        <w:t>6-dB desensitization</w:t>
      </w:r>
    </w:p>
    <w:p w:rsidR="008D1ED5" w:rsidRPr="00391BE8" w:rsidRDefault="008D1ED5" w:rsidP="00391BE8">
      <w:pPr>
        <w:spacing w:after="0"/>
        <w:jc w:val="center"/>
        <w:rPr>
          <w:rFonts w:ascii="Arial" w:hAnsi="Arial" w:cs="Arial"/>
        </w:rPr>
      </w:pPr>
    </w:p>
    <w:p w:rsidR="00391BE8" w:rsidRPr="00391BE8" w:rsidRDefault="002C462F" w:rsidP="00391BE8">
      <w:pPr>
        <w:spacing w:after="120"/>
        <w:jc w:val="center"/>
        <w:rPr>
          <w:rFonts w:ascii="Arial" w:hAnsi="Arial" w:cs="Arial"/>
          <w:b/>
          <w:lang w:eastAsia="ja-JP"/>
        </w:rPr>
      </w:pPr>
      <w:r>
        <w:rPr>
          <w:rFonts w:ascii="Arial" w:hAnsi="Arial" w:cs="Arial"/>
          <w:b/>
        </w:rPr>
        <w:t>Figure 2-2</w:t>
      </w:r>
      <w:r w:rsidR="00391BE8">
        <w:rPr>
          <w:rFonts w:ascii="Arial" w:hAnsi="Arial" w:cs="Arial"/>
          <w:b/>
        </w:rPr>
        <w:t xml:space="preserve"> </w:t>
      </w:r>
      <w:r w:rsidR="00315CC7">
        <w:rPr>
          <w:rFonts w:ascii="Arial" w:hAnsi="Arial" w:cs="Arial"/>
          <w:b/>
        </w:rPr>
        <w:t xml:space="preserve">Tolerable power difference between two 5-MHz CCs as a function of channel offset </w:t>
      </w:r>
    </w:p>
    <w:p w:rsidR="00391BE8" w:rsidRDefault="00391BE8" w:rsidP="009F27A4">
      <w:pPr>
        <w:spacing w:after="0"/>
        <w:jc w:val="both"/>
        <w:rPr>
          <w:rFonts w:ascii="Arial" w:hAnsi="Arial" w:cs="Arial"/>
          <w:lang w:eastAsia="ja-JP"/>
        </w:rPr>
      </w:pPr>
    </w:p>
    <w:p w:rsidR="002C462F" w:rsidRDefault="002C462F" w:rsidP="009F27A4">
      <w:pPr>
        <w:spacing w:before="120"/>
        <w:jc w:val="both"/>
        <w:rPr>
          <w:rFonts w:ascii="Arial" w:hAnsi="Arial" w:cs="Arial"/>
          <w:lang w:eastAsia="ja-JP"/>
        </w:rPr>
      </w:pPr>
    </w:p>
    <w:p w:rsidR="00D0318D" w:rsidRDefault="00D0318D" w:rsidP="00D0318D">
      <w:pPr>
        <w:spacing w:after="0"/>
        <w:jc w:val="center"/>
        <w:rPr>
          <w:rFonts w:ascii="Arial" w:hAnsi="Arial" w:cs="Arial"/>
        </w:rPr>
      </w:pPr>
      <w:r w:rsidRPr="00D0318D">
        <w:rPr>
          <w:rFonts w:ascii="Arial" w:hAnsi="Arial" w:cs="Arial"/>
          <w:noProof/>
          <w:lang w:val="en-US" w:eastAsia="zh-CN"/>
        </w:rPr>
        <w:drawing>
          <wp:inline distT="0" distB="0" distL="0" distR="0">
            <wp:extent cx="5833110" cy="2506980"/>
            <wp:effectExtent l="19050" t="0" r="15240" b="7620"/>
            <wp:docPr id="38" name="Chart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0318D" w:rsidRPr="00315CC7" w:rsidRDefault="00D0318D" w:rsidP="008F5A1B">
      <w:pPr>
        <w:pStyle w:val="ListParagraph"/>
        <w:numPr>
          <w:ilvl w:val="0"/>
          <w:numId w:val="28"/>
        </w:numPr>
        <w:spacing w:before="60" w:after="0"/>
        <w:jc w:val="center"/>
        <w:rPr>
          <w:rFonts w:ascii="Arial" w:hAnsi="Arial" w:cs="Arial"/>
        </w:rPr>
      </w:pPr>
      <w:r>
        <w:rPr>
          <w:rFonts w:ascii="Arial" w:hAnsi="Arial" w:cs="Arial"/>
        </w:rPr>
        <w:t>0.2-dB desensitization</w:t>
      </w:r>
    </w:p>
    <w:p w:rsidR="00D0318D" w:rsidRDefault="00D0318D" w:rsidP="00D0318D">
      <w:pPr>
        <w:spacing w:after="0"/>
        <w:jc w:val="center"/>
        <w:rPr>
          <w:rFonts w:ascii="Arial" w:hAnsi="Arial" w:cs="Arial"/>
        </w:rPr>
      </w:pPr>
    </w:p>
    <w:p w:rsidR="00D0318D" w:rsidRDefault="00D0318D" w:rsidP="00D0318D">
      <w:pPr>
        <w:spacing w:after="0"/>
        <w:jc w:val="center"/>
        <w:rPr>
          <w:rFonts w:ascii="Arial" w:hAnsi="Arial" w:cs="Arial"/>
        </w:rPr>
      </w:pPr>
      <w:r w:rsidRPr="00D0318D">
        <w:rPr>
          <w:rFonts w:ascii="Arial" w:hAnsi="Arial" w:cs="Arial"/>
          <w:noProof/>
          <w:lang w:val="en-US" w:eastAsia="zh-CN"/>
        </w:rPr>
        <w:drawing>
          <wp:inline distT="0" distB="0" distL="0" distR="0">
            <wp:extent cx="5836920" cy="2545080"/>
            <wp:effectExtent l="19050" t="0" r="11430" b="7620"/>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D0318D" w:rsidRPr="00315CC7" w:rsidRDefault="00D0318D" w:rsidP="008F5A1B">
      <w:pPr>
        <w:pStyle w:val="ListParagraph"/>
        <w:numPr>
          <w:ilvl w:val="0"/>
          <w:numId w:val="28"/>
        </w:numPr>
        <w:spacing w:before="60" w:after="0"/>
        <w:jc w:val="center"/>
        <w:rPr>
          <w:rFonts w:ascii="Arial" w:hAnsi="Arial" w:cs="Arial"/>
        </w:rPr>
      </w:pPr>
      <w:r>
        <w:rPr>
          <w:rFonts w:ascii="Arial" w:hAnsi="Arial" w:cs="Arial"/>
        </w:rPr>
        <w:t>3-dB desensitization</w:t>
      </w:r>
    </w:p>
    <w:p w:rsidR="00D0318D" w:rsidRDefault="00D0318D" w:rsidP="00D0318D">
      <w:pPr>
        <w:spacing w:after="0"/>
        <w:jc w:val="center"/>
        <w:rPr>
          <w:rFonts w:ascii="Arial" w:hAnsi="Arial" w:cs="Arial"/>
        </w:rPr>
      </w:pPr>
    </w:p>
    <w:p w:rsidR="00D0318D" w:rsidRDefault="00D0318D" w:rsidP="00D0318D">
      <w:pPr>
        <w:spacing w:after="0"/>
        <w:jc w:val="center"/>
        <w:rPr>
          <w:rFonts w:ascii="Arial" w:hAnsi="Arial" w:cs="Arial"/>
        </w:rPr>
      </w:pPr>
      <w:r w:rsidRPr="00D0318D">
        <w:rPr>
          <w:rFonts w:ascii="Arial" w:hAnsi="Arial" w:cs="Arial"/>
          <w:noProof/>
          <w:lang w:val="en-US" w:eastAsia="zh-CN"/>
        </w:rPr>
        <w:drawing>
          <wp:inline distT="0" distB="0" distL="0" distR="0">
            <wp:extent cx="5833110" cy="2506980"/>
            <wp:effectExtent l="19050" t="0" r="15240" b="7620"/>
            <wp:docPr id="40" name="Chart 4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0318D" w:rsidRPr="00315CC7" w:rsidRDefault="00D0318D" w:rsidP="008F5A1B">
      <w:pPr>
        <w:pStyle w:val="ListParagraph"/>
        <w:numPr>
          <w:ilvl w:val="0"/>
          <w:numId w:val="28"/>
        </w:numPr>
        <w:spacing w:before="60" w:after="0"/>
        <w:jc w:val="center"/>
        <w:rPr>
          <w:rFonts w:ascii="Arial" w:hAnsi="Arial" w:cs="Arial"/>
        </w:rPr>
      </w:pPr>
      <w:r>
        <w:rPr>
          <w:rFonts w:ascii="Arial" w:hAnsi="Arial" w:cs="Arial"/>
        </w:rPr>
        <w:t>6-dB desensitization</w:t>
      </w:r>
    </w:p>
    <w:p w:rsidR="00D0318D" w:rsidRPr="00391BE8" w:rsidRDefault="00D0318D" w:rsidP="00D0318D">
      <w:pPr>
        <w:spacing w:after="0"/>
        <w:jc w:val="center"/>
        <w:rPr>
          <w:rFonts w:ascii="Arial" w:hAnsi="Arial" w:cs="Arial"/>
        </w:rPr>
      </w:pPr>
    </w:p>
    <w:p w:rsidR="00315CC7" w:rsidRPr="00315CC7" w:rsidRDefault="00D0318D" w:rsidP="001A4794">
      <w:pPr>
        <w:spacing w:after="120" w:line="300" w:lineRule="exact"/>
        <w:jc w:val="center"/>
        <w:rPr>
          <w:rFonts w:ascii="Arial" w:hAnsi="Arial" w:cs="Arial"/>
          <w:lang w:eastAsia="ja-JP"/>
        </w:rPr>
      </w:pPr>
      <w:r>
        <w:rPr>
          <w:rFonts w:ascii="Arial" w:hAnsi="Arial" w:cs="Arial"/>
          <w:b/>
        </w:rPr>
        <w:t>Figure 2-</w:t>
      </w:r>
      <w:r w:rsidR="001A4794">
        <w:rPr>
          <w:rFonts w:ascii="Arial" w:hAnsi="Arial" w:cs="Arial"/>
          <w:b/>
        </w:rPr>
        <w:t>3</w:t>
      </w:r>
      <w:r>
        <w:rPr>
          <w:rFonts w:ascii="Arial" w:hAnsi="Arial" w:cs="Arial"/>
          <w:b/>
        </w:rPr>
        <w:t xml:space="preserve"> Tolerable power difference between two </w:t>
      </w:r>
      <w:r w:rsidR="001A4794">
        <w:rPr>
          <w:rFonts w:ascii="Arial" w:hAnsi="Arial" w:cs="Arial"/>
          <w:b/>
        </w:rPr>
        <w:t>20</w:t>
      </w:r>
      <w:r>
        <w:rPr>
          <w:rFonts w:ascii="Arial" w:hAnsi="Arial" w:cs="Arial"/>
          <w:b/>
        </w:rPr>
        <w:t>-MHz CCs as a function of channel offset</w:t>
      </w:r>
    </w:p>
    <w:p w:rsidR="00B040E8" w:rsidRDefault="00B040E8" w:rsidP="008F5A1B">
      <w:pPr>
        <w:spacing w:after="120" w:line="300" w:lineRule="exact"/>
        <w:jc w:val="both"/>
        <w:rPr>
          <w:rFonts w:ascii="Arial" w:hAnsi="Arial" w:cs="Arial"/>
          <w:lang w:eastAsia="ja-JP"/>
        </w:rPr>
      </w:pPr>
      <w:r>
        <w:rPr>
          <w:rFonts w:ascii="Arial" w:hAnsi="Arial" w:cs="Arial"/>
          <w:lang w:eastAsia="ja-JP"/>
        </w:rPr>
        <w:lastRenderedPageBreak/>
        <w:t xml:space="preserve">Based on the aforementioned assumptions and analysis results, it is </w:t>
      </w:r>
      <w:r w:rsidR="008F5A1B">
        <w:rPr>
          <w:rFonts w:ascii="Arial" w:hAnsi="Arial" w:cs="Arial"/>
          <w:lang w:eastAsia="ja-JP"/>
        </w:rPr>
        <w:t>observed</w:t>
      </w:r>
      <w:r>
        <w:rPr>
          <w:rFonts w:ascii="Arial" w:hAnsi="Arial" w:cs="Arial"/>
          <w:lang w:eastAsia="ja-JP"/>
        </w:rPr>
        <w:t xml:space="preserve"> that</w:t>
      </w:r>
      <w:r w:rsidR="00575E94">
        <w:rPr>
          <w:rFonts w:ascii="Arial" w:hAnsi="Arial" w:cs="Arial"/>
          <w:lang w:eastAsia="ja-JP"/>
        </w:rPr>
        <w:t xml:space="preserve"> the allowable power difference is mostly dominated by BS </w:t>
      </w:r>
      <w:r w:rsidR="00F76B1F">
        <w:rPr>
          <w:rFonts w:ascii="Arial" w:hAnsi="Arial" w:cs="Arial"/>
          <w:lang w:eastAsia="ja-JP"/>
        </w:rPr>
        <w:t xml:space="preserve">DL spectral emission </w:t>
      </w:r>
      <w:r w:rsidR="00376369">
        <w:rPr>
          <w:rFonts w:ascii="Arial" w:hAnsi="Arial" w:cs="Arial"/>
          <w:lang w:eastAsia="ja-JP"/>
        </w:rPr>
        <w:t>(SEM)</w:t>
      </w:r>
      <w:r w:rsidR="00F76B1F">
        <w:rPr>
          <w:rFonts w:ascii="Arial" w:hAnsi="Arial" w:cs="Arial"/>
          <w:lang w:eastAsia="ja-JP"/>
        </w:rPr>
        <w:t>.</w:t>
      </w:r>
      <w:r w:rsidR="00575E94">
        <w:rPr>
          <w:rFonts w:ascii="Arial" w:hAnsi="Arial" w:cs="Arial"/>
          <w:lang w:eastAsia="ja-JP"/>
        </w:rPr>
        <w:t xml:space="preserve"> </w:t>
      </w:r>
      <w:r>
        <w:rPr>
          <w:rFonts w:ascii="Arial" w:hAnsi="Arial" w:cs="Arial"/>
          <w:lang w:eastAsia="ja-JP"/>
        </w:rPr>
        <w:t xml:space="preserve"> </w:t>
      </w:r>
    </w:p>
    <w:p w:rsidR="00575E94" w:rsidRDefault="00575E94" w:rsidP="00575E94">
      <w:pPr>
        <w:spacing w:after="0" w:line="300" w:lineRule="exact"/>
        <w:jc w:val="both"/>
        <w:rPr>
          <w:rFonts w:ascii="Arial" w:hAnsi="Arial" w:cs="Arial"/>
          <w:lang w:eastAsia="ja-JP"/>
        </w:rPr>
      </w:pPr>
    </w:p>
    <w:p w:rsidR="005E7A99" w:rsidRDefault="001A4794" w:rsidP="008F5A1B">
      <w:pPr>
        <w:spacing w:after="120" w:line="300" w:lineRule="exact"/>
        <w:jc w:val="both"/>
        <w:rPr>
          <w:rFonts w:ascii="Arial" w:hAnsi="Arial" w:cs="Arial"/>
          <w:lang w:eastAsia="ja-JP"/>
        </w:rPr>
      </w:pPr>
      <w:r>
        <w:rPr>
          <w:rFonts w:ascii="Arial" w:hAnsi="Arial" w:cs="Arial"/>
          <w:lang w:eastAsia="ja-JP"/>
        </w:rPr>
        <w:t xml:space="preserve">Table 2-1 further summarizes the lower bound of power difference between two CCs which is expected to </w:t>
      </w:r>
      <w:r w:rsidR="005E7A99">
        <w:rPr>
          <w:rFonts w:ascii="Arial" w:hAnsi="Arial" w:cs="Arial"/>
          <w:lang w:eastAsia="ja-JP"/>
        </w:rPr>
        <w:t>occur</w:t>
      </w:r>
      <w:r>
        <w:rPr>
          <w:rFonts w:ascii="Arial" w:hAnsi="Arial" w:cs="Arial"/>
          <w:lang w:eastAsia="ja-JP"/>
        </w:rPr>
        <w:t xml:space="preserve"> at zero frequency </w:t>
      </w:r>
      <w:r w:rsidR="005E7A99">
        <w:rPr>
          <w:rFonts w:ascii="Arial" w:hAnsi="Arial" w:cs="Arial"/>
          <w:lang w:eastAsia="ja-JP"/>
        </w:rPr>
        <w:t>gap.</w:t>
      </w:r>
    </w:p>
    <w:p w:rsidR="00DA36B8" w:rsidRDefault="00DA36B8" w:rsidP="00DA36B8">
      <w:pPr>
        <w:spacing w:after="0" w:line="300" w:lineRule="exact"/>
        <w:jc w:val="both"/>
        <w:rPr>
          <w:rFonts w:ascii="Arial" w:hAnsi="Arial" w:cs="Arial"/>
          <w:lang w:eastAsia="ja-JP"/>
        </w:rPr>
      </w:pPr>
    </w:p>
    <w:tbl>
      <w:tblPr>
        <w:tblW w:w="4181" w:type="dxa"/>
        <w:jc w:val="center"/>
        <w:tblInd w:w="96" w:type="dxa"/>
        <w:tblLook w:val="04A0"/>
      </w:tblPr>
      <w:tblGrid>
        <w:gridCol w:w="1581"/>
        <w:gridCol w:w="1300"/>
        <w:gridCol w:w="1300"/>
      </w:tblGrid>
      <w:tr w:rsidR="00DA36B8" w:rsidRPr="00DA36B8" w:rsidTr="00575E94">
        <w:trPr>
          <w:trHeight w:val="300"/>
          <w:jc w:val="center"/>
        </w:trPr>
        <w:tc>
          <w:tcPr>
            <w:tcW w:w="1581" w:type="dxa"/>
            <w:tcBorders>
              <w:top w:val="single" w:sz="8" w:space="0" w:color="auto"/>
              <w:left w:val="single" w:sz="8" w:space="0" w:color="auto"/>
              <w:bottom w:val="nil"/>
              <w:right w:val="single" w:sz="4" w:space="0" w:color="auto"/>
            </w:tcBorders>
            <w:shd w:val="clear" w:color="auto" w:fill="auto"/>
            <w:noWrap/>
            <w:vAlign w:val="bottom"/>
            <w:hideMark/>
          </w:tcPr>
          <w:p w:rsidR="00DA36B8" w:rsidRPr="00DA36B8" w:rsidRDefault="00DA36B8" w:rsidP="00DA36B8">
            <w:pPr>
              <w:spacing w:after="0"/>
              <w:jc w:val="center"/>
              <w:rPr>
                <w:rFonts w:ascii="Calibri" w:eastAsia="Times New Roman" w:hAnsi="Calibri"/>
                <w:color w:val="000000"/>
                <w:sz w:val="22"/>
                <w:szCs w:val="22"/>
                <w:lang w:val="en-US" w:eastAsia="zh-CN"/>
              </w:rPr>
            </w:pPr>
            <w:r w:rsidRPr="00DA36B8">
              <w:rPr>
                <w:rFonts w:ascii="Calibri" w:eastAsia="Times New Roman" w:hAnsi="Calibri"/>
                <w:color w:val="000000"/>
                <w:sz w:val="22"/>
                <w:szCs w:val="22"/>
                <w:lang w:val="en-US" w:eastAsia="zh-CN"/>
              </w:rPr>
              <w:t>Desensitization</w:t>
            </w:r>
          </w:p>
        </w:tc>
        <w:tc>
          <w:tcPr>
            <w:tcW w:w="1300" w:type="dxa"/>
            <w:tcBorders>
              <w:top w:val="single" w:sz="8" w:space="0" w:color="auto"/>
              <w:left w:val="nil"/>
              <w:bottom w:val="nil"/>
              <w:right w:val="single" w:sz="4" w:space="0" w:color="auto"/>
            </w:tcBorders>
            <w:shd w:val="clear" w:color="auto" w:fill="auto"/>
            <w:noWrap/>
            <w:vAlign w:val="bottom"/>
            <w:hideMark/>
          </w:tcPr>
          <w:p w:rsidR="00DA36B8" w:rsidRPr="00DA36B8" w:rsidRDefault="00DA36B8" w:rsidP="00DA36B8">
            <w:pPr>
              <w:spacing w:after="0"/>
              <w:jc w:val="center"/>
              <w:rPr>
                <w:rFonts w:ascii="Calibri" w:eastAsia="Times New Roman" w:hAnsi="Calibri"/>
                <w:color w:val="000000"/>
                <w:sz w:val="22"/>
                <w:szCs w:val="22"/>
                <w:lang w:val="en-US" w:eastAsia="zh-CN"/>
              </w:rPr>
            </w:pPr>
            <w:r w:rsidRPr="00DA36B8">
              <w:rPr>
                <w:rFonts w:ascii="Calibri" w:eastAsia="Times New Roman" w:hAnsi="Calibri"/>
                <w:color w:val="000000"/>
                <w:sz w:val="22"/>
                <w:szCs w:val="22"/>
                <w:lang w:val="en-US" w:eastAsia="zh-CN"/>
              </w:rPr>
              <w:t>5-MHz CCs</w:t>
            </w:r>
          </w:p>
        </w:tc>
        <w:tc>
          <w:tcPr>
            <w:tcW w:w="1300" w:type="dxa"/>
            <w:tcBorders>
              <w:top w:val="single" w:sz="8" w:space="0" w:color="auto"/>
              <w:left w:val="nil"/>
              <w:bottom w:val="nil"/>
              <w:right w:val="single" w:sz="8" w:space="0" w:color="auto"/>
            </w:tcBorders>
            <w:shd w:val="clear" w:color="auto" w:fill="auto"/>
            <w:noWrap/>
            <w:vAlign w:val="bottom"/>
            <w:hideMark/>
          </w:tcPr>
          <w:p w:rsidR="00DA36B8" w:rsidRPr="00DA36B8" w:rsidRDefault="00DA36B8" w:rsidP="00DA36B8">
            <w:pPr>
              <w:spacing w:after="0"/>
              <w:jc w:val="center"/>
              <w:rPr>
                <w:rFonts w:ascii="Calibri" w:eastAsia="Times New Roman" w:hAnsi="Calibri"/>
                <w:color w:val="000000"/>
                <w:sz w:val="22"/>
                <w:szCs w:val="22"/>
                <w:lang w:val="en-US" w:eastAsia="zh-CN"/>
              </w:rPr>
            </w:pPr>
            <w:r w:rsidRPr="00DA36B8">
              <w:rPr>
                <w:rFonts w:ascii="Calibri" w:eastAsia="Times New Roman" w:hAnsi="Calibri"/>
                <w:color w:val="000000"/>
                <w:sz w:val="22"/>
                <w:szCs w:val="22"/>
                <w:lang w:val="en-US" w:eastAsia="zh-CN"/>
              </w:rPr>
              <w:t>20-MHz CCs</w:t>
            </w:r>
          </w:p>
        </w:tc>
      </w:tr>
      <w:tr w:rsidR="00DA36B8" w:rsidRPr="00DA36B8" w:rsidTr="00575E94">
        <w:trPr>
          <w:trHeight w:val="300"/>
          <w:jc w:val="center"/>
        </w:trPr>
        <w:tc>
          <w:tcPr>
            <w:tcW w:w="1581" w:type="dxa"/>
            <w:tcBorders>
              <w:top w:val="double" w:sz="6" w:space="0" w:color="auto"/>
              <w:left w:val="single" w:sz="8" w:space="0" w:color="auto"/>
              <w:bottom w:val="single" w:sz="4" w:space="0" w:color="auto"/>
              <w:right w:val="single" w:sz="4" w:space="0" w:color="auto"/>
            </w:tcBorders>
            <w:shd w:val="clear" w:color="auto" w:fill="auto"/>
            <w:noWrap/>
            <w:vAlign w:val="bottom"/>
            <w:hideMark/>
          </w:tcPr>
          <w:p w:rsidR="00DA36B8" w:rsidRPr="00DA36B8" w:rsidRDefault="00DA36B8" w:rsidP="00DA36B8">
            <w:pPr>
              <w:spacing w:after="0"/>
              <w:jc w:val="center"/>
              <w:rPr>
                <w:rFonts w:ascii="Calibri" w:eastAsia="Times New Roman" w:hAnsi="Calibri"/>
                <w:color w:val="000000"/>
                <w:sz w:val="22"/>
                <w:szCs w:val="22"/>
                <w:lang w:val="en-US" w:eastAsia="zh-CN"/>
              </w:rPr>
            </w:pPr>
            <w:r w:rsidRPr="00DA36B8">
              <w:rPr>
                <w:rFonts w:ascii="Calibri" w:eastAsia="Times New Roman" w:hAnsi="Calibri"/>
                <w:color w:val="000000"/>
                <w:sz w:val="22"/>
                <w:szCs w:val="22"/>
                <w:lang w:val="en-US" w:eastAsia="zh-CN"/>
              </w:rPr>
              <w:t>0.2 dB</w:t>
            </w:r>
          </w:p>
        </w:tc>
        <w:tc>
          <w:tcPr>
            <w:tcW w:w="1300" w:type="dxa"/>
            <w:tcBorders>
              <w:top w:val="double" w:sz="6" w:space="0" w:color="auto"/>
              <w:left w:val="nil"/>
              <w:bottom w:val="single" w:sz="4" w:space="0" w:color="auto"/>
              <w:right w:val="single" w:sz="4" w:space="0" w:color="auto"/>
            </w:tcBorders>
            <w:shd w:val="clear" w:color="auto" w:fill="auto"/>
            <w:noWrap/>
            <w:vAlign w:val="bottom"/>
            <w:hideMark/>
          </w:tcPr>
          <w:p w:rsidR="00DA36B8" w:rsidRPr="00DA36B8" w:rsidRDefault="008F5A1B" w:rsidP="000D209B">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44</w:t>
            </w:r>
            <w:r w:rsidR="00DA36B8" w:rsidRPr="00DA36B8">
              <w:rPr>
                <w:rFonts w:ascii="Calibri" w:eastAsia="Times New Roman" w:hAnsi="Calibri"/>
                <w:color w:val="000000"/>
                <w:sz w:val="22"/>
                <w:szCs w:val="22"/>
                <w:lang w:val="en-US" w:eastAsia="zh-CN"/>
              </w:rPr>
              <w:t>.</w:t>
            </w:r>
            <w:r w:rsidR="000D209B">
              <w:rPr>
                <w:rFonts w:ascii="Calibri" w:eastAsia="Times New Roman" w:hAnsi="Calibri"/>
                <w:color w:val="000000"/>
                <w:sz w:val="22"/>
                <w:szCs w:val="22"/>
                <w:lang w:val="en-US" w:eastAsia="zh-CN"/>
              </w:rPr>
              <w:t>3</w:t>
            </w:r>
            <w:r w:rsidR="00DA36B8" w:rsidRPr="00DA36B8">
              <w:rPr>
                <w:rFonts w:ascii="Calibri" w:eastAsia="Times New Roman" w:hAnsi="Calibri"/>
                <w:color w:val="000000"/>
                <w:sz w:val="22"/>
                <w:szCs w:val="22"/>
                <w:lang w:val="en-US" w:eastAsia="zh-CN"/>
              </w:rPr>
              <w:t xml:space="preserve"> dB</w:t>
            </w:r>
          </w:p>
        </w:tc>
        <w:tc>
          <w:tcPr>
            <w:tcW w:w="1300" w:type="dxa"/>
            <w:tcBorders>
              <w:top w:val="double" w:sz="6" w:space="0" w:color="auto"/>
              <w:left w:val="nil"/>
              <w:bottom w:val="single" w:sz="4" w:space="0" w:color="auto"/>
              <w:right w:val="single" w:sz="8" w:space="0" w:color="auto"/>
            </w:tcBorders>
            <w:shd w:val="clear" w:color="auto" w:fill="auto"/>
            <w:noWrap/>
            <w:vAlign w:val="bottom"/>
            <w:hideMark/>
          </w:tcPr>
          <w:p w:rsidR="00DA36B8" w:rsidRPr="00DA36B8" w:rsidRDefault="002F05A6" w:rsidP="000D209B">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44</w:t>
            </w:r>
            <w:r w:rsidR="00DA36B8" w:rsidRPr="00DA36B8">
              <w:rPr>
                <w:rFonts w:ascii="Calibri" w:eastAsia="Times New Roman" w:hAnsi="Calibri"/>
                <w:color w:val="000000"/>
                <w:sz w:val="22"/>
                <w:szCs w:val="22"/>
                <w:lang w:val="en-US" w:eastAsia="zh-CN"/>
              </w:rPr>
              <w:t>.</w:t>
            </w:r>
            <w:r w:rsidR="000D209B">
              <w:rPr>
                <w:rFonts w:ascii="Calibri" w:eastAsia="Times New Roman" w:hAnsi="Calibri"/>
                <w:color w:val="000000"/>
                <w:sz w:val="22"/>
                <w:szCs w:val="22"/>
                <w:lang w:val="en-US" w:eastAsia="zh-CN"/>
              </w:rPr>
              <w:t>4</w:t>
            </w:r>
            <w:r w:rsidR="00DA36B8" w:rsidRPr="00DA36B8">
              <w:rPr>
                <w:rFonts w:ascii="Calibri" w:eastAsia="Times New Roman" w:hAnsi="Calibri"/>
                <w:color w:val="000000"/>
                <w:sz w:val="22"/>
                <w:szCs w:val="22"/>
                <w:lang w:val="en-US" w:eastAsia="zh-CN"/>
              </w:rPr>
              <w:t xml:space="preserve"> dB</w:t>
            </w:r>
          </w:p>
        </w:tc>
      </w:tr>
      <w:tr w:rsidR="00DA36B8" w:rsidRPr="00DA36B8" w:rsidTr="00575E94">
        <w:trPr>
          <w:trHeight w:val="288"/>
          <w:jc w:val="center"/>
        </w:trPr>
        <w:tc>
          <w:tcPr>
            <w:tcW w:w="1581" w:type="dxa"/>
            <w:tcBorders>
              <w:top w:val="nil"/>
              <w:left w:val="single" w:sz="8" w:space="0" w:color="auto"/>
              <w:bottom w:val="single" w:sz="4" w:space="0" w:color="auto"/>
              <w:right w:val="single" w:sz="4" w:space="0" w:color="auto"/>
            </w:tcBorders>
            <w:shd w:val="clear" w:color="auto" w:fill="auto"/>
            <w:noWrap/>
            <w:vAlign w:val="bottom"/>
            <w:hideMark/>
          </w:tcPr>
          <w:p w:rsidR="00DA36B8" w:rsidRPr="00DA36B8" w:rsidRDefault="00DA36B8" w:rsidP="00DA36B8">
            <w:pPr>
              <w:spacing w:after="0"/>
              <w:jc w:val="center"/>
              <w:rPr>
                <w:rFonts w:ascii="Calibri" w:eastAsia="Times New Roman" w:hAnsi="Calibri"/>
                <w:color w:val="000000"/>
                <w:sz w:val="22"/>
                <w:szCs w:val="22"/>
                <w:lang w:val="en-US" w:eastAsia="zh-CN"/>
              </w:rPr>
            </w:pPr>
            <w:r w:rsidRPr="00DA36B8">
              <w:rPr>
                <w:rFonts w:ascii="Calibri" w:eastAsia="Times New Roman" w:hAnsi="Calibri"/>
                <w:color w:val="000000"/>
                <w:sz w:val="22"/>
                <w:szCs w:val="22"/>
                <w:lang w:val="en-US" w:eastAsia="zh-CN"/>
              </w:rPr>
              <w:t>3 dB</w:t>
            </w:r>
          </w:p>
        </w:tc>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A36B8" w:rsidRPr="00DA36B8" w:rsidRDefault="00DA36B8" w:rsidP="000D209B">
            <w:pPr>
              <w:spacing w:after="0"/>
              <w:jc w:val="center"/>
              <w:rPr>
                <w:rFonts w:ascii="Calibri" w:eastAsia="Times New Roman" w:hAnsi="Calibri"/>
                <w:color w:val="000000"/>
                <w:sz w:val="22"/>
                <w:szCs w:val="22"/>
                <w:lang w:val="en-US" w:eastAsia="zh-CN"/>
              </w:rPr>
            </w:pPr>
            <w:r w:rsidRPr="00DA36B8">
              <w:rPr>
                <w:rFonts w:ascii="Calibri" w:eastAsia="Times New Roman" w:hAnsi="Calibri"/>
                <w:color w:val="000000"/>
                <w:sz w:val="22"/>
                <w:szCs w:val="22"/>
                <w:lang w:val="en-US" w:eastAsia="zh-CN"/>
              </w:rPr>
              <w:t>5</w:t>
            </w:r>
            <w:r w:rsidR="000D209B">
              <w:rPr>
                <w:rFonts w:ascii="Calibri" w:eastAsia="Times New Roman" w:hAnsi="Calibri"/>
                <w:color w:val="000000"/>
                <w:sz w:val="22"/>
                <w:szCs w:val="22"/>
                <w:lang w:val="en-US" w:eastAsia="zh-CN"/>
              </w:rPr>
              <w:t>4</w:t>
            </w:r>
            <w:r w:rsidRPr="00DA36B8">
              <w:rPr>
                <w:rFonts w:ascii="Calibri" w:eastAsia="Times New Roman" w:hAnsi="Calibri"/>
                <w:color w:val="000000"/>
                <w:sz w:val="22"/>
                <w:szCs w:val="22"/>
                <w:lang w:val="en-US" w:eastAsia="zh-CN"/>
              </w:rPr>
              <w:t>.7 dB</w:t>
            </w:r>
          </w:p>
        </w:tc>
        <w:tc>
          <w:tcPr>
            <w:tcW w:w="1300" w:type="dxa"/>
            <w:tcBorders>
              <w:top w:val="nil"/>
              <w:left w:val="single" w:sz="4" w:space="0" w:color="auto"/>
              <w:bottom w:val="single" w:sz="4" w:space="0" w:color="auto"/>
              <w:right w:val="single" w:sz="8" w:space="0" w:color="auto"/>
            </w:tcBorders>
            <w:shd w:val="clear" w:color="auto" w:fill="auto"/>
            <w:noWrap/>
            <w:vAlign w:val="bottom"/>
            <w:hideMark/>
          </w:tcPr>
          <w:p w:rsidR="00DA36B8" w:rsidRPr="00DA36B8" w:rsidRDefault="00DA36B8" w:rsidP="000D209B">
            <w:pPr>
              <w:spacing w:after="0"/>
              <w:jc w:val="center"/>
              <w:rPr>
                <w:rFonts w:ascii="Calibri" w:eastAsia="Times New Roman" w:hAnsi="Calibri"/>
                <w:color w:val="000000"/>
                <w:sz w:val="22"/>
                <w:szCs w:val="22"/>
                <w:lang w:val="en-US" w:eastAsia="zh-CN"/>
              </w:rPr>
            </w:pPr>
            <w:r w:rsidRPr="00DA36B8">
              <w:rPr>
                <w:rFonts w:ascii="Calibri" w:eastAsia="Times New Roman" w:hAnsi="Calibri"/>
                <w:color w:val="000000"/>
                <w:sz w:val="22"/>
                <w:szCs w:val="22"/>
                <w:lang w:val="en-US" w:eastAsia="zh-CN"/>
              </w:rPr>
              <w:t>5</w:t>
            </w:r>
            <w:r w:rsidR="000D209B">
              <w:rPr>
                <w:rFonts w:ascii="Calibri" w:eastAsia="Times New Roman" w:hAnsi="Calibri"/>
                <w:color w:val="000000"/>
                <w:sz w:val="22"/>
                <w:szCs w:val="22"/>
                <w:lang w:val="en-US" w:eastAsia="zh-CN"/>
              </w:rPr>
              <w:t>4</w:t>
            </w:r>
            <w:r w:rsidRPr="00DA36B8">
              <w:rPr>
                <w:rFonts w:ascii="Calibri" w:eastAsia="Times New Roman" w:hAnsi="Calibri"/>
                <w:color w:val="000000"/>
                <w:sz w:val="22"/>
                <w:szCs w:val="22"/>
                <w:lang w:val="en-US" w:eastAsia="zh-CN"/>
              </w:rPr>
              <w:t>.</w:t>
            </w:r>
            <w:r w:rsidR="002F05A6">
              <w:rPr>
                <w:rFonts w:ascii="Calibri" w:eastAsia="Times New Roman" w:hAnsi="Calibri"/>
                <w:color w:val="000000"/>
                <w:sz w:val="22"/>
                <w:szCs w:val="22"/>
                <w:lang w:val="en-US" w:eastAsia="zh-CN"/>
              </w:rPr>
              <w:t>2</w:t>
            </w:r>
            <w:r w:rsidRPr="00DA36B8">
              <w:rPr>
                <w:rFonts w:ascii="Calibri" w:eastAsia="Times New Roman" w:hAnsi="Calibri"/>
                <w:color w:val="000000"/>
                <w:sz w:val="22"/>
                <w:szCs w:val="22"/>
                <w:lang w:val="en-US" w:eastAsia="zh-CN"/>
              </w:rPr>
              <w:t xml:space="preserve"> dB</w:t>
            </w:r>
          </w:p>
        </w:tc>
      </w:tr>
      <w:tr w:rsidR="00DA36B8" w:rsidRPr="00DA36B8" w:rsidTr="00575E94">
        <w:trPr>
          <w:trHeight w:val="300"/>
          <w:jc w:val="center"/>
        </w:trPr>
        <w:tc>
          <w:tcPr>
            <w:tcW w:w="1581" w:type="dxa"/>
            <w:tcBorders>
              <w:top w:val="nil"/>
              <w:left w:val="single" w:sz="8" w:space="0" w:color="auto"/>
              <w:bottom w:val="single" w:sz="8" w:space="0" w:color="auto"/>
              <w:right w:val="single" w:sz="4" w:space="0" w:color="auto"/>
            </w:tcBorders>
            <w:shd w:val="clear" w:color="auto" w:fill="auto"/>
            <w:noWrap/>
            <w:vAlign w:val="bottom"/>
            <w:hideMark/>
          </w:tcPr>
          <w:p w:rsidR="00DA36B8" w:rsidRPr="00DA36B8" w:rsidRDefault="00DA36B8" w:rsidP="00DA36B8">
            <w:pPr>
              <w:spacing w:after="0"/>
              <w:jc w:val="center"/>
              <w:rPr>
                <w:rFonts w:ascii="Calibri" w:eastAsia="Times New Roman" w:hAnsi="Calibri"/>
                <w:color w:val="000000"/>
                <w:sz w:val="22"/>
                <w:szCs w:val="22"/>
                <w:lang w:val="en-US" w:eastAsia="zh-CN"/>
              </w:rPr>
            </w:pPr>
            <w:r w:rsidRPr="00DA36B8">
              <w:rPr>
                <w:rFonts w:ascii="Calibri" w:eastAsia="Times New Roman" w:hAnsi="Calibri"/>
                <w:color w:val="000000"/>
                <w:sz w:val="22"/>
                <w:szCs w:val="22"/>
                <w:lang w:val="en-US" w:eastAsia="zh-CN"/>
              </w:rPr>
              <w:t>6 dB</w:t>
            </w:r>
          </w:p>
        </w:tc>
        <w:tc>
          <w:tcPr>
            <w:tcW w:w="1300" w:type="dxa"/>
            <w:tcBorders>
              <w:top w:val="single" w:sz="4" w:space="0" w:color="auto"/>
              <w:left w:val="nil"/>
              <w:bottom w:val="single" w:sz="8" w:space="0" w:color="auto"/>
              <w:right w:val="single" w:sz="4" w:space="0" w:color="auto"/>
            </w:tcBorders>
            <w:shd w:val="clear" w:color="auto" w:fill="auto"/>
            <w:noWrap/>
            <w:vAlign w:val="bottom"/>
            <w:hideMark/>
          </w:tcPr>
          <w:p w:rsidR="00DA36B8" w:rsidRPr="00DA36B8" w:rsidRDefault="000D209B" w:rsidP="008F5A1B">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56</w:t>
            </w:r>
            <w:r w:rsidR="00DA36B8" w:rsidRPr="00DA36B8">
              <w:rPr>
                <w:rFonts w:ascii="Calibri" w:eastAsia="Times New Roman" w:hAnsi="Calibri"/>
                <w:color w:val="000000"/>
                <w:sz w:val="22"/>
                <w:szCs w:val="22"/>
                <w:lang w:val="en-US" w:eastAsia="zh-CN"/>
              </w:rPr>
              <w:t>.</w:t>
            </w:r>
            <w:r w:rsidR="008F5A1B">
              <w:rPr>
                <w:rFonts w:ascii="Calibri" w:eastAsia="Times New Roman" w:hAnsi="Calibri"/>
                <w:color w:val="000000"/>
                <w:sz w:val="22"/>
                <w:szCs w:val="22"/>
                <w:lang w:val="en-US" w:eastAsia="zh-CN"/>
              </w:rPr>
              <w:t>3</w:t>
            </w:r>
            <w:r w:rsidR="00DA36B8" w:rsidRPr="00DA36B8">
              <w:rPr>
                <w:rFonts w:ascii="Calibri" w:eastAsia="Times New Roman" w:hAnsi="Calibri"/>
                <w:color w:val="000000"/>
                <w:sz w:val="22"/>
                <w:szCs w:val="22"/>
                <w:lang w:val="en-US" w:eastAsia="zh-CN"/>
              </w:rPr>
              <w:t xml:space="preserve"> dB</w:t>
            </w:r>
          </w:p>
        </w:tc>
        <w:tc>
          <w:tcPr>
            <w:tcW w:w="1300" w:type="dxa"/>
            <w:tcBorders>
              <w:top w:val="nil"/>
              <w:left w:val="nil"/>
              <w:bottom w:val="single" w:sz="8" w:space="0" w:color="auto"/>
              <w:right w:val="single" w:sz="8" w:space="0" w:color="auto"/>
            </w:tcBorders>
            <w:shd w:val="clear" w:color="auto" w:fill="auto"/>
            <w:noWrap/>
            <w:vAlign w:val="bottom"/>
            <w:hideMark/>
          </w:tcPr>
          <w:p w:rsidR="00DA36B8" w:rsidRPr="00DA36B8" w:rsidRDefault="000D209B" w:rsidP="00DA36B8">
            <w:pPr>
              <w:spacing w:after="0"/>
              <w:jc w:val="center"/>
              <w:rPr>
                <w:rFonts w:ascii="Calibri" w:eastAsia="Times New Roman" w:hAnsi="Calibri"/>
                <w:color w:val="000000"/>
                <w:sz w:val="22"/>
                <w:szCs w:val="22"/>
                <w:lang w:val="en-US" w:eastAsia="zh-CN"/>
              </w:rPr>
            </w:pPr>
            <w:r>
              <w:rPr>
                <w:rFonts w:ascii="Calibri" w:eastAsia="Times New Roman" w:hAnsi="Calibri"/>
                <w:color w:val="000000"/>
                <w:sz w:val="22"/>
                <w:szCs w:val="22"/>
                <w:lang w:val="en-US" w:eastAsia="zh-CN"/>
              </w:rPr>
              <w:t>55</w:t>
            </w:r>
            <w:r w:rsidR="00DA36B8" w:rsidRPr="00DA36B8">
              <w:rPr>
                <w:rFonts w:ascii="Calibri" w:eastAsia="Times New Roman" w:hAnsi="Calibri"/>
                <w:color w:val="000000"/>
                <w:sz w:val="22"/>
                <w:szCs w:val="22"/>
                <w:lang w:val="en-US" w:eastAsia="zh-CN"/>
              </w:rPr>
              <w:t>.3 dB</w:t>
            </w:r>
          </w:p>
        </w:tc>
      </w:tr>
    </w:tbl>
    <w:p w:rsidR="00575E94" w:rsidRDefault="00575E94" w:rsidP="008F5A1B">
      <w:pPr>
        <w:spacing w:after="0" w:line="300" w:lineRule="exact"/>
        <w:jc w:val="center"/>
        <w:rPr>
          <w:rFonts w:ascii="Arial" w:hAnsi="Arial" w:cs="Arial"/>
          <w:b/>
          <w:lang w:eastAsia="ja-JP"/>
        </w:rPr>
      </w:pPr>
    </w:p>
    <w:p w:rsidR="00315CC7" w:rsidRPr="00575E94" w:rsidRDefault="00575E94" w:rsidP="00575E94">
      <w:pPr>
        <w:spacing w:after="120" w:line="300" w:lineRule="exact"/>
        <w:jc w:val="center"/>
        <w:rPr>
          <w:rFonts w:ascii="Arial" w:hAnsi="Arial" w:cs="Arial"/>
          <w:lang w:eastAsia="ja-JP"/>
        </w:rPr>
      </w:pPr>
      <w:r>
        <w:rPr>
          <w:rFonts w:ascii="Arial" w:hAnsi="Arial" w:cs="Arial"/>
          <w:b/>
          <w:lang w:eastAsia="ja-JP"/>
        </w:rPr>
        <w:t>Table 2-1</w:t>
      </w:r>
      <w:r w:rsidRPr="00575E94">
        <w:rPr>
          <w:rFonts w:ascii="Arial" w:hAnsi="Arial" w:cs="Arial"/>
          <w:b/>
          <w:lang w:eastAsia="ja-JP"/>
        </w:rPr>
        <w:t xml:space="preserve"> </w:t>
      </w:r>
      <w:r>
        <w:rPr>
          <w:rFonts w:ascii="Arial" w:hAnsi="Arial" w:cs="Arial"/>
          <w:b/>
          <w:lang w:eastAsia="ja-JP"/>
        </w:rPr>
        <w:t>Lower bound of tolerable power difference between two CCs</w:t>
      </w:r>
    </w:p>
    <w:p w:rsidR="00575E94" w:rsidRPr="001A4794" w:rsidRDefault="00575E94" w:rsidP="00134602">
      <w:pPr>
        <w:spacing w:after="0" w:line="300" w:lineRule="exact"/>
        <w:jc w:val="both"/>
        <w:rPr>
          <w:rFonts w:ascii="Arial" w:hAnsi="Arial" w:cs="Arial"/>
          <w:lang w:eastAsia="ja-JP"/>
        </w:rPr>
      </w:pPr>
    </w:p>
    <w:p w:rsidR="00F14520" w:rsidRPr="007408EB" w:rsidRDefault="00F14520" w:rsidP="00F14520">
      <w:pPr>
        <w:pStyle w:val="Heading2"/>
        <w:rPr>
          <w:rFonts w:cs="Arial"/>
        </w:rPr>
      </w:pPr>
      <w:r w:rsidRPr="007408EB">
        <w:rPr>
          <w:rFonts w:cs="Arial"/>
        </w:rPr>
        <w:t>3</w:t>
      </w:r>
      <w:r w:rsidRPr="007408EB">
        <w:rPr>
          <w:rFonts w:cs="Arial"/>
        </w:rPr>
        <w:tab/>
        <w:t>Conclusion</w:t>
      </w:r>
    </w:p>
    <w:p w:rsidR="001F74A5" w:rsidRPr="00E846ED" w:rsidRDefault="00F14520" w:rsidP="002F05A6">
      <w:pPr>
        <w:spacing w:after="120"/>
        <w:jc w:val="both"/>
        <w:rPr>
          <w:lang w:eastAsia="ja-JP"/>
        </w:rPr>
      </w:pPr>
      <w:r>
        <w:rPr>
          <w:rFonts w:ascii="Arial" w:hAnsi="Arial" w:cs="Arial"/>
          <w:lang w:eastAsia="ja-JP"/>
        </w:rPr>
        <w:t xml:space="preserve">In this paper, </w:t>
      </w:r>
      <w:r w:rsidR="002F05A6">
        <w:rPr>
          <w:rFonts w:ascii="Arial" w:hAnsi="Arial" w:cs="Arial"/>
          <w:lang w:eastAsia="ja-JP"/>
        </w:rPr>
        <w:t xml:space="preserve">we’ve carried out </w:t>
      </w:r>
      <w:r w:rsidR="00393EAA">
        <w:rPr>
          <w:rFonts w:ascii="Arial" w:hAnsi="Arial" w:cs="Arial"/>
          <w:lang w:eastAsia="ja-JP"/>
        </w:rPr>
        <w:t xml:space="preserve">UE receiver </w:t>
      </w:r>
      <w:r w:rsidR="002F05A6">
        <w:rPr>
          <w:rFonts w:ascii="Arial" w:hAnsi="Arial" w:cs="Arial"/>
          <w:lang w:eastAsia="ja-JP"/>
        </w:rPr>
        <w:t xml:space="preserve">link budget analysis </w:t>
      </w:r>
      <w:r w:rsidR="00393EAA">
        <w:rPr>
          <w:rFonts w:ascii="Arial" w:hAnsi="Arial" w:cs="Arial"/>
          <w:lang w:eastAsia="ja-JP"/>
        </w:rPr>
        <w:t xml:space="preserve">based on certain practical assumptions </w:t>
      </w:r>
      <w:r w:rsidR="002F05A6">
        <w:rPr>
          <w:rFonts w:ascii="Arial" w:hAnsi="Arial" w:cs="Arial"/>
          <w:lang w:eastAsia="ja-JP"/>
        </w:rPr>
        <w:t xml:space="preserve">to investigate the allowable power difference between two </w:t>
      </w:r>
      <w:r w:rsidR="00393EAA">
        <w:rPr>
          <w:rFonts w:ascii="Arial" w:hAnsi="Arial" w:cs="Arial"/>
          <w:lang w:eastAsia="ja-JP"/>
        </w:rPr>
        <w:t xml:space="preserve">CCs in intra-band NC CA. </w:t>
      </w:r>
      <w:r w:rsidR="006E57F4">
        <w:rPr>
          <w:rFonts w:ascii="Arial" w:hAnsi="Arial" w:cs="Arial"/>
          <w:lang w:eastAsia="ja-JP"/>
        </w:rPr>
        <w:t xml:space="preserve">The results have shown </w:t>
      </w:r>
      <w:r w:rsidR="00393EAA">
        <w:rPr>
          <w:rFonts w:ascii="Arial" w:hAnsi="Arial" w:cs="Arial"/>
          <w:lang w:eastAsia="ja-JP"/>
        </w:rPr>
        <w:t>that the tolerable power difference</w:t>
      </w:r>
      <w:r w:rsidR="00F76B1F">
        <w:rPr>
          <w:rFonts w:ascii="Arial" w:hAnsi="Arial" w:cs="Arial"/>
          <w:lang w:eastAsia="ja-JP"/>
        </w:rPr>
        <w:t xml:space="preserve"> is</w:t>
      </w:r>
      <w:r w:rsidR="006E57F4">
        <w:rPr>
          <w:rFonts w:ascii="Arial" w:hAnsi="Arial" w:cs="Arial"/>
          <w:lang w:eastAsia="ja-JP"/>
        </w:rPr>
        <w:t xml:space="preserve"> mostly dominated by BS DL SEM and is bound to 44.</w:t>
      </w:r>
      <w:r w:rsidR="000D209B">
        <w:rPr>
          <w:rFonts w:ascii="Arial" w:hAnsi="Arial" w:cs="Arial"/>
          <w:lang w:eastAsia="ja-JP"/>
        </w:rPr>
        <w:t>3</w:t>
      </w:r>
      <w:r w:rsidR="006E57F4">
        <w:rPr>
          <w:rFonts w:ascii="Arial" w:hAnsi="Arial" w:cs="Arial"/>
          <w:lang w:eastAsia="ja-JP"/>
        </w:rPr>
        <w:t xml:space="preserve"> dB when two CCs are</w:t>
      </w:r>
      <w:r w:rsidR="000D209B">
        <w:rPr>
          <w:rFonts w:ascii="Arial" w:hAnsi="Arial" w:cs="Arial"/>
          <w:lang w:eastAsia="ja-JP"/>
        </w:rPr>
        <w:t xml:space="preserve"> adjacent to each other and receiver is desensitized by 0.2 dB.</w:t>
      </w:r>
      <w:r w:rsidR="00393EAA">
        <w:rPr>
          <w:rFonts w:ascii="Arial" w:hAnsi="Arial" w:cs="Arial"/>
          <w:lang w:eastAsia="ja-JP"/>
        </w:rPr>
        <w:t xml:space="preserve"> </w:t>
      </w:r>
      <w:r w:rsidR="002F05A6">
        <w:rPr>
          <w:rFonts w:ascii="Arial" w:hAnsi="Arial" w:cs="Arial"/>
          <w:lang w:eastAsia="ja-JP"/>
        </w:rPr>
        <w:t xml:space="preserve"> </w:t>
      </w:r>
    </w:p>
    <w:p w:rsidR="00E846ED" w:rsidRDefault="00E846ED" w:rsidP="00344BF4">
      <w:pPr>
        <w:spacing w:after="0"/>
        <w:jc w:val="both"/>
        <w:rPr>
          <w:rFonts w:ascii="Arial" w:hAnsi="Arial" w:cs="Arial"/>
          <w:lang w:eastAsia="ja-JP"/>
        </w:rPr>
      </w:pPr>
    </w:p>
    <w:p w:rsidR="009C5363" w:rsidRPr="007408EB" w:rsidRDefault="009C5363" w:rsidP="009C5363">
      <w:pPr>
        <w:pStyle w:val="Heading2"/>
        <w:rPr>
          <w:rFonts w:cs="Arial"/>
        </w:rPr>
      </w:pPr>
      <w:r w:rsidRPr="007408EB">
        <w:rPr>
          <w:rFonts w:cs="Arial"/>
        </w:rPr>
        <w:t>4</w:t>
      </w:r>
      <w:r w:rsidRPr="007408EB">
        <w:rPr>
          <w:rFonts w:cs="Arial"/>
        </w:rPr>
        <w:tab/>
        <w:t>References</w:t>
      </w:r>
    </w:p>
    <w:p w:rsidR="00E84D30" w:rsidRDefault="00CB6A25" w:rsidP="009C5363">
      <w:pPr>
        <w:pStyle w:val="B1"/>
        <w:numPr>
          <w:ilvl w:val="0"/>
          <w:numId w:val="1"/>
        </w:numPr>
        <w:jc w:val="both"/>
        <w:rPr>
          <w:rFonts w:ascii="Arial" w:hAnsi="Arial" w:cs="Arial"/>
          <w:lang w:eastAsia="ja-JP"/>
        </w:rPr>
      </w:pPr>
      <w:r w:rsidRPr="000041E0">
        <w:rPr>
          <w:rFonts w:ascii="Arial" w:hAnsi="Arial" w:cs="Arial"/>
          <w:lang w:eastAsia="ja-JP"/>
        </w:rPr>
        <w:t>R4-13</w:t>
      </w:r>
      <w:r>
        <w:rPr>
          <w:rFonts w:ascii="Arial" w:hAnsi="Arial" w:cs="Arial"/>
          <w:lang w:eastAsia="ja-JP"/>
        </w:rPr>
        <w:t>3485, “Received p</w:t>
      </w:r>
      <w:r w:rsidRPr="00CB6A25">
        <w:rPr>
          <w:rFonts w:ascii="Arial" w:hAnsi="Arial" w:cs="Arial"/>
          <w:lang w:eastAsia="ja-JP"/>
        </w:rPr>
        <w:t>ower difference between 2 CCs for intra band non-contiguous CA</w:t>
      </w:r>
      <w:r>
        <w:rPr>
          <w:rFonts w:ascii="Arial" w:hAnsi="Arial" w:cs="Arial"/>
          <w:lang w:eastAsia="ja-JP"/>
        </w:rPr>
        <w:t xml:space="preserve">” NTT DOCOMO, </w:t>
      </w:r>
      <w:r w:rsidRPr="0095765D">
        <w:rPr>
          <w:rFonts w:ascii="Arial" w:hAnsi="Arial" w:cs="Arial"/>
          <w:lang w:eastAsia="ja-JP"/>
        </w:rPr>
        <w:t xml:space="preserve">TSG-RAN WG4 Meeting </w:t>
      </w:r>
      <w:r>
        <w:rPr>
          <w:rFonts w:ascii="Arial" w:hAnsi="Arial" w:cs="Arial"/>
          <w:lang w:eastAsia="ja-JP"/>
        </w:rPr>
        <w:t>#68, Barcelona, Spain, August 19</w:t>
      </w:r>
      <w:r w:rsidRPr="0095765D">
        <w:rPr>
          <w:rFonts w:ascii="Arial" w:hAnsi="Arial" w:cs="Arial"/>
          <w:vertAlign w:val="superscript"/>
          <w:lang w:eastAsia="ja-JP"/>
        </w:rPr>
        <w:t>th</w:t>
      </w:r>
      <w:r>
        <w:rPr>
          <w:rFonts w:ascii="Arial" w:hAnsi="Arial" w:cs="Arial"/>
          <w:lang w:eastAsia="ja-JP"/>
        </w:rPr>
        <w:t xml:space="preserve"> – 23</w:t>
      </w:r>
      <w:r w:rsidRPr="000041E0">
        <w:rPr>
          <w:rFonts w:ascii="Arial" w:hAnsi="Arial" w:cs="Arial"/>
          <w:vertAlign w:val="superscript"/>
          <w:lang w:eastAsia="ja-JP"/>
        </w:rPr>
        <w:t>rd</w:t>
      </w:r>
      <w:r w:rsidRPr="0095765D">
        <w:rPr>
          <w:rFonts w:ascii="Arial" w:hAnsi="Arial" w:cs="Arial"/>
          <w:lang w:eastAsia="ja-JP"/>
        </w:rPr>
        <w:t>, 2013</w:t>
      </w:r>
    </w:p>
    <w:p w:rsidR="00CB6A25" w:rsidRDefault="00CB6A25" w:rsidP="009C5363">
      <w:pPr>
        <w:pStyle w:val="B1"/>
        <w:numPr>
          <w:ilvl w:val="0"/>
          <w:numId w:val="1"/>
        </w:numPr>
        <w:jc w:val="both"/>
        <w:rPr>
          <w:rFonts w:ascii="Arial" w:hAnsi="Arial" w:cs="Arial"/>
          <w:lang w:eastAsia="ja-JP"/>
        </w:rPr>
      </w:pPr>
      <w:r>
        <w:rPr>
          <w:rFonts w:ascii="Arial" w:hAnsi="Arial" w:cs="Arial"/>
          <w:lang w:eastAsia="ja-JP"/>
        </w:rPr>
        <w:t xml:space="preserve">“RAN4 #68 Meeting Report”, </w:t>
      </w:r>
      <w:r w:rsidRPr="00CB6A25">
        <w:rPr>
          <w:rFonts w:ascii="Arial" w:hAnsi="Arial" w:cs="Arial"/>
          <w:lang w:eastAsia="ja-JP"/>
        </w:rPr>
        <w:t>TSG-RAN WG4 Meeting #68, Barcelona, Spain, August 19</w:t>
      </w:r>
      <w:r w:rsidRPr="00CB6A25">
        <w:rPr>
          <w:rFonts w:ascii="Arial" w:hAnsi="Arial" w:cs="Arial"/>
          <w:vertAlign w:val="superscript"/>
          <w:lang w:eastAsia="ja-JP"/>
        </w:rPr>
        <w:t>th</w:t>
      </w:r>
      <w:r w:rsidRPr="00CB6A25">
        <w:rPr>
          <w:rFonts w:ascii="Arial" w:hAnsi="Arial" w:cs="Arial"/>
          <w:lang w:eastAsia="ja-JP"/>
        </w:rPr>
        <w:t xml:space="preserve"> – 23</w:t>
      </w:r>
      <w:r w:rsidRPr="00CB6A25">
        <w:rPr>
          <w:rFonts w:ascii="Arial" w:hAnsi="Arial" w:cs="Arial"/>
          <w:vertAlign w:val="superscript"/>
          <w:lang w:eastAsia="ja-JP"/>
        </w:rPr>
        <w:t>rd</w:t>
      </w:r>
      <w:r w:rsidRPr="00CB6A25">
        <w:rPr>
          <w:rFonts w:ascii="Arial" w:hAnsi="Arial" w:cs="Arial"/>
          <w:lang w:eastAsia="ja-JP"/>
        </w:rPr>
        <w:t>, 2013</w:t>
      </w:r>
    </w:p>
    <w:p w:rsidR="009C5363" w:rsidRPr="00AD024F" w:rsidRDefault="009C5363" w:rsidP="00657E86">
      <w:pPr>
        <w:pStyle w:val="B1"/>
        <w:ind w:left="0" w:firstLine="0"/>
        <w:jc w:val="both"/>
        <w:rPr>
          <w:rFonts w:ascii="Arial" w:hAnsi="Arial" w:cs="Arial"/>
          <w:lang w:eastAsia="ja-JP"/>
        </w:rPr>
      </w:pPr>
    </w:p>
    <w:sectPr w:rsidR="009C5363" w:rsidRPr="00AD024F"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6546" w:rsidRDefault="007A6546">
      <w:r>
        <w:separator/>
      </w:r>
    </w:p>
  </w:endnote>
  <w:endnote w:type="continuationSeparator" w:id="0">
    <w:p w:rsidR="007A6546" w:rsidRDefault="007A65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6546" w:rsidRDefault="007A6546">
      <w:r>
        <w:separator/>
      </w:r>
    </w:p>
  </w:footnote>
  <w:footnote w:type="continuationSeparator" w:id="0">
    <w:p w:rsidR="007A6546" w:rsidRDefault="007A65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1"/>
  </w:num>
  <w:num w:numId="2">
    <w:abstractNumId w:val="27"/>
  </w:num>
  <w:num w:numId="3">
    <w:abstractNumId w:val="14"/>
  </w:num>
  <w:num w:numId="4">
    <w:abstractNumId w:val="17"/>
  </w:num>
  <w:num w:numId="5">
    <w:abstractNumId w:val="12"/>
  </w:num>
  <w:num w:numId="6">
    <w:abstractNumId w:val="25"/>
  </w:num>
  <w:num w:numId="7">
    <w:abstractNumId w:val="19"/>
  </w:num>
  <w:num w:numId="8">
    <w:abstractNumId w:val="2"/>
  </w:num>
  <w:num w:numId="9">
    <w:abstractNumId w:val="10"/>
  </w:num>
  <w:num w:numId="10">
    <w:abstractNumId w:val="21"/>
  </w:num>
  <w:num w:numId="11">
    <w:abstractNumId w:val="23"/>
  </w:num>
  <w:num w:numId="12">
    <w:abstractNumId w:val="4"/>
  </w:num>
  <w:num w:numId="13">
    <w:abstractNumId w:val="24"/>
  </w:num>
  <w:num w:numId="14">
    <w:abstractNumId w:val="0"/>
  </w:num>
  <w:num w:numId="15">
    <w:abstractNumId w:val="3"/>
  </w:num>
  <w:num w:numId="16">
    <w:abstractNumId w:val="13"/>
  </w:num>
  <w:num w:numId="17">
    <w:abstractNumId w:val="6"/>
  </w:num>
  <w:num w:numId="18">
    <w:abstractNumId w:val="15"/>
  </w:num>
  <w:num w:numId="19">
    <w:abstractNumId w:val="1"/>
  </w:num>
  <w:num w:numId="20">
    <w:abstractNumId w:val="8"/>
  </w:num>
  <w:num w:numId="21">
    <w:abstractNumId w:val="26"/>
  </w:num>
  <w:num w:numId="22">
    <w:abstractNumId w:val="16"/>
  </w:num>
  <w:num w:numId="23">
    <w:abstractNumId w:val="20"/>
  </w:num>
  <w:num w:numId="24">
    <w:abstractNumId w:val="9"/>
  </w:num>
  <w:num w:numId="25">
    <w:abstractNumId w:val="22"/>
  </w:num>
  <w:num w:numId="26">
    <w:abstractNumId w:val="18"/>
  </w:num>
  <w:num w:numId="27">
    <w:abstractNumId w:val="5"/>
  </w:num>
  <w:num w:numId="2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840"/>
  <w:drawingGridHorizontalSpacing w:val="187"/>
  <w:drawingGridVerticalSpacing w:val="187"/>
  <w:displayHorizontalDrawingGridEvery w:val="0"/>
  <w:displayVerticalDrawingGridEvery w:val="2"/>
  <w:characterSpacingControl w:val="compressPunctuation"/>
  <w:hdrShapeDefaults>
    <o:shapedefaults v:ext="edit" spidmax="5427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1374"/>
    <w:rsid w:val="00003417"/>
    <w:rsid w:val="0000374D"/>
    <w:rsid w:val="000041E0"/>
    <w:rsid w:val="000043F8"/>
    <w:rsid w:val="00004BFD"/>
    <w:rsid w:val="00004F47"/>
    <w:rsid w:val="00006B6C"/>
    <w:rsid w:val="0000797A"/>
    <w:rsid w:val="00010B90"/>
    <w:rsid w:val="00013230"/>
    <w:rsid w:val="00014615"/>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815"/>
    <w:rsid w:val="00052DF6"/>
    <w:rsid w:val="00056119"/>
    <w:rsid w:val="000566FE"/>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57DE"/>
    <w:rsid w:val="00075ADC"/>
    <w:rsid w:val="00076349"/>
    <w:rsid w:val="00076423"/>
    <w:rsid w:val="000765BD"/>
    <w:rsid w:val="00076791"/>
    <w:rsid w:val="0007684A"/>
    <w:rsid w:val="00077334"/>
    <w:rsid w:val="00077783"/>
    <w:rsid w:val="000813C0"/>
    <w:rsid w:val="00082359"/>
    <w:rsid w:val="00082B31"/>
    <w:rsid w:val="00083AC5"/>
    <w:rsid w:val="000842C6"/>
    <w:rsid w:val="00084A5C"/>
    <w:rsid w:val="00084E8B"/>
    <w:rsid w:val="0008512E"/>
    <w:rsid w:val="000854BB"/>
    <w:rsid w:val="0008573F"/>
    <w:rsid w:val="00085832"/>
    <w:rsid w:val="00085A3A"/>
    <w:rsid w:val="000861FB"/>
    <w:rsid w:val="0008720F"/>
    <w:rsid w:val="000873BD"/>
    <w:rsid w:val="00090E45"/>
    <w:rsid w:val="000924E0"/>
    <w:rsid w:val="000932B9"/>
    <w:rsid w:val="00093A84"/>
    <w:rsid w:val="00093FE8"/>
    <w:rsid w:val="00094B1B"/>
    <w:rsid w:val="00095342"/>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659"/>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09B"/>
    <w:rsid w:val="000D21B5"/>
    <w:rsid w:val="000D281A"/>
    <w:rsid w:val="000D2854"/>
    <w:rsid w:val="000D3811"/>
    <w:rsid w:val="000D4FC7"/>
    <w:rsid w:val="000D50BD"/>
    <w:rsid w:val="000D5335"/>
    <w:rsid w:val="000D60AB"/>
    <w:rsid w:val="000D64D4"/>
    <w:rsid w:val="000D69A3"/>
    <w:rsid w:val="000E0F31"/>
    <w:rsid w:val="000E1714"/>
    <w:rsid w:val="000E1E5A"/>
    <w:rsid w:val="000E23DC"/>
    <w:rsid w:val="000E286A"/>
    <w:rsid w:val="000E29A1"/>
    <w:rsid w:val="000E3728"/>
    <w:rsid w:val="000E4B99"/>
    <w:rsid w:val="000E4D27"/>
    <w:rsid w:val="000E4EC8"/>
    <w:rsid w:val="000E50AC"/>
    <w:rsid w:val="000E535E"/>
    <w:rsid w:val="000E539A"/>
    <w:rsid w:val="000E7ED4"/>
    <w:rsid w:val="000E7F53"/>
    <w:rsid w:val="000F0DFF"/>
    <w:rsid w:val="000F12DB"/>
    <w:rsid w:val="000F1688"/>
    <w:rsid w:val="000F17F0"/>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404"/>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D4F"/>
    <w:rsid w:val="00124277"/>
    <w:rsid w:val="00125038"/>
    <w:rsid w:val="001250CF"/>
    <w:rsid w:val="0012533B"/>
    <w:rsid w:val="00125B4D"/>
    <w:rsid w:val="00125C6D"/>
    <w:rsid w:val="00125D38"/>
    <w:rsid w:val="00126284"/>
    <w:rsid w:val="0012698F"/>
    <w:rsid w:val="00126FC3"/>
    <w:rsid w:val="00127120"/>
    <w:rsid w:val="0012736C"/>
    <w:rsid w:val="001302B5"/>
    <w:rsid w:val="001317FC"/>
    <w:rsid w:val="001320DF"/>
    <w:rsid w:val="0013277F"/>
    <w:rsid w:val="00134602"/>
    <w:rsid w:val="00134CBC"/>
    <w:rsid w:val="0013517C"/>
    <w:rsid w:val="00135D3C"/>
    <w:rsid w:val="00137A47"/>
    <w:rsid w:val="00140807"/>
    <w:rsid w:val="00140A17"/>
    <w:rsid w:val="0014190B"/>
    <w:rsid w:val="00144D51"/>
    <w:rsid w:val="00145D31"/>
    <w:rsid w:val="00147DD8"/>
    <w:rsid w:val="00150373"/>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17C"/>
    <w:rsid w:val="00181E89"/>
    <w:rsid w:val="00181E8C"/>
    <w:rsid w:val="00184B9E"/>
    <w:rsid w:val="001856A3"/>
    <w:rsid w:val="0018576F"/>
    <w:rsid w:val="001859BB"/>
    <w:rsid w:val="00185F8A"/>
    <w:rsid w:val="001871F2"/>
    <w:rsid w:val="00187B97"/>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4794"/>
    <w:rsid w:val="001A5E13"/>
    <w:rsid w:val="001B0D02"/>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423"/>
    <w:rsid w:val="001E2B48"/>
    <w:rsid w:val="001E3044"/>
    <w:rsid w:val="001E32EE"/>
    <w:rsid w:val="001E3442"/>
    <w:rsid w:val="001E4CB9"/>
    <w:rsid w:val="001E5B27"/>
    <w:rsid w:val="001E604A"/>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60C1"/>
    <w:rsid w:val="0020667C"/>
    <w:rsid w:val="002068F7"/>
    <w:rsid w:val="00206D2D"/>
    <w:rsid w:val="0020738F"/>
    <w:rsid w:val="002076E7"/>
    <w:rsid w:val="00207D0E"/>
    <w:rsid w:val="00210934"/>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758"/>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510CC"/>
    <w:rsid w:val="0025216B"/>
    <w:rsid w:val="00252581"/>
    <w:rsid w:val="00252710"/>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218D"/>
    <w:rsid w:val="0026264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D08"/>
    <w:rsid w:val="002926C6"/>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2F"/>
    <w:rsid w:val="002C46A9"/>
    <w:rsid w:val="002C47D2"/>
    <w:rsid w:val="002C49B0"/>
    <w:rsid w:val="002C564D"/>
    <w:rsid w:val="002C5B8F"/>
    <w:rsid w:val="002C67DF"/>
    <w:rsid w:val="002D0AE8"/>
    <w:rsid w:val="002D3038"/>
    <w:rsid w:val="002D3076"/>
    <w:rsid w:val="002D3652"/>
    <w:rsid w:val="002D36D8"/>
    <w:rsid w:val="002D37D7"/>
    <w:rsid w:val="002D3ED8"/>
    <w:rsid w:val="002D49C1"/>
    <w:rsid w:val="002D5308"/>
    <w:rsid w:val="002D566E"/>
    <w:rsid w:val="002D5B9F"/>
    <w:rsid w:val="002D7347"/>
    <w:rsid w:val="002D739A"/>
    <w:rsid w:val="002D77D9"/>
    <w:rsid w:val="002D7B17"/>
    <w:rsid w:val="002E3C7B"/>
    <w:rsid w:val="002E4FF0"/>
    <w:rsid w:val="002E6BA9"/>
    <w:rsid w:val="002E7004"/>
    <w:rsid w:val="002E7D35"/>
    <w:rsid w:val="002F05A6"/>
    <w:rsid w:val="002F1C21"/>
    <w:rsid w:val="002F2E19"/>
    <w:rsid w:val="002F3313"/>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21D4"/>
    <w:rsid w:val="00322E56"/>
    <w:rsid w:val="00322EFC"/>
    <w:rsid w:val="00323A4C"/>
    <w:rsid w:val="00323FB2"/>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21D3"/>
    <w:rsid w:val="00343A18"/>
    <w:rsid w:val="00343D9F"/>
    <w:rsid w:val="003445E6"/>
    <w:rsid w:val="00344BF4"/>
    <w:rsid w:val="00344EE2"/>
    <w:rsid w:val="00344F66"/>
    <w:rsid w:val="00346626"/>
    <w:rsid w:val="00346C65"/>
    <w:rsid w:val="003477F0"/>
    <w:rsid w:val="00347805"/>
    <w:rsid w:val="0034795B"/>
    <w:rsid w:val="003501D5"/>
    <w:rsid w:val="00350F33"/>
    <w:rsid w:val="003512FE"/>
    <w:rsid w:val="00351799"/>
    <w:rsid w:val="00353391"/>
    <w:rsid w:val="00354144"/>
    <w:rsid w:val="00354E7C"/>
    <w:rsid w:val="003554E9"/>
    <w:rsid w:val="00355F78"/>
    <w:rsid w:val="00357775"/>
    <w:rsid w:val="00357FF5"/>
    <w:rsid w:val="0036000C"/>
    <w:rsid w:val="00360E6C"/>
    <w:rsid w:val="00360FF3"/>
    <w:rsid w:val="0036277D"/>
    <w:rsid w:val="00362E20"/>
    <w:rsid w:val="003631CC"/>
    <w:rsid w:val="00364633"/>
    <w:rsid w:val="003664CA"/>
    <w:rsid w:val="0037269D"/>
    <w:rsid w:val="00373341"/>
    <w:rsid w:val="003736F8"/>
    <w:rsid w:val="0037399B"/>
    <w:rsid w:val="00376369"/>
    <w:rsid w:val="00377CCD"/>
    <w:rsid w:val="00377EEC"/>
    <w:rsid w:val="00381A3A"/>
    <w:rsid w:val="0038239B"/>
    <w:rsid w:val="003824E5"/>
    <w:rsid w:val="00382B57"/>
    <w:rsid w:val="0038318B"/>
    <w:rsid w:val="00384024"/>
    <w:rsid w:val="00385200"/>
    <w:rsid w:val="003862D8"/>
    <w:rsid w:val="00387FD1"/>
    <w:rsid w:val="00390926"/>
    <w:rsid w:val="003914A1"/>
    <w:rsid w:val="00391BE8"/>
    <w:rsid w:val="00391DE1"/>
    <w:rsid w:val="003922AD"/>
    <w:rsid w:val="00393EAA"/>
    <w:rsid w:val="00396757"/>
    <w:rsid w:val="00396FBB"/>
    <w:rsid w:val="003973EB"/>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329"/>
    <w:rsid w:val="003B0BFF"/>
    <w:rsid w:val="003B1D66"/>
    <w:rsid w:val="003B3833"/>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33CC"/>
    <w:rsid w:val="00413562"/>
    <w:rsid w:val="004135D2"/>
    <w:rsid w:val="004135F7"/>
    <w:rsid w:val="00413708"/>
    <w:rsid w:val="00413CB9"/>
    <w:rsid w:val="00413DBF"/>
    <w:rsid w:val="004141C6"/>
    <w:rsid w:val="00414D95"/>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3346"/>
    <w:rsid w:val="00453547"/>
    <w:rsid w:val="00453A2F"/>
    <w:rsid w:val="00453D21"/>
    <w:rsid w:val="00453FC8"/>
    <w:rsid w:val="004542DE"/>
    <w:rsid w:val="00454876"/>
    <w:rsid w:val="00456411"/>
    <w:rsid w:val="0045687D"/>
    <w:rsid w:val="00460E00"/>
    <w:rsid w:val="004619D2"/>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E16"/>
    <w:rsid w:val="004B0288"/>
    <w:rsid w:val="004B0D43"/>
    <w:rsid w:val="004B0D72"/>
    <w:rsid w:val="004B0FD8"/>
    <w:rsid w:val="004B151E"/>
    <w:rsid w:val="004B21B9"/>
    <w:rsid w:val="004B23CC"/>
    <w:rsid w:val="004B23DF"/>
    <w:rsid w:val="004B2DE3"/>
    <w:rsid w:val="004B316D"/>
    <w:rsid w:val="004B47FC"/>
    <w:rsid w:val="004B561B"/>
    <w:rsid w:val="004B5E77"/>
    <w:rsid w:val="004B6EAB"/>
    <w:rsid w:val="004B709F"/>
    <w:rsid w:val="004C2AC8"/>
    <w:rsid w:val="004C3547"/>
    <w:rsid w:val="004C3922"/>
    <w:rsid w:val="004C48F8"/>
    <w:rsid w:val="004C4BB9"/>
    <w:rsid w:val="004C5AA0"/>
    <w:rsid w:val="004C65A1"/>
    <w:rsid w:val="004C6B62"/>
    <w:rsid w:val="004C71B2"/>
    <w:rsid w:val="004D1968"/>
    <w:rsid w:val="004D1B03"/>
    <w:rsid w:val="004D268C"/>
    <w:rsid w:val="004D2730"/>
    <w:rsid w:val="004D3172"/>
    <w:rsid w:val="004D4007"/>
    <w:rsid w:val="004D4636"/>
    <w:rsid w:val="004D5327"/>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F0988"/>
    <w:rsid w:val="004F0BFA"/>
    <w:rsid w:val="004F13D2"/>
    <w:rsid w:val="004F1C44"/>
    <w:rsid w:val="004F32B0"/>
    <w:rsid w:val="004F334F"/>
    <w:rsid w:val="004F39BD"/>
    <w:rsid w:val="004F56CE"/>
    <w:rsid w:val="004F6B67"/>
    <w:rsid w:val="0050065B"/>
    <w:rsid w:val="00500C44"/>
    <w:rsid w:val="005010AE"/>
    <w:rsid w:val="00501978"/>
    <w:rsid w:val="00503194"/>
    <w:rsid w:val="00506628"/>
    <w:rsid w:val="00507F5B"/>
    <w:rsid w:val="00510374"/>
    <w:rsid w:val="0051062B"/>
    <w:rsid w:val="00510A8D"/>
    <w:rsid w:val="00511950"/>
    <w:rsid w:val="00511968"/>
    <w:rsid w:val="00511BB9"/>
    <w:rsid w:val="00513368"/>
    <w:rsid w:val="00513C76"/>
    <w:rsid w:val="00514320"/>
    <w:rsid w:val="00515C9B"/>
    <w:rsid w:val="00516B0F"/>
    <w:rsid w:val="00517781"/>
    <w:rsid w:val="00520A1F"/>
    <w:rsid w:val="00520BD1"/>
    <w:rsid w:val="00521212"/>
    <w:rsid w:val="005237D5"/>
    <w:rsid w:val="005244F4"/>
    <w:rsid w:val="00524CB3"/>
    <w:rsid w:val="00526553"/>
    <w:rsid w:val="00526D25"/>
    <w:rsid w:val="00526F20"/>
    <w:rsid w:val="00527416"/>
    <w:rsid w:val="00527782"/>
    <w:rsid w:val="005320AA"/>
    <w:rsid w:val="00532B8C"/>
    <w:rsid w:val="00534081"/>
    <w:rsid w:val="005342E1"/>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40F4"/>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BE0"/>
    <w:rsid w:val="00564E59"/>
    <w:rsid w:val="00564EFB"/>
    <w:rsid w:val="00566402"/>
    <w:rsid w:val="00567D95"/>
    <w:rsid w:val="0057065D"/>
    <w:rsid w:val="00571179"/>
    <w:rsid w:val="005712D6"/>
    <w:rsid w:val="00571597"/>
    <w:rsid w:val="005715A7"/>
    <w:rsid w:val="005724B0"/>
    <w:rsid w:val="00572FA7"/>
    <w:rsid w:val="00572FCA"/>
    <w:rsid w:val="00573928"/>
    <w:rsid w:val="00573D04"/>
    <w:rsid w:val="00573FB2"/>
    <w:rsid w:val="005748F2"/>
    <w:rsid w:val="00574E78"/>
    <w:rsid w:val="005754A9"/>
    <w:rsid w:val="00575E94"/>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546"/>
    <w:rsid w:val="005976C6"/>
    <w:rsid w:val="00597962"/>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441C"/>
    <w:rsid w:val="005B5554"/>
    <w:rsid w:val="005B6108"/>
    <w:rsid w:val="005C08E6"/>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ACC"/>
    <w:rsid w:val="005E726E"/>
    <w:rsid w:val="005E7A99"/>
    <w:rsid w:val="005F001D"/>
    <w:rsid w:val="005F0CAB"/>
    <w:rsid w:val="005F3837"/>
    <w:rsid w:val="005F3E58"/>
    <w:rsid w:val="005F69C4"/>
    <w:rsid w:val="005F771C"/>
    <w:rsid w:val="005F794B"/>
    <w:rsid w:val="005F7AB6"/>
    <w:rsid w:val="00600960"/>
    <w:rsid w:val="00601A1C"/>
    <w:rsid w:val="00601CAD"/>
    <w:rsid w:val="00602634"/>
    <w:rsid w:val="00602FCD"/>
    <w:rsid w:val="006037A4"/>
    <w:rsid w:val="0060585F"/>
    <w:rsid w:val="00606F43"/>
    <w:rsid w:val="006078B4"/>
    <w:rsid w:val="006100A5"/>
    <w:rsid w:val="006110CF"/>
    <w:rsid w:val="00611A03"/>
    <w:rsid w:val="0061276E"/>
    <w:rsid w:val="00612C93"/>
    <w:rsid w:val="0061380A"/>
    <w:rsid w:val="00614748"/>
    <w:rsid w:val="00614792"/>
    <w:rsid w:val="0061537D"/>
    <w:rsid w:val="00616283"/>
    <w:rsid w:val="00616794"/>
    <w:rsid w:val="0062047D"/>
    <w:rsid w:val="00620F4C"/>
    <w:rsid w:val="00621129"/>
    <w:rsid w:val="0062130E"/>
    <w:rsid w:val="00621F53"/>
    <w:rsid w:val="006240EC"/>
    <w:rsid w:val="00624820"/>
    <w:rsid w:val="00624FA9"/>
    <w:rsid w:val="00625263"/>
    <w:rsid w:val="006253BB"/>
    <w:rsid w:val="00627678"/>
    <w:rsid w:val="00627A11"/>
    <w:rsid w:val="00630AF8"/>
    <w:rsid w:val="00631792"/>
    <w:rsid w:val="006333B4"/>
    <w:rsid w:val="006333F9"/>
    <w:rsid w:val="006335E8"/>
    <w:rsid w:val="006344A8"/>
    <w:rsid w:val="00634654"/>
    <w:rsid w:val="006353F6"/>
    <w:rsid w:val="006357B4"/>
    <w:rsid w:val="0063659A"/>
    <w:rsid w:val="0064090B"/>
    <w:rsid w:val="006415FD"/>
    <w:rsid w:val="006453DB"/>
    <w:rsid w:val="00646D74"/>
    <w:rsid w:val="006473D8"/>
    <w:rsid w:val="00647C4D"/>
    <w:rsid w:val="0065002F"/>
    <w:rsid w:val="006500EF"/>
    <w:rsid w:val="00651796"/>
    <w:rsid w:val="00652F72"/>
    <w:rsid w:val="0065329C"/>
    <w:rsid w:val="006533BF"/>
    <w:rsid w:val="0065426E"/>
    <w:rsid w:val="00655F3E"/>
    <w:rsid w:val="00656755"/>
    <w:rsid w:val="00657E17"/>
    <w:rsid w:val="00657E86"/>
    <w:rsid w:val="00661085"/>
    <w:rsid w:val="00661367"/>
    <w:rsid w:val="00662F7A"/>
    <w:rsid w:val="00663E57"/>
    <w:rsid w:val="00664EB8"/>
    <w:rsid w:val="00665EDB"/>
    <w:rsid w:val="00666417"/>
    <w:rsid w:val="0066688A"/>
    <w:rsid w:val="00666D4E"/>
    <w:rsid w:val="00667F81"/>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80B85"/>
    <w:rsid w:val="00680FB0"/>
    <w:rsid w:val="006824D9"/>
    <w:rsid w:val="00682721"/>
    <w:rsid w:val="00682F7D"/>
    <w:rsid w:val="00683701"/>
    <w:rsid w:val="00683E58"/>
    <w:rsid w:val="0068494A"/>
    <w:rsid w:val="00684B4A"/>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D7CCD"/>
    <w:rsid w:val="006E0E8D"/>
    <w:rsid w:val="006E1ED7"/>
    <w:rsid w:val="006E22D7"/>
    <w:rsid w:val="006E41A1"/>
    <w:rsid w:val="006E57F4"/>
    <w:rsid w:val="006E6033"/>
    <w:rsid w:val="006E618F"/>
    <w:rsid w:val="006E6903"/>
    <w:rsid w:val="006F0762"/>
    <w:rsid w:val="006F0DFF"/>
    <w:rsid w:val="006F1186"/>
    <w:rsid w:val="006F1783"/>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96C"/>
    <w:rsid w:val="00725B96"/>
    <w:rsid w:val="00725DB9"/>
    <w:rsid w:val="0072601E"/>
    <w:rsid w:val="0073032E"/>
    <w:rsid w:val="00730B59"/>
    <w:rsid w:val="00730D61"/>
    <w:rsid w:val="007321F8"/>
    <w:rsid w:val="00732C90"/>
    <w:rsid w:val="00733138"/>
    <w:rsid w:val="00733490"/>
    <w:rsid w:val="00733CF3"/>
    <w:rsid w:val="00733F47"/>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3AA1"/>
    <w:rsid w:val="007453A7"/>
    <w:rsid w:val="00746ECC"/>
    <w:rsid w:val="007503D1"/>
    <w:rsid w:val="00750482"/>
    <w:rsid w:val="00752300"/>
    <w:rsid w:val="00752309"/>
    <w:rsid w:val="0075786E"/>
    <w:rsid w:val="00760496"/>
    <w:rsid w:val="00761040"/>
    <w:rsid w:val="0076139A"/>
    <w:rsid w:val="0076250B"/>
    <w:rsid w:val="00763B3F"/>
    <w:rsid w:val="00764987"/>
    <w:rsid w:val="00764C75"/>
    <w:rsid w:val="00765F13"/>
    <w:rsid w:val="00765FDA"/>
    <w:rsid w:val="00766113"/>
    <w:rsid w:val="00766334"/>
    <w:rsid w:val="00766B1F"/>
    <w:rsid w:val="00767285"/>
    <w:rsid w:val="00767934"/>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634"/>
    <w:rsid w:val="00780F21"/>
    <w:rsid w:val="00783420"/>
    <w:rsid w:val="00784B05"/>
    <w:rsid w:val="00784B0D"/>
    <w:rsid w:val="00784D3A"/>
    <w:rsid w:val="0078512A"/>
    <w:rsid w:val="00785FE0"/>
    <w:rsid w:val="00786C72"/>
    <w:rsid w:val="007874E8"/>
    <w:rsid w:val="0078751C"/>
    <w:rsid w:val="007879F4"/>
    <w:rsid w:val="00791CFE"/>
    <w:rsid w:val="00793070"/>
    <w:rsid w:val="00793702"/>
    <w:rsid w:val="00793B42"/>
    <w:rsid w:val="00794A6A"/>
    <w:rsid w:val="007963AE"/>
    <w:rsid w:val="007972A1"/>
    <w:rsid w:val="00797898"/>
    <w:rsid w:val="007A00A2"/>
    <w:rsid w:val="007A0A2B"/>
    <w:rsid w:val="007A1010"/>
    <w:rsid w:val="007A1387"/>
    <w:rsid w:val="007A2916"/>
    <w:rsid w:val="007A2DB0"/>
    <w:rsid w:val="007A3E9C"/>
    <w:rsid w:val="007A4B35"/>
    <w:rsid w:val="007A5B4E"/>
    <w:rsid w:val="007A6018"/>
    <w:rsid w:val="007A6546"/>
    <w:rsid w:val="007A67FC"/>
    <w:rsid w:val="007A696D"/>
    <w:rsid w:val="007A6C29"/>
    <w:rsid w:val="007A6D2F"/>
    <w:rsid w:val="007A7BCE"/>
    <w:rsid w:val="007B0BFF"/>
    <w:rsid w:val="007B11A8"/>
    <w:rsid w:val="007B195F"/>
    <w:rsid w:val="007B2BEA"/>
    <w:rsid w:val="007B3623"/>
    <w:rsid w:val="007B49E2"/>
    <w:rsid w:val="007B4B3C"/>
    <w:rsid w:val="007B4BDD"/>
    <w:rsid w:val="007B594D"/>
    <w:rsid w:val="007B5C09"/>
    <w:rsid w:val="007C0AF0"/>
    <w:rsid w:val="007C1C6F"/>
    <w:rsid w:val="007C237E"/>
    <w:rsid w:val="007C2FA0"/>
    <w:rsid w:val="007C35A7"/>
    <w:rsid w:val="007C3B6C"/>
    <w:rsid w:val="007C3E2C"/>
    <w:rsid w:val="007C4C17"/>
    <w:rsid w:val="007C50CC"/>
    <w:rsid w:val="007C5440"/>
    <w:rsid w:val="007C655F"/>
    <w:rsid w:val="007C6991"/>
    <w:rsid w:val="007C6AA3"/>
    <w:rsid w:val="007C6F20"/>
    <w:rsid w:val="007C74B1"/>
    <w:rsid w:val="007C75B6"/>
    <w:rsid w:val="007D07A8"/>
    <w:rsid w:val="007D0A71"/>
    <w:rsid w:val="007D0B35"/>
    <w:rsid w:val="007D1A8B"/>
    <w:rsid w:val="007D2A18"/>
    <w:rsid w:val="007D2CEF"/>
    <w:rsid w:val="007D4396"/>
    <w:rsid w:val="007D4C0B"/>
    <w:rsid w:val="007D68F3"/>
    <w:rsid w:val="007D6FE1"/>
    <w:rsid w:val="007D7AF4"/>
    <w:rsid w:val="007E2D81"/>
    <w:rsid w:val="007E36BC"/>
    <w:rsid w:val="007E37AB"/>
    <w:rsid w:val="007E4529"/>
    <w:rsid w:val="007E4C32"/>
    <w:rsid w:val="007E4F11"/>
    <w:rsid w:val="007E5113"/>
    <w:rsid w:val="007E583E"/>
    <w:rsid w:val="007E5BBA"/>
    <w:rsid w:val="007E5EB5"/>
    <w:rsid w:val="007E77FF"/>
    <w:rsid w:val="007F06B0"/>
    <w:rsid w:val="007F0F5E"/>
    <w:rsid w:val="007F19F8"/>
    <w:rsid w:val="007F223F"/>
    <w:rsid w:val="007F2869"/>
    <w:rsid w:val="007F29CB"/>
    <w:rsid w:val="007F2F09"/>
    <w:rsid w:val="007F389E"/>
    <w:rsid w:val="007F3A04"/>
    <w:rsid w:val="007F4E81"/>
    <w:rsid w:val="007F5053"/>
    <w:rsid w:val="007F5B5B"/>
    <w:rsid w:val="007F62C0"/>
    <w:rsid w:val="0080363B"/>
    <w:rsid w:val="00803C8D"/>
    <w:rsid w:val="008041EE"/>
    <w:rsid w:val="0080424E"/>
    <w:rsid w:val="008047E6"/>
    <w:rsid w:val="00807B3A"/>
    <w:rsid w:val="008107BB"/>
    <w:rsid w:val="00811F59"/>
    <w:rsid w:val="008121EF"/>
    <w:rsid w:val="00812411"/>
    <w:rsid w:val="00812886"/>
    <w:rsid w:val="00812FD7"/>
    <w:rsid w:val="0081302A"/>
    <w:rsid w:val="0081359F"/>
    <w:rsid w:val="008146E7"/>
    <w:rsid w:val="00814DE9"/>
    <w:rsid w:val="008155CF"/>
    <w:rsid w:val="00815C37"/>
    <w:rsid w:val="0081675C"/>
    <w:rsid w:val="0081696A"/>
    <w:rsid w:val="00817F44"/>
    <w:rsid w:val="00820343"/>
    <w:rsid w:val="008205A2"/>
    <w:rsid w:val="00821DF8"/>
    <w:rsid w:val="008228DD"/>
    <w:rsid w:val="00822F78"/>
    <w:rsid w:val="00824983"/>
    <w:rsid w:val="008249E9"/>
    <w:rsid w:val="008264AA"/>
    <w:rsid w:val="008310E7"/>
    <w:rsid w:val="00831BA4"/>
    <w:rsid w:val="0083281F"/>
    <w:rsid w:val="00832BBF"/>
    <w:rsid w:val="00832D49"/>
    <w:rsid w:val="008334AD"/>
    <w:rsid w:val="00834DD7"/>
    <w:rsid w:val="00834F05"/>
    <w:rsid w:val="008353D4"/>
    <w:rsid w:val="00835C9A"/>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F46"/>
    <w:rsid w:val="008C4025"/>
    <w:rsid w:val="008C403D"/>
    <w:rsid w:val="008C5D45"/>
    <w:rsid w:val="008C5F49"/>
    <w:rsid w:val="008C6FAE"/>
    <w:rsid w:val="008C7455"/>
    <w:rsid w:val="008C7C8D"/>
    <w:rsid w:val="008C7F4E"/>
    <w:rsid w:val="008D04A4"/>
    <w:rsid w:val="008D19A4"/>
    <w:rsid w:val="008D1ED5"/>
    <w:rsid w:val="008D2182"/>
    <w:rsid w:val="008D2220"/>
    <w:rsid w:val="008D2C45"/>
    <w:rsid w:val="008D2EA2"/>
    <w:rsid w:val="008D3611"/>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5A1B"/>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759"/>
    <w:rsid w:val="00925F09"/>
    <w:rsid w:val="009272EA"/>
    <w:rsid w:val="00930714"/>
    <w:rsid w:val="00930EFB"/>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7EB"/>
    <w:rsid w:val="00945D75"/>
    <w:rsid w:val="0094630A"/>
    <w:rsid w:val="00946F0E"/>
    <w:rsid w:val="00947D5E"/>
    <w:rsid w:val="0095138A"/>
    <w:rsid w:val="009521F2"/>
    <w:rsid w:val="00952535"/>
    <w:rsid w:val="00953584"/>
    <w:rsid w:val="009535B6"/>
    <w:rsid w:val="00953606"/>
    <w:rsid w:val="00954E79"/>
    <w:rsid w:val="00955867"/>
    <w:rsid w:val="00956055"/>
    <w:rsid w:val="0095723C"/>
    <w:rsid w:val="00957296"/>
    <w:rsid w:val="009574C2"/>
    <w:rsid w:val="0096169C"/>
    <w:rsid w:val="009622A5"/>
    <w:rsid w:val="00962B84"/>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E45"/>
    <w:rsid w:val="00985802"/>
    <w:rsid w:val="00986005"/>
    <w:rsid w:val="0098696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E65"/>
    <w:rsid w:val="009A30FE"/>
    <w:rsid w:val="009A41AA"/>
    <w:rsid w:val="009A4570"/>
    <w:rsid w:val="009A4B22"/>
    <w:rsid w:val="009A5322"/>
    <w:rsid w:val="009A5AFE"/>
    <w:rsid w:val="009A6490"/>
    <w:rsid w:val="009A75AB"/>
    <w:rsid w:val="009B1034"/>
    <w:rsid w:val="009B2039"/>
    <w:rsid w:val="009B21C3"/>
    <w:rsid w:val="009B2280"/>
    <w:rsid w:val="009B2C9A"/>
    <w:rsid w:val="009B4254"/>
    <w:rsid w:val="009B5DF8"/>
    <w:rsid w:val="009B675C"/>
    <w:rsid w:val="009B70A7"/>
    <w:rsid w:val="009B711D"/>
    <w:rsid w:val="009B73C6"/>
    <w:rsid w:val="009B756B"/>
    <w:rsid w:val="009C01DF"/>
    <w:rsid w:val="009C0B1A"/>
    <w:rsid w:val="009C3716"/>
    <w:rsid w:val="009C504D"/>
    <w:rsid w:val="009C5363"/>
    <w:rsid w:val="009C5367"/>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C9D"/>
    <w:rsid w:val="009E6CC1"/>
    <w:rsid w:val="009E70DF"/>
    <w:rsid w:val="009E79DA"/>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08B3"/>
    <w:rsid w:val="00A20FB2"/>
    <w:rsid w:val="00A21CEA"/>
    <w:rsid w:val="00A21FA6"/>
    <w:rsid w:val="00A221D5"/>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66B8"/>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30D"/>
    <w:rsid w:val="00A4735E"/>
    <w:rsid w:val="00A47399"/>
    <w:rsid w:val="00A479A4"/>
    <w:rsid w:val="00A505D6"/>
    <w:rsid w:val="00A50D90"/>
    <w:rsid w:val="00A51FD0"/>
    <w:rsid w:val="00A52394"/>
    <w:rsid w:val="00A524AF"/>
    <w:rsid w:val="00A52657"/>
    <w:rsid w:val="00A52823"/>
    <w:rsid w:val="00A530B6"/>
    <w:rsid w:val="00A531AC"/>
    <w:rsid w:val="00A53AB2"/>
    <w:rsid w:val="00A54169"/>
    <w:rsid w:val="00A54AAC"/>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6A88"/>
    <w:rsid w:val="00AC7A58"/>
    <w:rsid w:val="00AC7E27"/>
    <w:rsid w:val="00AD024F"/>
    <w:rsid w:val="00AD0352"/>
    <w:rsid w:val="00AD0410"/>
    <w:rsid w:val="00AD1506"/>
    <w:rsid w:val="00AD23D8"/>
    <w:rsid w:val="00AD2BC1"/>
    <w:rsid w:val="00AD366E"/>
    <w:rsid w:val="00AD3760"/>
    <w:rsid w:val="00AD3D5B"/>
    <w:rsid w:val="00AD463C"/>
    <w:rsid w:val="00AD50E6"/>
    <w:rsid w:val="00AD54C8"/>
    <w:rsid w:val="00AD5660"/>
    <w:rsid w:val="00AD6DAB"/>
    <w:rsid w:val="00AD7798"/>
    <w:rsid w:val="00AD7D52"/>
    <w:rsid w:val="00AD7E0F"/>
    <w:rsid w:val="00AE042B"/>
    <w:rsid w:val="00AE07C6"/>
    <w:rsid w:val="00AE22B4"/>
    <w:rsid w:val="00AE2C07"/>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0E8"/>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6C6E"/>
    <w:rsid w:val="00B2780C"/>
    <w:rsid w:val="00B27878"/>
    <w:rsid w:val="00B30AC1"/>
    <w:rsid w:val="00B32607"/>
    <w:rsid w:val="00B326E9"/>
    <w:rsid w:val="00B3403D"/>
    <w:rsid w:val="00B34460"/>
    <w:rsid w:val="00B3456E"/>
    <w:rsid w:val="00B34585"/>
    <w:rsid w:val="00B3633E"/>
    <w:rsid w:val="00B374C0"/>
    <w:rsid w:val="00B37840"/>
    <w:rsid w:val="00B37C78"/>
    <w:rsid w:val="00B402DC"/>
    <w:rsid w:val="00B40C23"/>
    <w:rsid w:val="00B41FB6"/>
    <w:rsid w:val="00B427F1"/>
    <w:rsid w:val="00B431F5"/>
    <w:rsid w:val="00B437E0"/>
    <w:rsid w:val="00B446A3"/>
    <w:rsid w:val="00B44C79"/>
    <w:rsid w:val="00B44E30"/>
    <w:rsid w:val="00B45C76"/>
    <w:rsid w:val="00B461B5"/>
    <w:rsid w:val="00B468BF"/>
    <w:rsid w:val="00B46F27"/>
    <w:rsid w:val="00B471D3"/>
    <w:rsid w:val="00B50CBC"/>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7544"/>
    <w:rsid w:val="00B77B2E"/>
    <w:rsid w:val="00B821D4"/>
    <w:rsid w:val="00B8223F"/>
    <w:rsid w:val="00B82C2D"/>
    <w:rsid w:val="00B8353B"/>
    <w:rsid w:val="00B844CE"/>
    <w:rsid w:val="00B84CC4"/>
    <w:rsid w:val="00B8521B"/>
    <w:rsid w:val="00B8583C"/>
    <w:rsid w:val="00B868A6"/>
    <w:rsid w:val="00B8782F"/>
    <w:rsid w:val="00B90087"/>
    <w:rsid w:val="00B908C8"/>
    <w:rsid w:val="00B90DB7"/>
    <w:rsid w:val="00B91B01"/>
    <w:rsid w:val="00B935BC"/>
    <w:rsid w:val="00B9439F"/>
    <w:rsid w:val="00B9440C"/>
    <w:rsid w:val="00B945EF"/>
    <w:rsid w:val="00B95024"/>
    <w:rsid w:val="00B95502"/>
    <w:rsid w:val="00B9650C"/>
    <w:rsid w:val="00B96825"/>
    <w:rsid w:val="00B96A11"/>
    <w:rsid w:val="00B96D4E"/>
    <w:rsid w:val="00B97935"/>
    <w:rsid w:val="00BA0575"/>
    <w:rsid w:val="00BA0BE3"/>
    <w:rsid w:val="00BA209F"/>
    <w:rsid w:val="00BA2B45"/>
    <w:rsid w:val="00BA38D1"/>
    <w:rsid w:val="00BA39AA"/>
    <w:rsid w:val="00BA3DEB"/>
    <w:rsid w:val="00BA5E01"/>
    <w:rsid w:val="00BA68BF"/>
    <w:rsid w:val="00BA6F4E"/>
    <w:rsid w:val="00BA7193"/>
    <w:rsid w:val="00BA75BE"/>
    <w:rsid w:val="00BA78BC"/>
    <w:rsid w:val="00BB1435"/>
    <w:rsid w:val="00BB1919"/>
    <w:rsid w:val="00BB3E31"/>
    <w:rsid w:val="00BB56A0"/>
    <w:rsid w:val="00BB5764"/>
    <w:rsid w:val="00BB5EBC"/>
    <w:rsid w:val="00BB6120"/>
    <w:rsid w:val="00BB6BA7"/>
    <w:rsid w:val="00BB701B"/>
    <w:rsid w:val="00BB7505"/>
    <w:rsid w:val="00BB7668"/>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239D"/>
    <w:rsid w:val="00BE2AB3"/>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0E22"/>
    <w:rsid w:val="00C0105D"/>
    <w:rsid w:val="00C04197"/>
    <w:rsid w:val="00C046B8"/>
    <w:rsid w:val="00C05B30"/>
    <w:rsid w:val="00C102A9"/>
    <w:rsid w:val="00C114FF"/>
    <w:rsid w:val="00C13F19"/>
    <w:rsid w:val="00C15E01"/>
    <w:rsid w:val="00C1644F"/>
    <w:rsid w:val="00C165FE"/>
    <w:rsid w:val="00C179F3"/>
    <w:rsid w:val="00C17A7F"/>
    <w:rsid w:val="00C17D43"/>
    <w:rsid w:val="00C17F95"/>
    <w:rsid w:val="00C2017A"/>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40C65"/>
    <w:rsid w:val="00C41455"/>
    <w:rsid w:val="00C42145"/>
    <w:rsid w:val="00C425DE"/>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3E53"/>
    <w:rsid w:val="00CA541E"/>
    <w:rsid w:val="00CA573F"/>
    <w:rsid w:val="00CA5B49"/>
    <w:rsid w:val="00CA6EB7"/>
    <w:rsid w:val="00CB0403"/>
    <w:rsid w:val="00CB114B"/>
    <w:rsid w:val="00CB177A"/>
    <w:rsid w:val="00CB3CE5"/>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218"/>
    <w:rsid w:val="00CD78F3"/>
    <w:rsid w:val="00CE07B6"/>
    <w:rsid w:val="00CE0BD7"/>
    <w:rsid w:val="00CE125D"/>
    <w:rsid w:val="00CE2CF7"/>
    <w:rsid w:val="00CE3E94"/>
    <w:rsid w:val="00CE44A3"/>
    <w:rsid w:val="00CE49BA"/>
    <w:rsid w:val="00CE4D11"/>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2313"/>
    <w:rsid w:val="00D0318D"/>
    <w:rsid w:val="00D031B2"/>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1077"/>
    <w:rsid w:val="00D311F9"/>
    <w:rsid w:val="00D31F01"/>
    <w:rsid w:val="00D32097"/>
    <w:rsid w:val="00D32167"/>
    <w:rsid w:val="00D32CCB"/>
    <w:rsid w:val="00D33A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43C"/>
    <w:rsid w:val="00DC6BF1"/>
    <w:rsid w:val="00DC6D54"/>
    <w:rsid w:val="00DC7BFA"/>
    <w:rsid w:val="00DD0C71"/>
    <w:rsid w:val="00DD2A74"/>
    <w:rsid w:val="00DD47A6"/>
    <w:rsid w:val="00DD4CEC"/>
    <w:rsid w:val="00DD549F"/>
    <w:rsid w:val="00DD6132"/>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6C0"/>
    <w:rsid w:val="00E13F8C"/>
    <w:rsid w:val="00E141C4"/>
    <w:rsid w:val="00E15C89"/>
    <w:rsid w:val="00E163A0"/>
    <w:rsid w:val="00E1703C"/>
    <w:rsid w:val="00E2013D"/>
    <w:rsid w:val="00E20FBD"/>
    <w:rsid w:val="00E210C4"/>
    <w:rsid w:val="00E210DD"/>
    <w:rsid w:val="00E21A5D"/>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3D49"/>
    <w:rsid w:val="00E443E6"/>
    <w:rsid w:val="00E44D32"/>
    <w:rsid w:val="00E45429"/>
    <w:rsid w:val="00E458A9"/>
    <w:rsid w:val="00E45C25"/>
    <w:rsid w:val="00E47BB8"/>
    <w:rsid w:val="00E50628"/>
    <w:rsid w:val="00E50B2D"/>
    <w:rsid w:val="00E52209"/>
    <w:rsid w:val="00E5403B"/>
    <w:rsid w:val="00E544E1"/>
    <w:rsid w:val="00E556D5"/>
    <w:rsid w:val="00E55782"/>
    <w:rsid w:val="00E56678"/>
    <w:rsid w:val="00E56D79"/>
    <w:rsid w:val="00E571B2"/>
    <w:rsid w:val="00E60543"/>
    <w:rsid w:val="00E61047"/>
    <w:rsid w:val="00E61077"/>
    <w:rsid w:val="00E61A66"/>
    <w:rsid w:val="00E61B63"/>
    <w:rsid w:val="00E623A1"/>
    <w:rsid w:val="00E62CB2"/>
    <w:rsid w:val="00E636BF"/>
    <w:rsid w:val="00E63CA0"/>
    <w:rsid w:val="00E642C1"/>
    <w:rsid w:val="00E652F6"/>
    <w:rsid w:val="00E65303"/>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F3D"/>
    <w:rsid w:val="00E77C7E"/>
    <w:rsid w:val="00E800B6"/>
    <w:rsid w:val="00E80949"/>
    <w:rsid w:val="00E81FFA"/>
    <w:rsid w:val="00E82215"/>
    <w:rsid w:val="00E828C0"/>
    <w:rsid w:val="00E82A96"/>
    <w:rsid w:val="00E8404A"/>
    <w:rsid w:val="00E846ED"/>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E3E"/>
    <w:rsid w:val="00EA750F"/>
    <w:rsid w:val="00EA7730"/>
    <w:rsid w:val="00EA792F"/>
    <w:rsid w:val="00EA79C0"/>
    <w:rsid w:val="00EA7BFB"/>
    <w:rsid w:val="00EB01C0"/>
    <w:rsid w:val="00EB1146"/>
    <w:rsid w:val="00EB12DA"/>
    <w:rsid w:val="00EB1628"/>
    <w:rsid w:val="00EB1CC2"/>
    <w:rsid w:val="00EB2067"/>
    <w:rsid w:val="00EB370A"/>
    <w:rsid w:val="00EB5820"/>
    <w:rsid w:val="00EB6AA8"/>
    <w:rsid w:val="00EB6F3E"/>
    <w:rsid w:val="00EC079C"/>
    <w:rsid w:val="00EC080A"/>
    <w:rsid w:val="00EC1271"/>
    <w:rsid w:val="00EC14D8"/>
    <w:rsid w:val="00EC2001"/>
    <w:rsid w:val="00EC2E20"/>
    <w:rsid w:val="00EC39D7"/>
    <w:rsid w:val="00EC3C49"/>
    <w:rsid w:val="00EC5422"/>
    <w:rsid w:val="00EC69E1"/>
    <w:rsid w:val="00EC6A09"/>
    <w:rsid w:val="00EC6BBC"/>
    <w:rsid w:val="00EC6E52"/>
    <w:rsid w:val="00EC7806"/>
    <w:rsid w:val="00ED003C"/>
    <w:rsid w:val="00ED00BB"/>
    <w:rsid w:val="00ED1C92"/>
    <w:rsid w:val="00ED243B"/>
    <w:rsid w:val="00ED32B3"/>
    <w:rsid w:val="00ED3E66"/>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952"/>
    <w:rsid w:val="00F05D58"/>
    <w:rsid w:val="00F05E1E"/>
    <w:rsid w:val="00F05EB0"/>
    <w:rsid w:val="00F0626A"/>
    <w:rsid w:val="00F063FC"/>
    <w:rsid w:val="00F0724C"/>
    <w:rsid w:val="00F11559"/>
    <w:rsid w:val="00F11B50"/>
    <w:rsid w:val="00F11CCA"/>
    <w:rsid w:val="00F1207E"/>
    <w:rsid w:val="00F12CE8"/>
    <w:rsid w:val="00F1326A"/>
    <w:rsid w:val="00F14520"/>
    <w:rsid w:val="00F1458D"/>
    <w:rsid w:val="00F14CAD"/>
    <w:rsid w:val="00F15F33"/>
    <w:rsid w:val="00F169E5"/>
    <w:rsid w:val="00F16FFB"/>
    <w:rsid w:val="00F17489"/>
    <w:rsid w:val="00F20443"/>
    <w:rsid w:val="00F20FC4"/>
    <w:rsid w:val="00F21248"/>
    <w:rsid w:val="00F212E6"/>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BD9"/>
    <w:rsid w:val="00F50CFB"/>
    <w:rsid w:val="00F50ECD"/>
    <w:rsid w:val="00F50EDB"/>
    <w:rsid w:val="00F51497"/>
    <w:rsid w:val="00F5155D"/>
    <w:rsid w:val="00F5159C"/>
    <w:rsid w:val="00F5246C"/>
    <w:rsid w:val="00F52A5F"/>
    <w:rsid w:val="00F53F71"/>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E63"/>
    <w:rsid w:val="00F80F47"/>
    <w:rsid w:val="00F81717"/>
    <w:rsid w:val="00F82068"/>
    <w:rsid w:val="00F820BF"/>
    <w:rsid w:val="00F8220F"/>
    <w:rsid w:val="00F82623"/>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664"/>
    <w:rsid w:val="00FB586C"/>
    <w:rsid w:val="00FB5DC1"/>
    <w:rsid w:val="00FB6502"/>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chart" Target="charts/chart7.xml"/><Relationship Id="rId2" Type="http://schemas.openxmlformats.org/officeDocument/2006/relationships/customXml" Target="../customXml/item2.xml"/><Relationship Id="rId16"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vend_james.wang\MTK\3GPP%20RAN4\68Bis\NCCA%20power%20difference%20(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vend_james.wang\MTK\3GPP%20RAN4\68Bis\NCCA%20power%20difference%20(2).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vend_james.wang\MTK\3GPP%20RAN4\68Bis\NCCA%20power%20difference%20(2).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vend_james.wang\MTK\3GPP%20RAN4\68Bis\NCCA%20power%20difference%20(2).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vend_james.wang\MTK\3GPP%20RAN4\68Bis\NCCA%20power%20difference%20(2).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vend_james.wang\MTK\3GPP%20RAN4\68Bis\NCCA%20power%20difference%20(2).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vend_james.wang\MTK\3GPP%20RAN4\68Bis\NCCA%20power%20difference%20(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scatterChart>
        <c:scatterStyle val="smoothMarker"/>
        <c:ser>
          <c:idx val="0"/>
          <c:order val="0"/>
          <c:spPr>
            <a:ln>
              <a:solidFill>
                <a:srgbClr val="0070C0"/>
              </a:solidFill>
            </a:ln>
          </c:spPr>
          <c:marker>
            <c:symbol val="none"/>
          </c:marker>
          <c:xVal>
            <c:numRef>
              <c:f>'[NCCA power difference 20130924.xlsx]5M ch BW'!$C$5:$C$42</c:f>
              <c:numCache>
                <c:formatCode>General</c:formatCode>
                <c:ptCount val="38"/>
                <c:pt idx="0">
                  <c:v>5</c:v>
                </c:pt>
                <c:pt idx="1">
                  <c:v>10</c:v>
                </c:pt>
                <c:pt idx="2">
                  <c:v>15</c:v>
                </c:pt>
                <c:pt idx="3">
                  <c:v>20</c:v>
                </c:pt>
                <c:pt idx="4">
                  <c:v>25</c:v>
                </c:pt>
                <c:pt idx="5">
                  <c:v>30</c:v>
                </c:pt>
                <c:pt idx="6">
                  <c:v>35</c:v>
                </c:pt>
                <c:pt idx="7">
                  <c:v>40</c:v>
                </c:pt>
                <c:pt idx="8">
                  <c:v>45</c:v>
                </c:pt>
                <c:pt idx="9">
                  <c:v>50</c:v>
                </c:pt>
                <c:pt idx="10">
                  <c:v>55</c:v>
                </c:pt>
                <c:pt idx="11">
                  <c:v>60</c:v>
                </c:pt>
                <c:pt idx="12">
                  <c:v>65</c:v>
                </c:pt>
                <c:pt idx="13">
                  <c:v>70</c:v>
                </c:pt>
                <c:pt idx="14">
                  <c:v>75</c:v>
                </c:pt>
                <c:pt idx="15">
                  <c:v>80</c:v>
                </c:pt>
                <c:pt idx="16">
                  <c:v>85</c:v>
                </c:pt>
                <c:pt idx="17">
                  <c:v>90</c:v>
                </c:pt>
                <c:pt idx="18">
                  <c:v>95</c:v>
                </c:pt>
                <c:pt idx="19">
                  <c:v>100</c:v>
                </c:pt>
                <c:pt idx="20">
                  <c:v>105</c:v>
                </c:pt>
                <c:pt idx="21">
                  <c:v>110</c:v>
                </c:pt>
                <c:pt idx="22">
                  <c:v>115</c:v>
                </c:pt>
                <c:pt idx="23">
                  <c:v>120</c:v>
                </c:pt>
                <c:pt idx="24">
                  <c:v>125</c:v>
                </c:pt>
                <c:pt idx="25">
                  <c:v>130</c:v>
                </c:pt>
                <c:pt idx="26">
                  <c:v>135</c:v>
                </c:pt>
                <c:pt idx="27">
                  <c:v>140</c:v>
                </c:pt>
                <c:pt idx="28">
                  <c:v>145</c:v>
                </c:pt>
                <c:pt idx="29">
                  <c:v>150</c:v>
                </c:pt>
                <c:pt idx="30">
                  <c:v>155</c:v>
                </c:pt>
                <c:pt idx="31">
                  <c:v>160</c:v>
                </c:pt>
                <c:pt idx="32">
                  <c:v>165</c:v>
                </c:pt>
                <c:pt idx="33">
                  <c:v>170</c:v>
                </c:pt>
                <c:pt idx="34">
                  <c:v>175</c:v>
                </c:pt>
                <c:pt idx="35">
                  <c:v>180</c:v>
                </c:pt>
                <c:pt idx="36">
                  <c:v>185</c:v>
                </c:pt>
                <c:pt idx="37">
                  <c:v>190</c:v>
                </c:pt>
              </c:numCache>
            </c:numRef>
          </c:xVal>
          <c:yVal>
            <c:numRef>
              <c:f>'[NCCA power difference 20130924.xlsx]5M ch BW'!$M$5:$M$43</c:f>
              <c:numCache>
                <c:formatCode>General</c:formatCode>
                <c:ptCount val="39"/>
                <c:pt idx="0">
                  <c:v>-136</c:v>
                </c:pt>
                <c:pt idx="1">
                  <c:v>-142</c:v>
                </c:pt>
                <c:pt idx="2">
                  <c:v>-146</c:v>
                </c:pt>
                <c:pt idx="3">
                  <c:v>-148</c:v>
                </c:pt>
                <c:pt idx="4">
                  <c:v>-150</c:v>
                </c:pt>
                <c:pt idx="5">
                  <c:v>-152</c:v>
                </c:pt>
                <c:pt idx="6">
                  <c:v>-153</c:v>
                </c:pt>
                <c:pt idx="7">
                  <c:v>-154</c:v>
                </c:pt>
                <c:pt idx="8">
                  <c:v>-155</c:v>
                </c:pt>
                <c:pt idx="9">
                  <c:v>-156</c:v>
                </c:pt>
                <c:pt idx="10">
                  <c:v>-157</c:v>
                </c:pt>
                <c:pt idx="11">
                  <c:v>-158</c:v>
                </c:pt>
                <c:pt idx="12">
                  <c:v>-158.5</c:v>
                </c:pt>
                <c:pt idx="13">
                  <c:v>-159</c:v>
                </c:pt>
                <c:pt idx="14">
                  <c:v>-159.5</c:v>
                </c:pt>
                <c:pt idx="15">
                  <c:v>-160</c:v>
                </c:pt>
                <c:pt idx="16">
                  <c:v>-160</c:v>
                </c:pt>
                <c:pt idx="17">
                  <c:v>-160</c:v>
                </c:pt>
                <c:pt idx="18">
                  <c:v>-160</c:v>
                </c:pt>
                <c:pt idx="19">
                  <c:v>-160</c:v>
                </c:pt>
                <c:pt idx="20">
                  <c:v>-160</c:v>
                </c:pt>
                <c:pt idx="21">
                  <c:v>-160</c:v>
                </c:pt>
                <c:pt idx="22">
                  <c:v>-160</c:v>
                </c:pt>
                <c:pt idx="23">
                  <c:v>-160</c:v>
                </c:pt>
                <c:pt idx="24">
                  <c:v>-160</c:v>
                </c:pt>
                <c:pt idx="25">
                  <c:v>-160</c:v>
                </c:pt>
                <c:pt idx="26">
                  <c:v>-160</c:v>
                </c:pt>
                <c:pt idx="27">
                  <c:v>-160</c:v>
                </c:pt>
                <c:pt idx="28">
                  <c:v>-160</c:v>
                </c:pt>
                <c:pt idx="29">
                  <c:v>-160</c:v>
                </c:pt>
                <c:pt idx="30">
                  <c:v>-160</c:v>
                </c:pt>
                <c:pt idx="31">
                  <c:v>-160</c:v>
                </c:pt>
                <c:pt idx="32">
                  <c:v>-160</c:v>
                </c:pt>
                <c:pt idx="33">
                  <c:v>-160</c:v>
                </c:pt>
                <c:pt idx="34">
                  <c:v>-160</c:v>
                </c:pt>
                <c:pt idx="35">
                  <c:v>-160</c:v>
                </c:pt>
                <c:pt idx="36">
                  <c:v>-160</c:v>
                </c:pt>
                <c:pt idx="37">
                  <c:v>-160</c:v>
                </c:pt>
                <c:pt idx="38">
                  <c:v>-160</c:v>
                </c:pt>
              </c:numCache>
            </c:numRef>
          </c:yVal>
          <c:smooth val="1"/>
        </c:ser>
        <c:axId val="702359040"/>
        <c:axId val="702360960"/>
      </c:scatterChart>
      <c:valAx>
        <c:axId val="702359040"/>
        <c:scaling>
          <c:orientation val="minMax"/>
          <c:max val="200"/>
        </c:scaling>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sz="900"/>
                </a:pPr>
                <a:r>
                  <a:rPr lang="en-US" sz="900"/>
                  <a:t>Frequency Offset (MHz)</a:t>
                </a:r>
              </a:p>
            </c:rich>
          </c:tx>
          <c:layout/>
        </c:title>
        <c:numFmt formatCode="General" sourceLinked="1"/>
        <c:majorTickMark val="in"/>
        <c:tickLblPos val="nextTo"/>
        <c:txPr>
          <a:bodyPr/>
          <a:lstStyle/>
          <a:p>
            <a:pPr>
              <a:defRPr sz="900"/>
            </a:pPr>
            <a:endParaRPr lang="en-US"/>
          </a:p>
        </c:txPr>
        <c:crossAx val="702360960"/>
        <c:crossesAt val="-165"/>
        <c:crossBetween val="midCat"/>
      </c:valAx>
      <c:valAx>
        <c:axId val="702360960"/>
        <c:scaling>
          <c:orientation val="minMax"/>
        </c:scaling>
        <c:axPos val="l"/>
        <c:majorGridlines>
          <c:spPr>
            <a:ln>
              <a:solidFill>
                <a:schemeClr val="bg1">
                  <a:lumMod val="85000"/>
                </a:schemeClr>
              </a:solidFill>
            </a:ln>
          </c:spPr>
        </c:majorGridlines>
        <c:title>
          <c:tx>
            <c:rich>
              <a:bodyPr rot="-5400000" vert="horz"/>
              <a:lstStyle/>
              <a:p>
                <a:pPr>
                  <a:defRPr sz="900"/>
                </a:pPr>
                <a:r>
                  <a:rPr lang="en-US" sz="900"/>
                  <a:t>Phase Noise (dBc/Hz)</a:t>
                </a:r>
              </a:p>
            </c:rich>
          </c:tx>
          <c:layout>
            <c:manualLayout>
              <c:xMode val="edge"/>
              <c:yMode val="edge"/>
              <c:x val="3.1685605536119286E-2"/>
              <c:y val="0.12366958067249467"/>
            </c:manualLayout>
          </c:layout>
        </c:title>
        <c:numFmt formatCode="General" sourceLinked="1"/>
        <c:majorTickMark val="in"/>
        <c:tickLblPos val="nextTo"/>
        <c:txPr>
          <a:bodyPr/>
          <a:lstStyle/>
          <a:p>
            <a:pPr>
              <a:defRPr sz="900"/>
            </a:pPr>
            <a:endParaRPr lang="en-US"/>
          </a:p>
        </c:txPr>
        <c:crossAx val="702359040"/>
        <c:crosses val="autoZero"/>
        <c:crossBetween val="midCat"/>
      </c:valAx>
      <c:spPr>
        <a:ln>
          <a:solidFill>
            <a:schemeClr val="tx1">
              <a:lumMod val="50000"/>
              <a:lumOff val="50000"/>
            </a:schemeClr>
          </a:solidFill>
        </a:ln>
      </c:spPr>
    </c:plotArea>
    <c:plotVisOnly val="1"/>
  </c:chart>
  <c:txPr>
    <a:bodyPr/>
    <a:lstStyle/>
    <a:p>
      <a:pPr>
        <a:defRPr sz="1000"/>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11026320064322474"/>
          <c:y val="9.8306890353727097E-2"/>
          <c:w val="0.55027603116430723"/>
          <c:h val="0.70679840663004023"/>
        </c:manualLayout>
      </c:layout>
      <c:scatterChart>
        <c:scatterStyle val="lineMarker"/>
        <c:ser>
          <c:idx val="0"/>
          <c:order val="0"/>
          <c:tx>
            <c:strRef>
              <c:f>'5M ch BW'!$N$4</c:f>
              <c:strCache>
                <c:ptCount val="1"/>
                <c:pt idx="0">
                  <c:v>Blocking due to Rx LO PN (dBc)</c:v>
                </c:pt>
              </c:strCache>
            </c:strRef>
          </c:tx>
          <c:marker>
            <c:symbol val="circle"/>
            <c:size val="5"/>
            <c:spPr>
              <a:solidFill>
                <a:sysClr val="window" lastClr="FFFFFF"/>
              </a:solidFill>
            </c:spPr>
          </c:marker>
          <c:xVal>
            <c:numRef>
              <c:f>'[NCCA power difference 20130924.xlsx]5M ch BW'!$A$5:$A$42</c:f>
              <c:numCache>
                <c:formatCode>General</c:formatCode>
                <c:ptCount val="3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numCache>
            </c:numRef>
          </c:xVal>
          <c:yVal>
            <c:numRef>
              <c:f>'[NCCA power difference 20130924.xlsx]5M ch BW'!$N$5:$N$43</c:f>
              <c:numCache>
                <c:formatCode>General</c:formatCode>
                <c:ptCount val="39"/>
                <c:pt idx="0">
                  <c:v>58.54314055767437</c:v>
                </c:pt>
                <c:pt idx="1">
                  <c:v>64.543140557674349</c:v>
                </c:pt>
                <c:pt idx="2">
                  <c:v>68.543140557674349</c:v>
                </c:pt>
                <c:pt idx="3">
                  <c:v>70.543140557674349</c:v>
                </c:pt>
                <c:pt idx="4">
                  <c:v>72.543140557674349</c:v>
                </c:pt>
                <c:pt idx="5">
                  <c:v>74.543140557674349</c:v>
                </c:pt>
                <c:pt idx="6">
                  <c:v>75.543140557674349</c:v>
                </c:pt>
                <c:pt idx="7">
                  <c:v>76.543140557674349</c:v>
                </c:pt>
                <c:pt idx="8">
                  <c:v>77.543140557674349</c:v>
                </c:pt>
                <c:pt idx="9">
                  <c:v>78.543140557674349</c:v>
                </c:pt>
                <c:pt idx="10">
                  <c:v>79.543140557674349</c:v>
                </c:pt>
                <c:pt idx="11">
                  <c:v>80.543140557674349</c:v>
                </c:pt>
                <c:pt idx="12">
                  <c:v>81.043140557674349</c:v>
                </c:pt>
                <c:pt idx="13">
                  <c:v>81.543140557674349</c:v>
                </c:pt>
                <c:pt idx="14">
                  <c:v>82.043140557674349</c:v>
                </c:pt>
                <c:pt idx="15">
                  <c:v>82.543140557674349</c:v>
                </c:pt>
                <c:pt idx="16">
                  <c:v>82.543140557674349</c:v>
                </c:pt>
                <c:pt idx="17">
                  <c:v>82.543140557674349</c:v>
                </c:pt>
                <c:pt idx="18">
                  <c:v>82.543140557674349</c:v>
                </c:pt>
                <c:pt idx="19">
                  <c:v>82.543140557674349</c:v>
                </c:pt>
                <c:pt idx="20">
                  <c:v>82.543140557674349</c:v>
                </c:pt>
                <c:pt idx="21">
                  <c:v>82.543140557674349</c:v>
                </c:pt>
                <c:pt idx="22">
                  <c:v>82.543140557674349</c:v>
                </c:pt>
                <c:pt idx="23">
                  <c:v>82.543140557674349</c:v>
                </c:pt>
                <c:pt idx="24">
                  <c:v>82.543140557674349</c:v>
                </c:pt>
                <c:pt idx="25">
                  <c:v>82.543140557674349</c:v>
                </c:pt>
                <c:pt idx="26">
                  <c:v>82.543140557674349</c:v>
                </c:pt>
                <c:pt idx="27">
                  <c:v>82.543140557674349</c:v>
                </c:pt>
                <c:pt idx="28">
                  <c:v>82.543140557674349</c:v>
                </c:pt>
                <c:pt idx="29">
                  <c:v>82.543140557674349</c:v>
                </c:pt>
                <c:pt idx="30">
                  <c:v>82.543140557674349</c:v>
                </c:pt>
                <c:pt idx="31">
                  <c:v>82.543140557674349</c:v>
                </c:pt>
                <c:pt idx="32">
                  <c:v>82.543140557674349</c:v>
                </c:pt>
                <c:pt idx="33">
                  <c:v>82.543140557674349</c:v>
                </c:pt>
                <c:pt idx="34">
                  <c:v>82.543140557674349</c:v>
                </c:pt>
                <c:pt idx="35">
                  <c:v>82.543140557674349</c:v>
                </c:pt>
                <c:pt idx="36">
                  <c:v>82.543140557674349</c:v>
                </c:pt>
                <c:pt idx="37">
                  <c:v>82.543140557674349</c:v>
                </c:pt>
                <c:pt idx="38">
                  <c:v>82.543140557674349</c:v>
                </c:pt>
              </c:numCache>
            </c:numRef>
          </c:yVal>
        </c:ser>
        <c:ser>
          <c:idx val="1"/>
          <c:order val="1"/>
          <c:tx>
            <c:strRef>
              <c:f>'5M ch BW'!$O$4</c:f>
              <c:strCache>
                <c:ptCount val="1"/>
                <c:pt idx="0">
                  <c:v>Blocking due to Rx IMD3 (dBc)</c:v>
                </c:pt>
              </c:strCache>
            </c:strRef>
          </c:tx>
          <c:marker>
            <c:symbol val="square"/>
            <c:size val="5"/>
            <c:spPr>
              <a:solidFill>
                <a:sysClr val="window" lastClr="FFFFFF"/>
              </a:solidFill>
            </c:spPr>
          </c:marker>
          <c:xVal>
            <c:numRef>
              <c:f>'[NCCA power difference 20130924.xlsx]5M ch BW'!$A$5:$A$43</c:f>
              <c:numCache>
                <c:formatCode>General</c:formatCode>
                <c:ptCount val="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numCache>
            </c:numRef>
          </c:xVal>
          <c:yVal>
            <c:numRef>
              <c:f>'[NCCA power difference 20130924.xlsx]5M ch BW'!$O$5:$O$43</c:f>
              <c:numCache>
                <c:formatCode>General</c:formatCode>
                <c:ptCount val="39"/>
                <c:pt idx="0">
                  <c:v>67.684480171438025</c:v>
                </c:pt>
                <c:pt idx="1">
                  <c:v>82.051146838104685</c:v>
                </c:pt>
                <c:pt idx="2">
                  <c:v>83.384480171438028</c:v>
                </c:pt>
                <c:pt idx="3">
                  <c:v>84.051146838104685</c:v>
                </c:pt>
                <c:pt idx="4">
                  <c:v>84.384480171438028</c:v>
                </c:pt>
                <c:pt idx="5">
                  <c:v>85.051146838104685</c:v>
                </c:pt>
                <c:pt idx="6">
                  <c:v>85.717813504771442</c:v>
                </c:pt>
                <c:pt idx="7">
                  <c:v>86.384480171438028</c:v>
                </c:pt>
                <c:pt idx="8">
                  <c:v>87.051146838104685</c:v>
                </c:pt>
                <c:pt idx="9">
                  <c:v>87.717813504771442</c:v>
                </c:pt>
                <c:pt idx="10">
                  <c:v>88.384480171438028</c:v>
                </c:pt>
                <c:pt idx="11">
                  <c:v>89.051146838104685</c:v>
                </c:pt>
                <c:pt idx="12">
                  <c:v>89.717813504771442</c:v>
                </c:pt>
                <c:pt idx="13">
                  <c:v>90.384480171438028</c:v>
                </c:pt>
                <c:pt idx="14">
                  <c:v>91.051146838104685</c:v>
                </c:pt>
                <c:pt idx="15">
                  <c:v>91.717813504771442</c:v>
                </c:pt>
                <c:pt idx="16">
                  <c:v>92.384480171438028</c:v>
                </c:pt>
                <c:pt idx="17">
                  <c:v>93.051146838104685</c:v>
                </c:pt>
                <c:pt idx="18">
                  <c:v>93.717813504771442</c:v>
                </c:pt>
                <c:pt idx="19">
                  <c:v>94.384480171438028</c:v>
                </c:pt>
                <c:pt idx="20">
                  <c:v>95.051146838104685</c:v>
                </c:pt>
                <c:pt idx="21">
                  <c:v>95.717813504771442</c:v>
                </c:pt>
                <c:pt idx="22">
                  <c:v>96.384480171438028</c:v>
                </c:pt>
                <c:pt idx="23">
                  <c:v>97.051146838104685</c:v>
                </c:pt>
                <c:pt idx="24">
                  <c:v>97.717813504771442</c:v>
                </c:pt>
                <c:pt idx="25">
                  <c:v>98.384480171438028</c:v>
                </c:pt>
                <c:pt idx="26">
                  <c:v>99.051146838104685</c:v>
                </c:pt>
                <c:pt idx="27">
                  <c:v>99.717813504771442</c:v>
                </c:pt>
                <c:pt idx="28">
                  <c:v>100.38448017143803</c:v>
                </c:pt>
                <c:pt idx="29">
                  <c:v>101.05114683810469</c:v>
                </c:pt>
                <c:pt idx="30">
                  <c:v>101.71781350477144</c:v>
                </c:pt>
                <c:pt idx="31">
                  <c:v>102.38448017143803</c:v>
                </c:pt>
                <c:pt idx="32">
                  <c:v>103.05114683810469</c:v>
                </c:pt>
                <c:pt idx="33">
                  <c:v>103.71781350477144</c:v>
                </c:pt>
                <c:pt idx="34">
                  <c:v>104.38448017143803</c:v>
                </c:pt>
                <c:pt idx="35">
                  <c:v>105.05114683810469</c:v>
                </c:pt>
                <c:pt idx="36">
                  <c:v>105.71781350477144</c:v>
                </c:pt>
                <c:pt idx="37">
                  <c:v>106.38448017143803</c:v>
                </c:pt>
                <c:pt idx="38">
                  <c:v>107.05114683810469</c:v>
                </c:pt>
              </c:numCache>
            </c:numRef>
          </c:yVal>
        </c:ser>
        <c:ser>
          <c:idx val="2"/>
          <c:order val="2"/>
          <c:tx>
            <c:strRef>
              <c:f>'5M ch BW'!$Q$4</c:f>
              <c:strCache>
                <c:ptCount val="1"/>
                <c:pt idx="0">
                  <c:v>Blocking due to BS DL SEM (dBc)</c:v>
                </c:pt>
              </c:strCache>
            </c:strRef>
          </c:tx>
          <c:marker>
            <c:symbol val="triangle"/>
            <c:size val="5"/>
            <c:spPr>
              <a:solidFill>
                <a:sysClr val="window" lastClr="FFFFFF"/>
              </a:solidFill>
            </c:spPr>
          </c:marker>
          <c:xVal>
            <c:numRef>
              <c:f>'[NCCA power difference 20130924.xlsx]5M ch BW'!$A$5:$A$43</c:f>
              <c:numCache>
                <c:formatCode>General</c:formatCode>
                <c:ptCount val="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numCache>
            </c:numRef>
          </c:xVal>
          <c:yVal>
            <c:numRef>
              <c:f>'[NCCA power difference 20130924.xlsx]5M ch BW'!$Q$5:$Q$43</c:f>
              <c:numCache>
                <c:formatCode>General</c:formatCode>
                <c:ptCount val="39"/>
                <c:pt idx="0">
                  <c:v>44.532840601034557</c:v>
                </c:pt>
                <c:pt idx="1">
                  <c:v>45.232840601034574</c:v>
                </c:pt>
                <c:pt idx="2">
                  <c:v>45.932840601034563</c:v>
                </c:pt>
                <c:pt idx="3">
                  <c:v>46.632840601034566</c:v>
                </c:pt>
                <c:pt idx="4">
                  <c:v>47.332840601034555</c:v>
                </c:pt>
                <c:pt idx="5">
                  <c:v>48.032840601034572</c:v>
                </c:pt>
                <c:pt idx="6">
                  <c:v>48.732840601034596</c:v>
                </c:pt>
                <c:pt idx="7">
                  <c:v>49.432840601034577</c:v>
                </c:pt>
                <c:pt idx="8">
                  <c:v>50.132840601034594</c:v>
                </c:pt>
                <c:pt idx="9">
                  <c:v>50.832840601034583</c:v>
                </c:pt>
                <c:pt idx="10">
                  <c:v>51.532840601034586</c:v>
                </c:pt>
                <c:pt idx="11">
                  <c:v>52.232840601034596</c:v>
                </c:pt>
                <c:pt idx="12">
                  <c:v>52.932840601034584</c:v>
                </c:pt>
                <c:pt idx="13">
                  <c:v>53.632840601034594</c:v>
                </c:pt>
                <c:pt idx="14">
                  <c:v>54.33284060103459</c:v>
                </c:pt>
                <c:pt idx="15">
                  <c:v>55.0328406010346</c:v>
                </c:pt>
                <c:pt idx="16">
                  <c:v>55.732840601034624</c:v>
                </c:pt>
                <c:pt idx="17">
                  <c:v>56.432840601034599</c:v>
                </c:pt>
                <c:pt idx="18">
                  <c:v>57.132840601034609</c:v>
                </c:pt>
                <c:pt idx="19">
                  <c:v>57.832840601034597</c:v>
                </c:pt>
                <c:pt idx="20">
                  <c:v>58.532840601034614</c:v>
                </c:pt>
                <c:pt idx="21">
                  <c:v>59.232840601034624</c:v>
                </c:pt>
                <c:pt idx="22">
                  <c:v>59.93284060103462</c:v>
                </c:pt>
                <c:pt idx="23">
                  <c:v>60.632840601034644</c:v>
                </c:pt>
                <c:pt idx="24">
                  <c:v>61.332840601034619</c:v>
                </c:pt>
                <c:pt idx="25">
                  <c:v>62.032840601034628</c:v>
                </c:pt>
                <c:pt idx="26">
                  <c:v>62.732840601034646</c:v>
                </c:pt>
                <c:pt idx="27">
                  <c:v>63.432840601034634</c:v>
                </c:pt>
                <c:pt idx="28">
                  <c:v>64.132840601034658</c:v>
                </c:pt>
                <c:pt idx="29">
                  <c:v>64.832840601034619</c:v>
                </c:pt>
                <c:pt idx="30">
                  <c:v>65.53284060103465</c:v>
                </c:pt>
                <c:pt idx="31">
                  <c:v>66.232840601034653</c:v>
                </c:pt>
                <c:pt idx="32">
                  <c:v>66.93284060103467</c:v>
                </c:pt>
                <c:pt idx="33">
                  <c:v>67.632840601034658</c:v>
                </c:pt>
                <c:pt idx="34">
                  <c:v>68.332840601034633</c:v>
                </c:pt>
                <c:pt idx="35">
                  <c:v>69.032840601034678</c:v>
                </c:pt>
                <c:pt idx="36">
                  <c:v>69.732840601034681</c:v>
                </c:pt>
                <c:pt idx="37">
                  <c:v>70.432840601034684</c:v>
                </c:pt>
                <c:pt idx="38">
                  <c:v>71.132840601034658</c:v>
                </c:pt>
              </c:numCache>
            </c:numRef>
          </c:yVal>
        </c:ser>
        <c:ser>
          <c:idx val="3"/>
          <c:order val="3"/>
          <c:tx>
            <c:strRef>
              <c:f>'5M ch BW'!$R$4</c:f>
              <c:strCache>
                <c:ptCount val="1"/>
                <c:pt idx="0">
                  <c:v>Total allowed (dBc)</c:v>
                </c:pt>
              </c:strCache>
            </c:strRef>
          </c:tx>
          <c:spPr>
            <a:ln w="25400">
              <a:solidFill>
                <a:schemeClr val="tx1"/>
              </a:solidFill>
            </a:ln>
          </c:spPr>
          <c:marker>
            <c:symbol val="none"/>
          </c:marker>
          <c:xVal>
            <c:numRef>
              <c:f>'[NCCA power difference 20130924.xlsx]5M ch BW'!$A$5:$A$43</c:f>
              <c:numCache>
                <c:formatCode>General</c:formatCode>
                <c:ptCount val="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numCache>
            </c:numRef>
          </c:xVal>
          <c:yVal>
            <c:numRef>
              <c:f>'[NCCA power difference 20130924.xlsx]5M ch BW'!$R$5:$R$42</c:f>
              <c:numCache>
                <c:formatCode>General</c:formatCode>
                <c:ptCount val="38"/>
                <c:pt idx="0">
                  <c:v>44.343522040641297</c:v>
                </c:pt>
                <c:pt idx="1">
                  <c:v>45.181339343121635</c:v>
                </c:pt>
                <c:pt idx="2">
                  <c:v>45.908319291772919</c:v>
                </c:pt>
                <c:pt idx="3">
                  <c:v>46.614442274934156</c:v>
                </c:pt>
                <c:pt idx="4">
                  <c:v>47.318922223718666</c:v>
                </c:pt>
                <c:pt idx="5">
                  <c:v>48.022290927309889</c:v>
                </c:pt>
                <c:pt idx="6">
                  <c:v>48.722930178677593</c:v>
                </c:pt>
                <c:pt idx="7">
                  <c:v>49.423526353745245</c:v>
                </c:pt>
                <c:pt idx="8">
                  <c:v>50.124082312744932</c:v>
                </c:pt>
                <c:pt idx="9">
                  <c:v>50.824600726404604</c:v>
                </c:pt>
                <c:pt idx="10">
                  <c:v>51.525084088412321</c:v>
                </c:pt>
                <c:pt idx="11">
                  <c:v>52.225534727071725</c:v>
                </c:pt>
                <c:pt idx="12">
                  <c:v>52.925226273805819</c:v>
                </c:pt>
                <c:pt idx="13">
                  <c:v>53.624903581019723</c:v>
                </c:pt>
                <c:pt idx="14">
                  <c:v>54.324565981932494</c:v>
                </c:pt>
                <c:pt idx="15">
                  <c:v>55.02421277856488</c:v>
                </c:pt>
                <c:pt idx="16">
                  <c:v>55.722860970053588</c:v>
                </c:pt>
                <c:pt idx="17">
                  <c:v>56.421274467990159</c:v>
                </c:pt>
                <c:pt idx="18">
                  <c:v>57.119412436509663</c:v>
                </c:pt>
                <c:pt idx="19">
                  <c:v>57.817226974212225</c:v>
                </c:pt>
                <c:pt idx="20">
                  <c:v>58.514661907288783</c:v>
                </c:pt>
                <c:pt idx="21">
                  <c:v>59.211651382416512</c:v>
                </c:pt>
                <c:pt idx="22">
                  <c:v>59.908118228454747</c:v>
                </c:pt>
                <c:pt idx="23">
                  <c:v>60.603972052042522</c:v>
                </c:pt>
                <c:pt idx="24">
                  <c:v>61.299107028129519</c:v>
                </c:pt>
                <c:pt idx="25">
                  <c:v>61.993399342405191</c:v>
                </c:pt>
                <c:pt idx="26">
                  <c:v>62.686704238798598</c:v>
                </c:pt>
                <c:pt idx="27">
                  <c:v>63.378852622048768</c:v>
                </c:pt>
                <c:pt idx="28">
                  <c:v>64.069647163350112</c:v>
                </c:pt>
                <c:pt idx="29">
                  <c:v>64.758857856988485</c:v>
                </c:pt>
                <c:pt idx="30">
                  <c:v>65.446216978729197</c:v>
                </c:pt>
                <c:pt idx="31">
                  <c:v>66.131413403851639</c:v>
                </c:pt>
                <c:pt idx="32">
                  <c:v>66.81408625592681</c:v>
                </c:pt>
                <c:pt idx="33">
                  <c:v>67.49381787891943</c:v>
                </c:pt>
                <c:pt idx="34">
                  <c:v>68.170126157728774</c:v>
                </c:pt>
                <c:pt idx="35">
                  <c:v>68.842456259044951</c:v>
                </c:pt>
                <c:pt idx="36">
                  <c:v>69.510171928934781</c:v>
                </c:pt>
                <c:pt idx="37">
                  <c:v>70.172546569435454</c:v>
                </c:pt>
              </c:numCache>
            </c:numRef>
          </c:yVal>
        </c:ser>
        <c:axId val="727959808"/>
        <c:axId val="730338432"/>
      </c:scatterChart>
      <c:valAx>
        <c:axId val="727959808"/>
        <c:scaling>
          <c:orientation val="minMax"/>
          <c:max val="40"/>
        </c:scaling>
        <c:axPos val="b"/>
        <c:minorGridlines/>
        <c:title>
          <c:tx>
            <c:rich>
              <a:bodyPr/>
              <a:lstStyle/>
              <a:p>
                <a:pPr>
                  <a:defRPr/>
                </a:pPr>
                <a:r>
                  <a:rPr lang="en-US"/>
                  <a:t>Channel Offset</a:t>
                </a:r>
              </a:p>
            </c:rich>
          </c:tx>
          <c:layout>
            <c:manualLayout>
              <c:xMode val="edge"/>
              <c:yMode val="edge"/>
              <c:x val="0.32175799453639725"/>
              <c:y val="0.90899983965026909"/>
            </c:manualLayout>
          </c:layout>
        </c:title>
        <c:numFmt formatCode="General" sourceLinked="1"/>
        <c:majorTickMark val="none"/>
        <c:tickLblPos val="nextTo"/>
        <c:crossAx val="730338432"/>
        <c:crosses val="autoZero"/>
        <c:crossBetween val="midCat"/>
      </c:valAx>
      <c:valAx>
        <c:axId val="730338432"/>
        <c:scaling>
          <c:orientation val="minMax"/>
          <c:max val="110"/>
          <c:min val="40"/>
        </c:scaling>
        <c:axPos val="l"/>
        <c:majorGridlines/>
        <c:title>
          <c:tx>
            <c:rich>
              <a:bodyPr/>
              <a:lstStyle/>
              <a:p>
                <a:pPr>
                  <a:defRPr/>
                </a:pPr>
                <a:r>
                  <a:rPr lang="en-US"/>
                  <a:t>Allowable Power Difference (dB)</a:t>
                </a:r>
              </a:p>
            </c:rich>
          </c:tx>
          <c:layout>
            <c:manualLayout>
              <c:xMode val="edge"/>
              <c:yMode val="edge"/>
              <c:x val="2.5794701929539914E-2"/>
              <c:y val="0.10997330992409733"/>
            </c:manualLayout>
          </c:layout>
        </c:title>
        <c:numFmt formatCode="General" sourceLinked="1"/>
        <c:majorTickMark val="none"/>
        <c:tickLblPos val="nextTo"/>
        <c:crossAx val="727959808"/>
        <c:crosses val="autoZero"/>
        <c:crossBetween val="midCat"/>
      </c:valAx>
    </c:plotArea>
    <c:legend>
      <c:legendPos val="r"/>
      <c:layout>
        <c:manualLayout>
          <c:xMode val="edge"/>
          <c:yMode val="edge"/>
          <c:x val="0.66420493521259194"/>
          <c:y val="0.33348062937445389"/>
          <c:w val="0.32776121878774389"/>
          <c:h val="0.3728795645510759"/>
        </c:manualLayout>
      </c:layout>
    </c:legend>
    <c:plotVisOnly val="1"/>
  </c:chart>
  <c:txPr>
    <a:bodyPr/>
    <a:lstStyle/>
    <a:p>
      <a:pPr>
        <a:defRPr sz="900"/>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11026320064322477"/>
          <c:y val="9.8306890353727153E-2"/>
          <c:w val="0.5548204865724683"/>
          <c:h val="0.71249667763048674"/>
        </c:manualLayout>
      </c:layout>
      <c:scatterChart>
        <c:scatterStyle val="lineMarker"/>
        <c:ser>
          <c:idx val="0"/>
          <c:order val="0"/>
          <c:tx>
            <c:strRef>
              <c:f>'5M ch BW'!$N$4</c:f>
              <c:strCache>
                <c:ptCount val="1"/>
                <c:pt idx="0">
                  <c:v>Blocking due to Rx LO PN (dBc)</c:v>
                </c:pt>
              </c:strCache>
            </c:strRef>
          </c:tx>
          <c:marker>
            <c:symbol val="circle"/>
            <c:size val="5"/>
            <c:spPr>
              <a:solidFill>
                <a:sysClr val="window" lastClr="FFFFFF"/>
              </a:solidFill>
            </c:spPr>
          </c:marker>
          <c:xVal>
            <c:numRef>
              <c:f>'[NCCA power difference 20130924.xlsx]5M ch BW'!$A$48:$A$86</c:f>
              <c:numCache>
                <c:formatCode>General</c:formatCode>
                <c:ptCount val="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numCache>
            </c:numRef>
          </c:xVal>
          <c:yVal>
            <c:numRef>
              <c:f>'[NCCA power difference 20130924.xlsx]5M ch BW'!$N$48:$N$86</c:f>
              <c:numCache>
                <c:formatCode>General</c:formatCode>
                <c:ptCount val="39"/>
                <c:pt idx="0">
                  <c:v>68.989675557356762</c:v>
                </c:pt>
                <c:pt idx="1">
                  <c:v>74.989675557356762</c:v>
                </c:pt>
                <c:pt idx="2">
                  <c:v>78.989675557356762</c:v>
                </c:pt>
                <c:pt idx="3">
                  <c:v>80.989675557356762</c:v>
                </c:pt>
                <c:pt idx="4">
                  <c:v>82.989675557356762</c:v>
                </c:pt>
                <c:pt idx="5">
                  <c:v>84.989675557356762</c:v>
                </c:pt>
                <c:pt idx="6">
                  <c:v>85.989675557356762</c:v>
                </c:pt>
                <c:pt idx="7">
                  <c:v>86.989675557356762</c:v>
                </c:pt>
                <c:pt idx="8">
                  <c:v>87.989675557356762</c:v>
                </c:pt>
                <c:pt idx="9">
                  <c:v>88.989675557356762</c:v>
                </c:pt>
                <c:pt idx="10">
                  <c:v>89.989675557356762</c:v>
                </c:pt>
                <c:pt idx="11">
                  <c:v>90.989675557356762</c:v>
                </c:pt>
                <c:pt idx="12">
                  <c:v>91.489675557356762</c:v>
                </c:pt>
                <c:pt idx="13">
                  <c:v>91.989675557356762</c:v>
                </c:pt>
                <c:pt idx="14">
                  <c:v>92.489675557356762</c:v>
                </c:pt>
                <c:pt idx="15">
                  <c:v>92.989675557356762</c:v>
                </c:pt>
                <c:pt idx="16">
                  <c:v>92.989675557356762</c:v>
                </c:pt>
                <c:pt idx="17">
                  <c:v>92.989675557356762</c:v>
                </c:pt>
                <c:pt idx="18">
                  <c:v>92.989675557356762</c:v>
                </c:pt>
                <c:pt idx="19">
                  <c:v>92.989675557356762</c:v>
                </c:pt>
                <c:pt idx="20">
                  <c:v>92.989675557356762</c:v>
                </c:pt>
                <c:pt idx="21">
                  <c:v>92.989675557356762</c:v>
                </c:pt>
                <c:pt idx="22">
                  <c:v>92.989675557356762</c:v>
                </c:pt>
                <c:pt idx="23">
                  <c:v>92.989675557356762</c:v>
                </c:pt>
                <c:pt idx="24">
                  <c:v>92.989675557356762</c:v>
                </c:pt>
                <c:pt idx="25">
                  <c:v>92.989675557356762</c:v>
                </c:pt>
                <c:pt idx="26">
                  <c:v>92.989675557356762</c:v>
                </c:pt>
                <c:pt idx="27">
                  <c:v>92.989675557356762</c:v>
                </c:pt>
                <c:pt idx="28">
                  <c:v>92.989675557356762</c:v>
                </c:pt>
                <c:pt idx="29">
                  <c:v>92.989675557356762</c:v>
                </c:pt>
                <c:pt idx="30">
                  <c:v>92.989675557356762</c:v>
                </c:pt>
                <c:pt idx="31">
                  <c:v>92.989675557356762</c:v>
                </c:pt>
                <c:pt idx="32">
                  <c:v>92.989675557356762</c:v>
                </c:pt>
                <c:pt idx="33">
                  <c:v>92.989675557356762</c:v>
                </c:pt>
                <c:pt idx="34">
                  <c:v>92.989675557356762</c:v>
                </c:pt>
                <c:pt idx="35">
                  <c:v>92.989675557356762</c:v>
                </c:pt>
                <c:pt idx="36">
                  <c:v>92.989675557356762</c:v>
                </c:pt>
                <c:pt idx="37">
                  <c:v>92.989675557356762</c:v>
                </c:pt>
                <c:pt idx="38">
                  <c:v>92.989675557356762</c:v>
                </c:pt>
              </c:numCache>
            </c:numRef>
          </c:yVal>
        </c:ser>
        <c:ser>
          <c:idx val="1"/>
          <c:order val="1"/>
          <c:tx>
            <c:strRef>
              <c:f>'5M ch BW'!$O$4</c:f>
              <c:strCache>
                <c:ptCount val="1"/>
                <c:pt idx="0">
                  <c:v>Blocking due to Rx IMD3 (dBc)</c:v>
                </c:pt>
              </c:strCache>
            </c:strRef>
          </c:tx>
          <c:marker>
            <c:symbol val="square"/>
            <c:size val="5"/>
            <c:spPr>
              <a:solidFill>
                <a:sysClr val="window" lastClr="FFFFFF"/>
              </a:solidFill>
            </c:spPr>
          </c:marker>
          <c:xVal>
            <c:numRef>
              <c:f>'[NCCA power difference 20130924.xlsx]5M ch BW'!$A$48:$A$86</c:f>
              <c:numCache>
                <c:formatCode>General</c:formatCode>
                <c:ptCount val="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numCache>
            </c:numRef>
          </c:xVal>
          <c:yVal>
            <c:numRef>
              <c:f>'[NCCA power difference 20130924.xlsx]5M ch BW'!$O$48:$O$86</c:f>
              <c:numCache>
                <c:formatCode>General</c:formatCode>
                <c:ptCount val="39"/>
                <c:pt idx="0">
                  <c:v>69.299991837998832</c:v>
                </c:pt>
                <c:pt idx="1">
                  <c:v>83.666658504665548</c:v>
                </c:pt>
                <c:pt idx="2">
                  <c:v>84.999991837998849</c:v>
                </c:pt>
                <c:pt idx="3">
                  <c:v>85.666658504665548</c:v>
                </c:pt>
                <c:pt idx="4">
                  <c:v>85.999991837998849</c:v>
                </c:pt>
                <c:pt idx="5">
                  <c:v>86.666658504665548</c:v>
                </c:pt>
                <c:pt idx="6">
                  <c:v>87.333325171332206</c:v>
                </c:pt>
                <c:pt idx="7">
                  <c:v>87.999991837998849</c:v>
                </c:pt>
                <c:pt idx="8">
                  <c:v>88.666658504665548</c:v>
                </c:pt>
                <c:pt idx="9">
                  <c:v>89.333325171332206</c:v>
                </c:pt>
                <c:pt idx="10">
                  <c:v>89.999991837998849</c:v>
                </c:pt>
                <c:pt idx="11">
                  <c:v>90.666658504665492</c:v>
                </c:pt>
                <c:pt idx="12">
                  <c:v>91.333325171332206</c:v>
                </c:pt>
                <c:pt idx="13">
                  <c:v>91.999991837998849</c:v>
                </c:pt>
                <c:pt idx="14">
                  <c:v>92.666658504665492</c:v>
                </c:pt>
                <c:pt idx="15">
                  <c:v>93.333325171332206</c:v>
                </c:pt>
                <c:pt idx="16">
                  <c:v>93.999991837998849</c:v>
                </c:pt>
                <c:pt idx="17">
                  <c:v>94.666658504665492</c:v>
                </c:pt>
                <c:pt idx="18">
                  <c:v>95.333325171332206</c:v>
                </c:pt>
                <c:pt idx="19">
                  <c:v>95.999991837998849</c:v>
                </c:pt>
                <c:pt idx="20">
                  <c:v>96.666658504665492</c:v>
                </c:pt>
                <c:pt idx="21">
                  <c:v>97.333325171332206</c:v>
                </c:pt>
                <c:pt idx="22">
                  <c:v>97.999991837998849</c:v>
                </c:pt>
                <c:pt idx="23">
                  <c:v>98.666658504665492</c:v>
                </c:pt>
                <c:pt idx="24">
                  <c:v>99.333325171332206</c:v>
                </c:pt>
                <c:pt idx="25">
                  <c:v>99.999991837998849</c:v>
                </c:pt>
                <c:pt idx="26">
                  <c:v>100.66665850466551</c:v>
                </c:pt>
                <c:pt idx="27">
                  <c:v>101.33332517133222</c:v>
                </c:pt>
                <c:pt idx="28">
                  <c:v>101.99999183799888</c:v>
                </c:pt>
                <c:pt idx="29">
                  <c:v>102.66665850466551</c:v>
                </c:pt>
                <c:pt idx="30">
                  <c:v>103.33332517133222</c:v>
                </c:pt>
                <c:pt idx="31">
                  <c:v>103.99999183799888</c:v>
                </c:pt>
                <c:pt idx="32">
                  <c:v>104.66665850466551</c:v>
                </c:pt>
                <c:pt idx="33">
                  <c:v>105.33332517133222</c:v>
                </c:pt>
                <c:pt idx="34">
                  <c:v>105.99999183799888</c:v>
                </c:pt>
                <c:pt idx="35">
                  <c:v>106.66665850466551</c:v>
                </c:pt>
                <c:pt idx="36">
                  <c:v>107.33332517133222</c:v>
                </c:pt>
                <c:pt idx="37">
                  <c:v>107.99999183799888</c:v>
                </c:pt>
                <c:pt idx="38">
                  <c:v>108.66665850466551</c:v>
                </c:pt>
              </c:numCache>
            </c:numRef>
          </c:yVal>
        </c:ser>
        <c:ser>
          <c:idx val="2"/>
          <c:order val="2"/>
          <c:tx>
            <c:strRef>
              <c:f>'5M ch BW'!$Q$4</c:f>
              <c:strCache>
                <c:ptCount val="1"/>
                <c:pt idx="0">
                  <c:v>Blocking due to BS DL SEM (dBc)</c:v>
                </c:pt>
              </c:strCache>
            </c:strRef>
          </c:tx>
          <c:marker>
            <c:symbol val="triangle"/>
            <c:size val="5"/>
            <c:spPr>
              <a:solidFill>
                <a:sysClr val="window" lastClr="FFFFFF"/>
              </a:solidFill>
            </c:spPr>
          </c:marker>
          <c:xVal>
            <c:numRef>
              <c:f>'[NCCA power difference 20130924.xlsx]5M ch BW'!$A$48:$A$85</c:f>
              <c:numCache>
                <c:formatCode>General</c:formatCode>
                <c:ptCount val="3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numCache>
            </c:numRef>
          </c:xVal>
          <c:yVal>
            <c:numRef>
              <c:f>'[NCCA power difference 20130924.xlsx]5M ch BW'!$Q$48:$Q$86</c:f>
              <c:numCache>
                <c:formatCode>General</c:formatCode>
                <c:ptCount val="39"/>
                <c:pt idx="0">
                  <c:v>54.979375600716999</c:v>
                </c:pt>
                <c:pt idx="1">
                  <c:v>55.679375600717002</c:v>
                </c:pt>
                <c:pt idx="2">
                  <c:v>56.379375600717005</c:v>
                </c:pt>
                <c:pt idx="3">
                  <c:v>57.079375600717007</c:v>
                </c:pt>
                <c:pt idx="4">
                  <c:v>57.77937560071701</c:v>
                </c:pt>
                <c:pt idx="5">
                  <c:v>58.479375600717006</c:v>
                </c:pt>
                <c:pt idx="6">
                  <c:v>59.179375600717016</c:v>
                </c:pt>
                <c:pt idx="7">
                  <c:v>59.879375600717005</c:v>
                </c:pt>
                <c:pt idx="8">
                  <c:v>60.579375600717022</c:v>
                </c:pt>
                <c:pt idx="9">
                  <c:v>61.279375600717032</c:v>
                </c:pt>
                <c:pt idx="10">
                  <c:v>61.97937560071702</c:v>
                </c:pt>
                <c:pt idx="11">
                  <c:v>62.679375600717037</c:v>
                </c:pt>
                <c:pt idx="12">
                  <c:v>63.379375600717026</c:v>
                </c:pt>
                <c:pt idx="13">
                  <c:v>64.079375600717029</c:v>
                </c:pt>
                <c:pt idx="14">
                  <c:v>64.779375600717032</c:v>
                </c:pt>
                <c:pt idx="15">
                  <c:v>65.479375600717034</c:v>
                </c:pt>
                <c:pt idx="16">
                  <c:v>66.179375600717009</c:v>
                </c:pt>
                <c:pt idx="17">
                  <c:v>66.87937560071704</c:v>
                </c:pt>
                <c:pt idx="18">
                  <c:v>67.579375600717043</c:v>
                </c:pt>
                <c:pt idx="19">
                  <c:v>68.279375600717046</c:v>
                </c:pt>
                <c:pt idx="20">
                  <c:v>68.979375600717063</c:v>
                </c:pt>
                <c:pt idx="21">
                  <c:v>69.679375600717051</c:v>
                </c:pt>
                <c:pt idx="22">
                  <c:v>70.379375600717054</c:v>
                </c:pt>
                <c:pt idx="23">
                  <c:v>71.079375600717057</c:v>
                </c:pt>
                <c:pt idx="24">
                  <c:v>71.77937560071706</c:v>
                </c:pt>
                <c:pt idx="25">
                  <c:v>72.479375600717063</c:v>
                </c:pt>
                <c:pt idx="26">
                  <c:v>73.179375600717051</c:v>
                </c:pt>
                <c:pt idx="27">
                  <c:v>73.879375600717069</c:v>
                </c:pt>
                <c:pt idx="28">
                  <c:v>74.579375600717071</c:v>
                </c:pt>
                <c:pt idx="29">
                  <c:v>75.279375600717074</c:v>
                </c:pt>
                <c:pt idx="30">
                  <c:v>75.979375600717077</c:v>
                </c:pt>
                <c:pt idx="31">
                  <c:v>76.67937560071708</c:v>
                </c:pt>
                <c:pt idx="32">
                  <c:v>77.379375600717083</c:v>
                </c:pt>
                <c:pt idx="33">
                  <c:v>78.079375600717086</c:v>
                </c:pt>
                <c:pt idx="34">
                  <c:v>78.779375600717103</c:v>
                </c:pt>
                <c:pt idx="35">
                  <c:v>79.479375600717091</c:v>
                </c:pt>
                <c:pt idx="36">
                  <c:v>80.17937560071708</c:v>
                </c:pt>
                <c:pt idx="37">
                  <c:v>80.879375600717083</c:v>
                </c:pt>
                <c:pt idx="38">
                  <c:v>81.5793756007171</c:v>
                </c:pt>
              </c:numCache>
            </c:numRef>
          </c:yVal>
        </c:ser>
        <c:ser>
          <c:idx val="3"/>
          <c:order val="3"/>
          <c:tx>
            <c:strRef>
              <c:f>'5M ch BW'!$R$4</c:f>
              <c:strCache>
                <c:ptCount val="1"/>
                <c:pt idx="0">
                  <c:v>Total allowed (dBc)</c:v>
                </c:pt>
              </c:strCache>
            </c:strRef>
          </c:tx>
          <c:spPr>
            <a:ln w="25400">
              <a:solidFill>
                <a:schemeClr val="tx1"/>
              </a:solidFill>
            </a:ln>
          </c:spPr>
          <c:marker>
            <c:symbol val="none"/>
          </c:marker>
          <c:xVal>
            <c:numRef>
              <c:f>'[NCCA power difference 20130924.xlsx]5M ch BW'!$A$48:$A$86</c:f>
              <c:numCache>
                <c:formatCode>General</c:formatCode>
                <c:ptCount val="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numCache>
            </c:numRef>
          </c:xVal>
          <c:yVal>
            <c:numRef>
              <c:f>'[NCCA power difference 20130924.xlsx]5M ch BW'!$R$48:$R$86</c:f>
              <c:numCache>
                <c:formatCode>General</c:formatCode>
                <c:ptCount val="39"/>
                <c:pt idx="0">
                  <c:v>54.658452742460653</c:v>
                </c:pt>
                <c:pt idx="1">
                  <c:v>55.62194937921705</c:v>
                </c:pt>
                <c:pt idx="2">
                  <c:v>56.349700949796627</c:v>
                </c:pt>
                <c:pt idx="3">
                  <c:v>57.055776928886033</c:v>
                </c:pt>
                <c:pt idx="4">
                  <c:v>57.759793217578171</c:v>
                </c:pt>
                <c:pt idx="5">
                  <c:v>58.463113883672307</c:v>
                </c:pt>
                <c:pt idx="6">
                  <c:v>59.163708307212154</c:v>
                </c:pt>
                <c:pt idx="7">
                  <c:v>59.864259360390385</c:v>
                </c:pt>
                <c:pt idx="8">
                  <c:v>60.564769898188366</c:v>
                </c:pt>
                <c:pt idx="9">
                  <c:v>61.265242586218001</c:v>
                </c:pt>
                <c:pt idx="10">
                  <c:v>61.965679913176814</c:v>
                </c:pt>
                <c:pt idx="11">
                  <c:v>62.666084202495043</c:v>
                </c:pt>
                <c:pt idx="12">
                  <c:v>63.365730091963506</c:v>
                </c:pt>
                <c:pt idx="13">
                  <c:v>64.065361413795827</c:v>
                </c:pt>
                <c:pt idx="14">
                  <c:v>64.7649774999567</c:v>
                </c:pt>
                <c:pt idx="15">
                  <c:v>65.464577651271696</c:v>
                </c:pt>
                <c:pt idx="16">
                  <c:v>66.163180270741819</c:v>
                </c:pt>
                <c:pt idx="17">
                  <c:v>66.861548198436964</c:v>
                </c:pt>
                <c:pt idx="18">
                  <c:v>67.559640662703373</c:v>
                </c:pt>
                <c:pt idx="19">
                  <c:v>68.257409838421424</c:v>
                </c:pt>
                <c:pt idx="20">
                  <c:v>68.954799642263737</c:v>
                </c:pt>
                <c:pt idx="21">
                  <c:v>69.651744328079388</c:v>
                </c:pt>
                <c:pt idx="22">
                  <c:v>70.348166851488699</c:v>
                </c:pt>
                <c:pt idx="23">
                  <c:v>71.043976968845627</c:v>
                </c:pt>
                <c:pt idx="24">
                  <c:v>71.739069031659142</c:v>
                </c:pt>
                <c:pt idx="25">
                  <c:v>72.433319433504408</c:v>
                </c:pt>
                <c:pt idx="26">
                  <c:v>73.126583662652948</c:v>
                </c:pt>
                <c:pt idx="27">
                  <c:v>73.818692910481076</c:v>
                </c:pt>
                <c:pt idx="28">
                  <c:v>74.509450183703862</c:v>
                </c:pt>
                <c:pt idx="29">
                  <c:v>75.198625868371792</c:v>
                </c:pt>
                <c:pt idx="30">
                  <c:v>75.885952696379519</c:v>
                </c:pt>
                <c:pt idx="31">
                  <c:v>76.571120072317299</c:v>
                </c:pt>
                <c:pt idx="32">
                  <c:v>77.253767731615909</c:v>
                </c:pt>
                <c:pt idx="33">
                  <c:v>77.933478722323088</c:v>
                </c:pt>
                <c:pt idx="34">
                  <c:v>78.609771735229685</c:v>
                </c:pt>
                <c:pt idx="35">
                  <c:v>79.282092853642837</c:v>
                </c:pt>
                <c:pt idx="36">
                  <c:v>79.949806858400578</c:v>
                </c:pt>
                <c:pt idx="37">
                  <c:v>80.612188309297252</c:v>
                </c:pt>
                <c:pt idx="38">
                  <c:v>81.268412733917373</c:v>
                </c:pt>
              </c:numCache>
            </c:numRef>
          </c:yVal>
        </c:ser>
        <c:axId val="404361216"/>
        <c:axId val="404363136"/>
      </c:scatterChart>
      <c:valAx>
        <c:axId val="404361216"/>
        <c:scaling>
          <c:orientation val="minMax"/>
          <c:max val="40"/>
        </c:scaling>
        <c:axPos val="b"/>
        <c:minorGridlines/>
        <c:title>
          <c:tx>
            <c:rich>
              <a:bodyPr/>
              <a:lstStyle/>
              <a:p>
                <a:pPr>
                  <a:defRPr/>
                </a:pPr>
                <a:r>
                  <a:rPr lang="en-US"/>
                  <a:t>Channel Offset</a:t>
                </a:r>
              </a:p>
            </c:rich>
          </c:tx>
          <c:layout>
            <c:manualLayout>
              <c:xMode val="edge"/>
              <c:yMode val="edge"/>
              <c:x val="0.31973615593132826"/>
              <c:y val="0.90335990111327824"/>
            </c:manualLayout>
          </c:layout>
        </c:title>
        <c:numFmt formatCode="General" sourceLinked="1"/>
        <c:majorTickMark val="none"/>
        <c:tickLblPos val="nextTo"/>
        <c:crossAx val="404363136"/>
        <c:crosses val="autoZero"/>
        <c:crossBetween val="midCat"/>
      </c:valAx>
      <c:valAx>
        <c:axId val="404363136"/>
        <c:scaling>
          <c:orientation val="minMax"/>
          <c:max val="110"/>
          <c:min val="40"/>
        </c:scaling>
        <c:axPos val="l"/>
        <c:majorGridlines/>
        <c:title>
          <c:tx>
            <c:rich>
              <a:bodyPr/>
              <a:lstStyle/>
              <a:p>
                <a:pPr>
                  <a:defRPr/>
                </a:pPr>
                <a:r>
                  <a:rPr lang="en-US"/>
                  <a:t>Allowable Power Difference (dB)</a:t>
                </a:r>
              </a:p>
            </c:rich>
          </c:tx>
          <c:layout>
            <c:manualLayout>
              <c:xMode val="edge"/>
              <c:yMode val="edge"/>
              <c:x val="2.653431435824621E-2"/>
              <c:y val="0.12667373000393292"/>
            </c:manualLayout>
          </c:layout>
        </c:title>
        <c:numFmt formatCode="General" sourceLinked="1"/>
        <c:majorTickMark val="none"/>
        <c:tickLblPos val="nextTo"/>
        <c:crossAx val="404361216"/>
        <c:crosses val="autoZero"/>
        <c:crossBetween val="midCat"/>
      </c:valAx>
    </c:plotArea>
    <c:legend>
      <c:legendPos val="r"/>
      <c:layout>
        <c:manualLayout>
          <c:xMode val="edge"/>
          <c:yMode val="edge"/>
          <c:x val="0.66877963062208945"/>
          <c:y val="0.33348072726061234"/>
          <c:w val="0.32315190804029081"/>
          <c:h val="0.37287956455107601"/>
        </c:manualLayout>
      </c:layout>
    </c:legend>
    <c:plotVisOnly val="1"/>
  </c:chart>
  <c:txPr>
    <a:bodyPr/>
    <a:lstStyle/>
    <a:p>
      <a:pPr>
        <a:defRPr sz="900"/>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1102632006432248"/>
          <c:y val="9.8306890353727222E-2"/>
          <c:w val="0.55299181760243477"/>
          <c:h val="0.7138114597693096"/>
        </c:manualLayout>
      </c:layout>
      <c:scatterChart>
        <c:scatterStyle val="lineMarker"/>
        <c:ser>
          <c:idx val="0"/>
          <c:order val="0"/>
          <c:tx>
            <c:strRef>
              <c:f>'5M ch BW'!$N$4</c:f>
              <c:strCache>
                <c:ptCount val="1"/>
                <c:pt idx="0">
                  <c:v>Blocking due to Rx LO PN (dBc)</c:v>
                </c:pt>
              </c:strCache>
            </c:strRef>
          </c:tx>
          <c:marker>
            <c:symbol val="circle"/>
            <c:size val="5"/>
            <c:spPr>
              <a:solidFill>
                <a:sysClr val="window" lastClr="FFFFFF"/>
              </a:solidFill>
            </c:spPr>
          </c:marker>
          <c:xVal>
            <c:numRef>
              <c:f>'[NCCA power difference 20130924.xlsx]5M ch BW'!$A$91:$A$128</c:f>
              <c:numCache>
                <c:formatCode>General</c:formatCode>
                <c:ptCount val="3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numCache>
            </c:numRef>
          </c:xVal>
          <c:yVal>
            <c:numRef>
              <c:f>'[NCCA power difference 20130924.xlsx]5M ch BW'!$N$91:$N$129</c:f>
              <c:numCache>
                <c:formatCode>General</c:formatCode>
                <c:ptCount val="39"/>
                <c:pt idx="0">
                  <c:v>70.754024181721661</c:v>
                </c:pt>
                <c:pt idx="1">
                  <c:v>76.754024181721661</c:v>
                </c:pt>
                <c:pt idx="2">
                  <c:v>80.754024181721661</c:v>
                </c:pt>
                <c:pt idx="3">
                  <c:v>82.754024181721661</c:v>
                </c:pt>
                <c:pt idx="4">
                  <c:v>84.754024181721661</c:v>
                </c:pt>
                <c:pt idx="5">
                  <c:v>86.754024181721661</c:v>
                </c:pt>
                <c:pt idx="6">
                  <c:v>87.754024181721661</c:v>
                </c:pt>
                <c:pt idx="7">
                  <c:v>88.754024181721661</c:v>
                </c:pt>
                <c:pt idx="8">
                  <c:v>89.754024181721661</c:v>
                </c:pt>
                <c:pt idx="9">
                  <c:v>90.754024181721661</c:v>
                </c:pt>
                <c:pt idx="10">
                  <c:v>91.754024181721661</c:v>
                </c:pt>
                <c:pt idx="11">
                  <c:v>92.754024181721661</c:v>
                </c:pt>
                <c:pt idx="12">
                  <c:v>93.254024181721661</c:v>
                </c:pt>
                <c:pt idx="13">
                  <c:v>93.754024181721661</c:v>
                </c:pt>
                <c:pt idx="14">
                  <c:v>94.254024181721661</c:v>
                </c:pt>
                <c:pt idx="15">
                  <c:v>94.754024181721661</c:v>
                </c:pt>
                <c:pt idx="16">
                  <c:v>94.754024181721661</c:v>
                </c:pt>
                <c:pt idx="17">
                  <c:v>94.754024181721661</c:v>
                </c:pt>
                <c:pt idx="18">
                  <c:v>94.754024181721661</c:v>
                </c:pt>
                <c:pt idx="19">
                  <c:v>94.754024181721661</c:v>
                </c:pt>
                <c:pt idx="20">
                  <c:v>94.754024181721661</c:v>
                </c:pt>
                <c:pt idx="21">
                  <c:v>94.754024181721661</c:v>
                </c:pt>
                <c:pt idx="22">
                  <c:v>94.754024181721661</c:v>
                </c:pt>
                <c:pt idx="23">
                  <c:v>94.754024181721661</c:v>
                </c:pt>
                <c:pt idx="24">
                  <c:v>94.754024181721661</c:v>
                </c:pt>
                <c:pt idx="25">
                  <c:v>94.754024181721661</c:v>
                </c:pt>
                <c:pt idx="26">
                  <c:v>94.754024181721661</c:v>
                </c:pt>
                <c:pt idx="27">
                  <c:v>94.754024181721661</c:v>
                </c:pt>
                <c:pt idx="28">
                  <c:v>94.754024181721661</c:v>
                </c:pt>
                <c:pt idx="29">
                  <c:v>94.754024181721661</c:v>
                </c:pt>
                <c:pt idx="30">
                  <c:v>94.754024181721661</c:v>
                </c:pt>
                <c:pt idx="31">
                  <c:v>94.754024181721661</c:v>
                </c:pt>
                <c:pt idx="32">
                  <c:v>94.754024181721661</c:v>
                </c:pt>
                <c:pt idx="33">
                  <c:v>94.754024181721661</c:v>
                </c:pt>
                <c:pt idx="34">
                  <c:v>94.754024181721661</c:v>
                </c:pt>
                <c:pt idx="35">
                  <c:v>94.754024181721661</c:v>
                </c:pt>
                <c:pt idx="36">
                  <c:v>94.754024181721661</c:v>
                </c:pt>
                <c:pt idx="37">
                  <c:v>94.754024181721661</c:v>
                </c:pt>
                <c:pt idx="38">
                  <c:v>94.754024181721661</c:v>
                </c:pt>
              </c:numCache>
            </c:numRef>
          </c:yVal>
        </c:ser>
        <c:ser>
          <c:idx val="1"/>
          <c:order val="1"/>
          <c:tx>
            <c:strRef>
              <c:f>'5M ch BW'!$O$4</c:f>
              <c:strCache>
                <c:ptCount val="1"/>
                <c:pt idx="0">
                  <c:v>Blocking due to Rx IMD3 (dBc)</c:v>
                </c:pt>
              </c:strCache>
            </c:strRef>
          </c:tx>
          <c:marker>
            <c:symbol val="square"/>
            <c:size val="5"/>
            <c:spPr>
              <a:solidFill>
                <a:sysClr val="window" lastClr="FFFFFF"/>
              </a:solidFill>
            </c:spPr>
          </c:marker>
          <c:xVal>
            <c:numRef>
              <c:f>'[NCCA power difference 20130924.xlsx]5M ch BW'!$A$91:$A$128</c:f>
              <c:numCache>
                <c:formatCode>General</c:formatCode>
                <c:ptCount val="38"/>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numCache>
            </c:numRef>
          </c:xVal>
          <c:yVal>
            <c:numRef>
              <c:f>'[NCCA power difference 20130924.xlsx]5M ch BW'!$O$91:$O$129</c:f>
              <c:numCache>
                <c:formatCode>General</c:formatCode>
                <c:ptCount val="39"/>
                <c:pt idx="0">
                  <c:v>67.888108046120408</c:v>
                </c:pt>
                <c:pt idx="1">
                  <c:v>82.254774712787096</c:v>
                </c:pt>
                <c:pt idx="2">
                  <c:v>83.588108046120439</c:v>
                </c:pt>
                <c:pt idx="3">
                  <c:v>84.254774712787096</c:v>
                </c:pt>
                <c:pt idx="4">
                  <c:v>84.588108046120439</c:v>
                </c:pt>
                <c:pt idx="5">
                  <c:v>85.254774712787096</c:v>
                </c:pt>
                <c:pt idx="6">
                  <c:v>85.921441379453753</c:v>
                </c:pt>
                <c:pt idx="7">
                  <c:v>86.588108046120439</c:v>
                </c:pt>
                <c:pt idx="8">
                  <c:v>87.254774712787096</c:v>
                </c:pt>
                <c:pt idx="9">
                  <c:v>87.921441379453753</c:v>
                </c:pt>
                <c:pt idx="10">
                  <c:v>88.588108046120439</c:v>
                </c:pt>
                <c:pt idx="11">
                  <c:v>89.254774712787096</c:v>
                </c:pt>
                <c:pt idx="12">
                  <c:v>89.921441379453753</c:v>
                </c:pt>
                <c:pt idx="13">
                  <c:v>90.588108046120439</c:v>
                </c:pt>
                <c:pt idx="14">
                  <c:v>91.254774712787096</c:v>
                </c:pt>
                <c:pt idx="15">
                  <c:v>91.921441379453753</c:v>
                </c:pt>
                <c:pt idx="16">
                  <c:v>92.588108046120439</c:v>
                </c:pt>
                <c:pt idx="17">
                  <c:v>93.254774712787096</c:v>
                </c:pt>
                <c:pt idx="18">
                  <c:v>93.921441379453753</c:v>
                </c:pt>
                <c:pt idx="19">
                  <c:v>94.588108046120439</c:v>
                </c:pt>
                <c:pt idx="20">
                  <c:v>95.254774712787096</c:v>
                </c:pt>
                <c:pt idx="21">
                  <c:v>95.921441379453753</c:v>
                </c:pt>
                <c:pt idx="22">
                  <c:v>96.588108046120439</c:v>
                </c:pt>
                <c:pt idx="23">
                  <c:v>97.254774712787096</c:v>
                </c:pt>
                <c:pt idx="24">
                  <c:v>97.921441379453753</c:v>
                </c:pt>
                <c:pt idx="25">
                  <c:v>98.588108046120439</c:v>
                </c:pt>
                <c:pt idx="26">
                  <c:v>99.254774712787096</c:v>
                </c:pt>
                <c:pt idx="27">
                  <c:v>99.921441379453753</c:v>
                </c:pt>
                <c:pt idx="28">
                  <c:v>100.58810804612045</c:v>
                </c:pt>
                <c:pt idx="29">
                  <c:v>101.2547747127871</c:v>
                </c:pt>
                <c:pt idx="30">
                  <c:v>101.92144137945377</c:v>
                </c:pt>
                <c:pt idx="31">
                  <c:v>102.58810804612045</c:v>
                </c:pt>
                <c:pt idx="32">
                  <c:v>103.2547747127871</c:v>
                </c:pt>
                <c:pt idx="33">
                  <c:v>103.92144137945377</c:v>
                </c:pt>
                <c:pt idx="34">
                  <c:v>104.58810804612045</c:v>
                </c:pt>
                <c:pt idx="35">
                  <c:v>105.2547747127871</c:v>
                </c:pt>
                <c:pt idx="36">
                  <c:v>105.92144137945377</c:v>
                </c:pt>
                <c:pt idx="37">
                  <c:v>106.58810804612045</c:v>
                </c:pt>
                <c:pt idx="38">
                  <c:v>107.2547747127871</c:v>
                </c:pt>
              </c:numCache>
            </c:numRef>
          </c:yVal>
        </c:ser>
        <c:ser>
          <c:idx val="2"/>
          <c:order val="2"/>
          <c:tx>
            <c:strRef>
              <c:f>'5M ch BW'!$Q$4</c:f>
              <c:strCache>
                <c:ptCount val="1"/>
                <c:pt idx="0">
                  <c:v>Blocking due to BS DL SEM (dBc)</c:v>
                </c:pt>
              </c:strCache>
            </c:strRef>
          </c:tx>
          <c:marker>
            <c:symbol val="triangle"/>
            <c:size val="5"/>
            <c:spPr>
              <a:solidFill>
                <a:sysClr val="window" lastClr="FFFFFF"/>
              </a:solidFill>
            </c:spPr>
          </c:marker>
          <c:xVal>
            <c:numRef>
              <c:f>'[NCCA power difference 20130924.xlsx]5M ch BW'!$A$91:$A$129</c:f>
              <c:numCache>
                <c:formatCode>General</c:formatCode>
                <c:ptCount val="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numCache>
            </c:numRef>
          </c:xVal>
          <c:yVal>
            <c:numRef>
              <c:f>'[NCCA power difference 20130924.xlsx]5M ch BW'!$Q$91:$Q$129</c:f>
              <c:numCache>
                <c:formatCode>General</c:formatCode>
                <c:ptCount val="39"/>
                <c:pt idx="0">
                  <c:v>56.743724225081863</c:v>
                </c:pt>
                <c:pt idx="1">
                  <c:v>57.443724225081851</c:v>
                </c:pt>
                <c:pt idx="2">
                  <c:v>58.143724225081861</c:v>
                </c:pt>
                <c:pt idx="3">
                  <c:v>58.843724225081857</c:v>
                </c:pt>
                <c:pt idx="4">
                  <c:v>59.54372422508186</c:v>
                </c:pt>
                <c:pt idx="5">
                  <c:v>60.243724225081863</c:v>
                </c:pt>
                <c:pt idx="6">
                  <c:v>60.943724225081866</c:v>
                </c:pt>
                <c:pt idx="7">
                  <c:v>61.643724225081868</c:v>
                </c:pt>
                <c:pt idx="8">
                  <c:v>62.343724225081871</c:v>
                </c:pt>
                <c:pt idx="9">
                  <c:v>63.043724225081881</c:v>
                </c:pt>
                <c:pt idx="10">
                  <c:v>63.743724225081898</c:v>
                </c:pt>
                <c:pt idx="11">
                  <c:v>64.443724225081894</c:v>
                </c:pt>
                <c:pt idx="12">
                  <c:v>65.143724225081883</c:v>
                </c:pt>
                <c:pt idx="13">
                  <c:v>65.843724225081885</c:v>
                </c:pt>
                <c:pt idx="14">
                  <c:v>66.543724225081903</c:v>
                </c:pt>
                <c:pt idx="15">
                  <c:v>67.243724225081891</c:v>
                </c:pt>
                <c:pt idx="16">
                  <c:v>67.943724225081894</c:v>
                </c:pt>
                <c:pt idx="17">
                  <c:v>68.643724225081883</c:v>
                </c:pt>
                <c:pt idx="18">
                  <c:v>69.3437242250819</c:v>
                </c:pt>
                <c:pt idx="19">
                  <c:v>70.043724225081903</c:v>
                </c:pt>
                <c:pt idx="20">
                  <c:v>70.743724225081905</c:v>
                </c:pt>
                <c:pt idx="21">
                  <c:v>71.443724225081922</c:v>
                </c:pt>
                <c:pt idx="22">
                  <c:v>72.143724225081911</c:v>
                </c:pt>
                <c:pt idx="23">
                  <c:v>72.843724225081914</c:v>
                </c:pt>
                <c:pt idx="24">
                  <c:v>73.543724225081917</c:v>
                </c:pt>
                <c:pt idx="25">
                  <c:v>74.24372422508192</c:v>
                </c:pt>
                <c:pt idx="26">
                  <c:v>74.943724225081922</c:v>
                </c:pt>
                <c:pt idx="27">
                  <c:v>75.643724225081911</c:v>
                </c:pt>
                <c:pt idx="28">
                  <c:v>76.343724225081928</c:v>
                </c:pt>
                <c:pt idx="29">
                  <c:v>77.043724225081931</c:v>
                </c:pt>
                <c:pt idx="30">
                  <c:v>77.743724225081934</c:v>
                </c:pt>
                <c:pt idx="31">
                  <c:v>78.443724225081937</c:v>
                </c:pt>
                <c:pt idx="32">
                  <c:v>79.143724225081939</c:v>
                </c:pt>
                <c:pt idx="33">
                  <c:v>79.843724225081942</c:v>
                </c:pt>
                <c:pt idx="34">
                  <c:v>80.543724225081945</c:v>
                </c:pt>
                <c:pt idx="35">
                  <c:v>81.243724225081962</c:v>
                </c:pt>
                <c:pt idx="36">
                  <c:v>81.943724225081965</c:v>
                </c:pt>
                <c:pt idx="37">
                  <c:v>82.643724225081954</c:v>
                </c:pt>
                <c:pt idx="38">
                  <c:v>83.343724225081957</c:v>
                </c:pt>
              </c:numCache>
            </c:numRef>
          </c:yVal>
        </c:ser>
        <c:ser>
          <c:idx val="3"/>
          <c:order val="3"/>
          <c:tx>
            <c:strRef>
              <c:f>'5M ch BW'!$R$4</c:f>
              <c:strCache>
                <c:ptCount val="1"/>
                <c:pt idx="0">
                  <c:v>Total allowed (dBc)</c:v>
                </c:pt>
              </c:strCache>
            </c:strRef>
          </c:tx>
          <c:spPr>
            <a:ln w="25400">
              <a:solidFill>
                <a:schemeClr val="tx1"/>
              </a:solidFill>
            </a:ln>
          </c:spPr>
          <c:marker>
            <c:symbol val="none"/>
          </c:marker>
          <c:xVal>
            <c:numRef>
              <c:f>'[NCCA power difference 20130924.xlsx]5M ch BW'!$A$91:$A$129</c:f>
              <c:numCache>
                <c:formatCode>General</c:formatCode>
                <c:ptCount val="39"/>
                <c:pt idx="0">
                  <c:v>1</c:v>
                </c:pt>
                <c:pt idx="1">
                  <c:v>2</c:v>
                </c:pt>
                <c:pt idx="2">
                  <c:v>3</c:v>
                </c:pt>
                <c:pt idx="3">
                  <c:v>4</c:v>
                </c:pt>
                <c:pt idx="4">
                  <c:v>5</c:v>
                </c:pt>
                <c:pt idx="5">
                  <c:v>6</c:v>
                </c:pt>
                <c:pt idx="6">
                  <c:v>7</c:v>
                </c:pt>
                <c:pt idx="7">
                  <c:v>8</c:v>
                </c:pt>
                <c:pt idx="8">
                  <c:v>9</c:v>
                </c:pt>
                <c:pt idx="9">
                  <c:v>10</c:v>
                </c:pt>
                <c:pt idx="10">
                  <c:v>11</c:v>
                </c:pt>
                <c:pt idx="11">
                  <c:v>12</c:v>
                </c:pt>
                <c:pt idx="12">
                  <c:v>13</c:v>
                </c:pt>
                <c:pt idx="13">
                  <c:v>14</c:v>
                </c:pt>
                <c:pt idx="14">
                  <c:v>15</c:v>
                </c:pt>
                <c:pt idx="15">
                  <c:v>16</c:v>
                </c:pt>
                <c:pt idx="16">
                  <c:v>17</c:v>
                </c:pt>
                <c:pt idx="17">
                  <c:v>18</c:v>
                </c:pt>
                <c:pt idx="18">
                  <c:v>19</c:v>
                </c:pt>
                <c:pt idx="19">
                  <c:v>20</c:v>
                </c:pt>
                <c:pt idx="20">
                  <c:v>21</c:v>
                </c:pt>
                <c:pt idx="21">
                  <c:v>22</c:v>
                </c:pt>
                <c:pt idx="22">
                  <c:v>23</c:v>
                </c:pt>
                <c:pt idx="23">
                  <c:v>24</c:v>
                </c:pt>
                <c:pt idx="24">
                  <c:v>25</c:v>
                </c:pt>
                <c:pt idx="25">
                  <c:v>26</c:v>
                </c:pt>
                <c:pt idx="26">
                  <c:v>27</c:v>
                </c:pt>
                <c:pt idx="27">
                  <c:v>28</c:v>
                </c:pt>
                <c:pt idx="28">
                  <c:v>29</c:v>
                </c:pt>
                <c:pt idx="29">
                  <c:v>30</c:v>
                </c:pt>
                <c:pt idx="30">
                  <c:v>31</c:v>
                </c:pt>
                <c:pt idx="31">
                  <c:v>32</c:v>
                </c:pt>
                <c:pt idx="32">
                  <c:v>33</c:v>
                </c:pt>
                <c:pt idx="33">
                  <c:v>34</c:v>
                </c:pt>
                <c:pt idx="34">
                  <c:v>35</c:v>
                </c:pt>
                <c:pt idx="35">
                  <c:v>36</c:v>
                </c:pt>
                <c:pt idx="36">
                  <c:v>37</c:v>
                </c:pt>
                <c:pt idx="37">
                  <c:v>38</c:v>
                </c:pt>
                <c:pt idx="38">
                  <c:v>39</c:v>
                </c:pt>
              </c:numCache>
            </c:numRef>
          </c:xVal>
          <c:yVal>
            <c:numRef>
              <c:f>'[NCCA power difference 20130924.xlsx]5M ch BW'!$R$91:$R$129</c:f>
              <c:numCache>
                <c:formatCode>General</c:formatCode>
                <c:ptCount val="39"/>
                <c:pt idx="0">
                  <c:v>56.264935239311221</c:v>
                </c:pt>
                <c:pt idx="1">
                  <c:v>57.378960940310634</c:v>
                </c:pt>
                <c:pt idx="2">
                  <c:v>58.107666765682879</c:v>
                </c:pt>
                <c:pt idx="3">
                  <c:v>58.813684604600972</c:v>
                </c:pt>
                <c:pt idx="4">
                  <c:v>59.517127459304206</c:v>
                </c:pt>
                <c:pt idx="5">
                  <c:v>60.220388722606451</c:v>
                </c:pt>
                <c:pt idx="6">
                  <c:v>60.920927713731565</c:v>
                </c:pt>
                <c:pt idx="7">
                  <c:v>61.621422972161874</c:v>
                </c:pt>
                <c:pt idx="8">
                  <c:v>62.321877346411448</c:v>
                </c:pt>
                <c:pt idx="9">
                  <c:v>63.022293495792383</c:v>
                </c:pt>
                <c:pt idx="10">
                  <c:v>63.722673902858418</c:v>
                </c:pt>
                <c:pt idx="11">
                  <c:v>64.423020885041467</c:v>
                </c:pt>
                <c:pt idx="12">
                  <c:v>65.122610324406054</c:v>
                </c:pt>
                <c:pt idx="13">
                  <c:v>65.822184791797611</c:v>
                </c:pt>
                <c:pt idx="14">
                  <c:v>66.521743617658259</c:v>
                </c:pt>
                <c:pt idx="15">
                  <c:v>67.221286101365493</c:v>
                </c:pt>
                <c:pt idx="16">
                  <c:v>67.919832381484824</c:v>
                </c:pt>
                <c:pt idx="17">
                  <c:v>68.618143973348324</c:v>
                </c:pt>
                <c:pt idx="18">
                  <c:v>69.316180184679439</c:v>
                </c:pt>
                <c:pt idx="19">
                  <c:v>70.013893284648489</c:v>
                </c:pt>
                <c:pt idx="20">
                  <c:v>70.711227301763316</c:v>
                </c:pt>
                <c:pt idx="21">
                  <c:v>71.408116622329729</c:v>
                </c:pt>
                <c:pt idx="22">
                  <c:v>72.104484358626095</c:v>
                </c:pt>
                <c:pt idx="23">
                  <c:v>72.800240452022578</c:v>
                </c:pt>
                <c:pt idx="24">
                  <c:v>73.495279472209546</c:v>
                </c:pt>
                <c:pt idx="25">
                  <c:v>74.18947806964394</c:v>
                </c:pt>
                <c:pt idx="26">
                  <c:v>74.882692034518669</c:v>
                </c:pt>
                <c:pt idx="27">
                  <c:v>75.574752912383175</c:v>
                </c:pt>
                <c:pt idx="28">
                  <c:v>76.265464124517067</c:v>
                </c:pt>
                <c:pt idx="29">
                  <c:v>76.954596541021814</c:v>
                </c:pt>
                <c:pt idx="30">
                  <c:v>77.641883457364841</c:v>
                </c:pt>
                <c:pt idx="31">
                  <c:v>78.327014932125849</c:v>
                </c:pt>
                <c:pt idx="32">
                  <c:v>79.009631456722943</c:v>
                </c:pt>
                <c:pt idx="33">
                  <c:v>79.68931694915014</c:v>
                </c:pt>
                <c:pt idx="34">
                  <c:v>80.365591095961378</c:v>
                </c:pt>
                <c:pt idx="35">
                  <c:v>81.037901113082285</c:v>
                </c:pt>
                <c:pt idx="36">
                  <c:v>81.705613060034494</c:v>
                </c:pt>
                <c:pt idx="37">
                  <c:v>82.36800292737378</c:v>
                </c:pt>
                <c:pt idx="38">
                  <c:v>83.024247826563794</c:v>
                </c:pt>
              </c:numCache>
            </c:numRef>
          </c:yVal>
        </c:ser>
        <c:axId val="720355328"/>
        <c:axId val="720357248"/>
      </c:scatterChart>
      <c:valAx>
        <c:axId val="720355328"/>
        <c:scaling>
          <c:orientation val="minMax"/>
          <c:max val="40"/>
        </c:scaling>
        <c:axPos val="b"/>
        <c:minorGridlines/>
        <c:title>
          <c:tx>
            <c:rich>
              <a:bodyPr/>
              <a:lstStyle/>
              <a:p>
                <a:pPr>
                  <a:defRPr/>
                </a:pPr>
                <a:r>
                  <a:rPr lang="en-US"/>
                  <a:t>Channel Offset</a:t>
                </a:r>
              </a:p>
            </c:rich>
          </c:tx>
          <c:layout>
            <c:manualLayout>
              <c:xMode val="edge"/>
              <c:yMode val="edge"/>
              <c:x val="0.32428763800086363"/>
              <c:y val="0.89856538704175271"/>
            </c:manualLayout>
          </c:layout>
        </c:title>
        <c:numFmt formatCode="General" sourceLinked="1"/>
        <c:majorTickMark val="none"/>
        <c:tickLblPos val="nextTo"/>
        <c:crossAx val="720357248"/>
        <c:crosses val="autoZero"/>
        <c:crossBetween val="midCat"/>
      </c:valAx>
      <c:valAx>
        <c:axId val="720357248"/>
        <c:scaling>
          <c:orientation val="minMax"/>
          <c:max val="110"/>
          <c:min val="40"/>
        </c:scaling>
        <c:axPos val="l"/>
        <c:majorGridlines/>
        <c:title>
          <c:tx>
            <c:rich>
              <a:bodyPr/>
              <a:lstStyle/>
              <a:p>
                <a:pPr>
                  <a:defRPr/>
                </a:pPr>
                <a:r>
                  <a:rPr lang="en-US"/>
                  <a:t>Allowable Power Difference (dB)</a:t>
                </a:r>
              </a:p>
            </c:rich>
          </c:tx>
          <c:layout>
            <c:manualLayout>
              <c:xMode val="edge"/>
              <c:yMode val="edge"/>
              <c:x val="2.2202634266017013E-2"/>
              <c:y val="0.14913276789956154"/>
            </c:manualLayout>
          </c:layout>
        </c:title>
        <c:numFmt formatCode="General" sourceLinked="1"/>
        <c:majorTickMark val="none"/>
        <c:tickLblPos val="nextTo"/>
        <c:crossAx val="720355328"/>
        <c:crosses val="autoZero"/>
        <c:crossBetween val="midCat"/>
      </c:valAx>
    </c:plotArea>
    <c:legend>
      <c:legendPos val="r"/>
      <c:layout>
        <c:manualLayout>
          <c:xMode val="edge"/>
          <c:yMode val="edge"/>
          <c:x val="0.66917089835050081"/>
          <c:y val="0.33348072726061267"/>
          <c:w val="0.31615595211173014"/>
          <c:h val="0.37287956455107613"/>
        </c:manualLayout>
      </c:layout>
    </c:legend>
    <c:plotVisOnly val="1"/>
  </c:chart>
  <c:txPr>
    <a:bodyPr/>
    <a:lstStyle/>
    <a:p>
      <a:pPr>
        <a:defRPr sz="900"/>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10858118567968038"/>
          <c:y val="9.5322900621891665E-2"/>
          <c:w val="0.54844825487604387"/>
          <c:h val="0.71784163788101218"/>
        </c:manualLayout>
      </c:layout>
      <c:scatterChart>
        <c:scatterStyle val="lineMarker"/>
        <c:ser>
          <c:idx val="0"/>
          <c:order val="0"/>
          <c:tx>
            <c:strRef>
              <c:f>'20M ch BW'!$N$4</c:f>
              <c:strCache>
                <c:ptCount val="1"/>
                <c:pt idx="0">
                  <c:v>Blocking due to Rx LO PN (dBc)</c:v>
                </c:pt>
              </c:strCache>
            </c:strRef>
          </c:tx>
          <c:marker>
            <c:symbol val="circle"/>
            <c:size val="5"/>
            <c:spPr>
              <a:solidFill>
                <a:sysClr val="window" lastClr="FFFFFF"/>
              </a:solidFill>
            </c:spPr>
          </c:marker>
          <c:xVal>
            <c:numRef>
              <c:f>'[NCCA power difference 20130924.xlsx]20M ch BW'!$A$5:$A$13</c:f>
              <c:numCache>
                <c:formatCode>General</c:formatCode>
                <c:ptCount val="9"/>
                <c:pt idx="0">
                  <c:v>1</c:v>
                </c:pt>
                <c:pt idx="1">
                  <c:v>2</c:v>
                </c:pt>
                <c:pt idx="2">
                  <c:v>3</c:v>
                </c:pt>
                <c:pt idx="3">
                  <c:v>4</c:v>
                </c:pt>
                <c:pt idx="4">
                  <c:v>5</c:v>
                </c:pt>
                <c:pt idx="5">
                  <c:v>6</c:v>
                </c:pt>
                <c:pt idx="6">
                  <c:v>7</c:v>
                </c:pt>
                <c:pt idx="7">
                  <c:v>8</c:v>
                </c:pt>
                <c:pt idx="8">
                  <c:v>9</c:v>
                </c:pt>
              </c:numCache>
            </c:numRef>
          </c:xVal>
          <c:yVal>
            <c:numRef>
              <c:f>'[NCCA power difference 20130924.xlsx]20M ch BW'!$N$5:$N$13</c:f>
              <c:numCache>
                <c:formatCode>General</c:formatCode>
                <c:ptCount val="9"/>
                <c:pt idx="0">
                  <c:v>64.522540644394752</c:v>
                </c:pt>
                <c:pt idx="1">
                  <c:v>70.522540644394752</c:v>
                </c:pt>
                <c:pt idx="2">
                  <c:v>74.522540644394752</c:v>
                </c:pt>
                <c:pt idx="3">
                  <c:v>76.522540644394752</c:v>
                </c:pt>
                <c:pt idx="4">
                  <c:v>76.522540644394752</c:v>
                </c:pt>
                <c:pt idx="5">
                  <c:v>76.522540644394752</c:v>
                </c:pt>
                <c:pt idx="6">
                  <c:v>76.522540644394752</c:v>
                </c:pt>
                <c:pt idx="7">
                  <c:v>76.522540644394752</c:v>
                </c:pt>
                <c:pt idx="8">
                  <c:v>76.522540644394752</c:v>
                </c:pt>
              </c:numCache>
            </c:numRef>
          </c:yVal>
        </c:ser>
        <c:ser>
          <c:idx val="1"/>
          <c:order val="1"/>
          <c:tx>
            <c:strRef>
              <c:f>'20M ch BW'!$O$4</c:f>
              <c:strCache>
                <c:ptCount val="1"/>
                <c:pt idx="0">
                  <c:v>Blocking due to Rx IMD3 (dBc)</c:v>
                </c:pt>
              </c:strCache>
            </c:strRef>
          </c:tx>
          <c:marker>
            <c:symbol val="square"/>
            <c:size val="5"/>
            <c:spPr>
              <a:solidFill>
                <a:schemeClr val="bg1"/>
              </a:solidFill>
            </c:spPr>
          </c:marker>
          <c:xVal>
            <c:numRef>
              <c:f>'[NCCA power difference 20130924.xlsx]20M ch BW'!$A$5:$A$13</c:f>
              <c:numCache>
                <c:formatCode>General</c:formatCode>
                <c:ptCount val="9"/>
                <c:pt idx="0">
                  <c:v>1</c:v>
                </c:pt>
                <c:pt idx="1">
                  <c:v>2</c:v>
                </c:pt>
                <c:pt idx="2">
                  <c:v>3</c:v>
                </c:pt>
                <c:pt idx="3">
                  <c:v>4</c:v>
                </c:pt>
                <c:pt idx="4">
                  <c:v>5</c:v>
                </c:pt>
                <c:pt idx="5">
                  <c:v>6</c:v>
                </c:pt>
                <c:pt idx="6">
                  <c:v>7</c:v>
                </c:pt>
                <c:pt idx="7">
                  <c:v>8</c:v>
                </c:pt>
                <c:pt idx="8">
                  <c:v>9</c:v>
                </c:pt>
              </c:numCache>
            </c:numRef>
          </c:xVal>
          <c:yVal>
            <c:numRef>
              <c:f>'[NCCA power difference 20130924.xlsx]20M ch BW'!$O$5:$O$13</c:f>
              <c:numCache>
                <c:formatCode>General</c:formatCode>
                <c:ptCount val="9"/>
                <c:pt idx="0">
                  <c:v>60.67074689591832</c:v>
                </c:pt>
                <c:pt idx="1">
                  <c:v>75.037413562584959</c:v>
                </c:pt>
                <c:pt idx="2">
                  <c:v>76.370746895918288</c:v>
                </c:pt>
                <c:pt idx="3">
                  <c:v>77.037413562584959</c:v>
                </c:pt>
                <c:pt idx="4">
                  <c:v>77.370746895918288</c:v>
                </c:pt>
                <c:pt idx="5">
                  <c:v>78.037413562584959</c:v>
                </c:pt>
                <c:pt idx="6">
                  <c:v>79.037413562584959</c:v>
                </c:pt>
                <c:pt idx="7">
                  <c:v>80.037413562584959</c:v>
                </c:pt>
                <c:pt idx="8">
                  <c:v>81.037413562584959</c:v>
                </c:pt>
              </c:numCache>
            </c:numRef>
          </c:yVal>
        </c:ser>
        <c:ser>
          <c:idx val="2"/>
          <c:order val="2"/>
          <c:tx>
            <c:strRef>
              <c:f>'20M ch BW'!$Q$4</c:f>
              <c:strCache>
                <c:ptCount val="1"/>
                <c:pt idx="0">
                  <c:v>Blocking due to BS DL SEM (dBc)</c:v>
                </c:pt>
              </c:strCache>
            </c:strRef>
          </c:tx>
          <c:marker>
            <c:symbol val="triangle"/>
            <c:size val="5"/>
            <c:spPr>
              <a:solidFill>
                <a:sysClr val="window" lastClr="FFFFFF"/>
              </a:solidFill>
            </c:spPr>
          </c:marker>
          <c:xVal>
            <c:numRef>
              <c:f>'[NCCA power difference 20130924.xlsx]20M ch BW'!$A$5:$A$13</c:f>
              <c:numCache>
                <c:formatCode>General</c:formatCode>
                <c:ptCount val="9"/>
                <c:pt idx="0">
                  <c:v>1</c:v>
                </c:pt>
                <c:pt idx="1">
                  <c:v>2</c:v>
                </c:pt>
                <c:pt idx="2">
                  <c:v>3</c:v>
                </c:pt>
                <c:pt idx="3">
                  <c:v>4</c:v>
                </c:pt>
                <c:pt idx="4">
                  <c:v>5</c:v>
                </c:pt>
                <c:pt idx="5">
                  <c:v>6</c:v>
                </c:pt>
                <c:pt idx="6">
                  <c:v>7</c:v>
                </c:pt>
                <c:pt idx="7">
                  <c:v>8</c:v>
                </c:pt>
                <c:pt idx="8">
                  <c:v>9</c:v>
                </c:pt>
              </c:numCache>
            </c:numRef>
          </c:xVal>
          <c:yVal>
            <c:numRef>
              <c:f>'[NCCA power difference 20130924.xlsx]20M ch BW'!$Q$5:$Q$13</c:f>
              <c:numCache>
                <c:formatCode>General</c:formatCode>
                <c:ptCount val="9"/>
                <c:pt idx="0">
                  <c:v>44.532840601034557</c:v>
                </c:pt>
                <c:pt idx="1">
                  <c:v>47.532840601034557</c:v>
                </c:pt>
                <c:pt idx="2">
                  <c:v>50.532840601034557</c:v>
                </c:pt>
                <c:pt idx="3">
                  <c:v>53.532840601034557</c:v>
                </c:pt>
                <c:pt idx="4">
                  <c:v>56.532840601034557</c:v>
                </c:pt>
                <c:pt idx="5">
                  <c:v>59.532840601034557</c:v>
                </c:pt>
                <c:pt idx="6">
                  <c:v>62.532840601034557</c:v>
                </c:pt>
                <c:pt idx="7">
                  <c:v>65.532840601034579</c:v>
                </c:pt>
                <c:pt idx="8">
                  <c:v>68.532840601034579</c:v>
                </c:pt>
              </c:numCache>
            </c:numRef>
          </c:yVal>
        </c:ser>
        <c:ser>
          <c:idx val="3"/>
          <c:order val="3"/>
          <c:tx>
            <c:strRef>
              <c:f>'20M ch BW'!$R$4</c:f>
              <c:strCache>
                <c:ptCount val="1"/>
                <c:pt idx="0">
                  <c:v>Total allowed (dBc)</c:v>
                </c:pt>
              </c:strCache>
            </c:strRef>
          </c:tx>
          <c:spPr>
            <a:ln w="25400">
              <a:solidFill>
                <a:schemeClr val="tx1"/>
              </a:solidFill>
            </a:ln>
          </c:spPr>
          <c:marker>
            <c:symbol val="none"/>
          </c:marker>
          <c:xVal>
            <c:numRef>
              <c:f>'[NCCA power difference 20130924.xlsx]20M ch BW'!$A$5:$A$13</c:f>
              <c:numCache>
                <c:formatCode>General</c:formatCode>
                <c:ptCount val="9"/>
                <c:pt idx="0">
                  <c:v>1</c:v>
                </c:pt>
                <c:pt idx="1">
                  <c:v>2</c:v>
                </c:pt>
                <c:pt idx="2">
                  <c:v>3</c:v>
                </c:pt>
                <c:pt idx="3">
                  <c:v>4</c:v>
                </c:pt>
                <c:pt idx="4">
                  <c:v>5</c:v>
                </c:pt>
                <c:pt idx="5">
                  <c:v>6</c:v>
                </c:pt>
                <c:pt idx="6">
                  <c:v>7</c:v>
                </c:pt>
                <c:pt idx="7">
                  <c:v>8</c:v>
                </c:pt>
                <c:pt idx="8">
                  <c:v>9</c:v>
                </c:pt>
              </c:numCache>
            </c:numRef>
          </c:xVal>
          <c:yVal>
            <c:numRef>
              <c:f>'[NCCA power difference 20130924.xlsx]20M ch BW'!$R$5:$R$13</c:f>
              <c:numCache>
                <c:formatCode>General</c:formatCode>
                <c:ptCount val="9"/>
                <c:pt idx="0">
                  <c:v>44.386133867959273</c:v>
                </c:pt>
                <c:pt idx="1">
                  <c:v>47.50340775238945</c:v>
                </c:pt>
                <c:pt idx="2">
                  <c:v>50.504280250276238</c:v>
                </c:pt>
                <c:pt idx="3">
                  <c:v>53.491837994167852</c:v>
                </c:pt>
                <c:pt idx="4">
                  <c:v>56.454214951124634</c:v>
                </c:pt>
                <c:pt idx="5">
                  <c:v>59.387171081736959</c:v>
                </c:pt>
                <c:pt idx="6">
                  <c:v>62.27049594413306</c:v>
                </c:pt>
                <c:pt idx="7">
                  <c:v>65.059837075288158</c:v>
                </c:pt>
                <c:pt idx="8">
                  <c:v>67.686932708460787</c:v>
                </c:pt>
              </c:numCache>
            </c:numRef>
          </c:yVal>
        </c:ser>
        <c:axId val="722419712"/>
        <c:axId val="722421632"/>
      </c:scatterChart>
      <c:valAx>
        <c:axId val="722419712"/>
        <c:scaling>
          <c:orientation val="minMax"/>
        </c:scaling>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t>Channel Offset</a:t>
                </a:r>
              </a:p>
            </c:rich>
          </c:tx>
          <c:layout>
            <c:manualLayout>
              <c:xMode val="edge"/>
              <c:yMode val="edge"/>
              <c:x val="0.31227653182177623"/>
              <c:y val="0.90210568209091713"/>
            </c:manualLayout>
          </c:layout>
        </c:title>
        <c:numFmt formatCode="General" sourceLinked="1"/>
        <c:majorTickMark val="none"/>
        <c:tickLblPos val="nextTo"/>
        <c:crossAx val="722421632"/>
        <c:crosses val="autoZero"/>
        <c:crossBetween val="midCat"/>
        <c:minorUnit val="1"/>
      </c:valAx>
      <c:valAx>
        <c:axId val="722421632"/>
        <c:scaling>
          <c:orientation val="minMax"/>
          <c:max val="100"/>
          <c:min val="40"/>
        </c:scaling>
        <c:axPos val="l"/>
        <c:majorGridlines>
          <c:spPr>
            <a:ln>
              <a:solidFill>
                <a:schemeClr val="bg1">
                  <a:lumMod val="85000"/>
                </a:schemeClr>
              </a:solidFill>
            </a:ln>
          </c:spPr>
        </c:majorGridlines>
        <c:title>
          <c:tx>
            <c:rich>
              <a:bodyPr/>
              <a:lstStyle/>
              <a:p>
                <a:pPr>
                  <a:defRPr/>
                </a:pPr>
                <a:r>
                  <a:rPr lang="en-US"/>
                  <a:t>Allowable Power Difference (dB)</a:t>
                </a:r>
              </a:p>
            </c:rich>
          </c:tx>
          <c:layout>
            <c:manualLayout>
              <c:xMode val="edge"/>
              <c:yMode val="edge"/>
              <c:x val="2.610528517377525E-2"/>
              <c:y val="0.14075660755171571"/>
            </c:manualLayout>
          </c:layout>
        </c:title>
        <c:numFmt formatCode="General" sourceLinked="1"/>
        <c:majorTickMark val="none"/>
        <c:tickLblPos val="nextTo"/>
        <c:crossAx val="722419712"/>
        <c:crosses val="autoZero"/>
        <c:crossBetween val="midCat"/>
        <c:majorUnit val="10"/>
      </c:valAx>
      <c:spPr>
        <a:ln>
          <a:solidFill>
            <a:schemeClr val="tx1">
              <a:lumMod val="50000"/>
              <a:lumOff val="50000"/>
            </a:schemeClr>
          </a:solidFill>
        </a:ln>
      </c:spPr>
    </c:plotArea>
    <c:legend>
      <c:legendPos val="r"/>
      <c:layout>
        <c:manualLayout>
          <c:xMode val="edge"/>
          <c:yMode val="edge"/>
          <c:x val="0.66725421185219902"/>
          <c:y val="0.2518949084462408"/>
          <c:w val="0.31981190136993853"/>
          <c:h val="0.44819273297851575"/>
        </c:manualLayout>
      </c:layout>
    </c:legend>
    <c:plotVisOnly val="1"/>
  </c:chart>
  <c:txPr>
    <a:bodyPr/>
    <a:lstStyle/>
    <a:p>
      <a:pPr>
        <a:defRPr sz="900"/>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1085882623027213"/>
          <c:y val="9.5322900621891665E-2"/>
          <c:w val="0.54625538811564966"/>
          <c:h val="0.71784163788101263"/>
        </c:manualLayout>
      </c:layout>
      <c:scatterChart>
        <c:scatterStyle val="lineMarker"/>
        <c:ser>
          <c:idx val="0"/>
          <c:order val="0"/>
          <c:tx>
            <c:strRef>
              <c:f>'20M ch BW'!$N$4</c:f>
              <c:strCache>
                <c:ptCount val="1"/>
                <c:pt idx="0">
                  <c:v>Blocking due to Rx LO PN (dBc)</c:v>
                </c:pt>
              </c:strCache>
            </c:strRef>
          </c:tx>
          <c:marker>
            <c:symbol val="circle"/>
            <c:size val="5"/>
            <c:spPr>
              <a:solidFill>
                <a:sysClr val="window" lastClr="FFFFFF"/>
              </a:solidFill>
            </c:spPr>
          </c:marker>
          <c:xVal>
            <c:numRef>
              <c:f>'[NCCA power difference 20130924.xlsx]20M ch BW'!$A$17:$A$25</c:f>
              <c:numCache>
                <c:formatCode>General</c:formatCode>
                <c:ptCount val="9"/>
                <c:pt idx="0">
                  <c:v>1</c:v>
                </c:pt>
                <c:pt idx="1">
                  <c:v>2</c:v>
                </c:pt>
                <c:pt idx="2">
                  <c:v>3</c:v>
                </c:pt>
                <c:pt idx="3">
                  <c:v>4</c:v>
                </c:pt>
                <c:pt idx="4">
                  <c:v>5</c:v>
                </c:pt>
                <c:pt idx="5">
                  <c:v>6</c:v>
                </c:pt>
                <c:pt idx="6">
                  <c:v>7</c:v>
                </c:pt>
                <c:pt idx="7">
                  <c:v>8</c:v>
                </c:pt>
                <c:pt idx="8">
                  <c:v>9</c:v>
                </c:pt>
              </c:numCache>
            </c:numRef>
          </c:xVal>
          <c:yVal>
            <c:numRef>
              <c:f>'[NCCA power difference 20130924.xlsx]20M ch BW'!$N$17:$N$25</c:f>
              <c:numCache>
                <c:formatCode>General</c:formatCode>
                <c:ptCount val="9"/>
                <c:pt idx="0">
                  <c:v>74.96907564407725</c:v>
                </c:pt>
                <c:pt idx="1">
                  <c:v>80.96907564407725</c:v>
                </c:pt>
                <c:pt idx="2">
                  <c:v>84.96907564407725</c:v>
                </c:pt>
                <c:pt idx="3">
                  <c:v>86.96907564407725</c:v>
                </c:pt>
                <c:pt idx="4">
                  <c:v>86.96907564407725</c:v>
                </c:pt>
                <c:pt idx="5">
                  <c:v>86.96907564407725</c:v>
                </c:pt>
                <c:pt idx="6">
                  <c:v>86.96907564407725</c:v>
                </c:pt>
                <c:pt idx="7">
                  <c:v>86.96907564407725</c:v>
                </c:pt>
                <c:pt idx="8">
                  <c:v>86.96907564407725</c:v>
                </c:pt>
              </c:numCache>
            </c:numRef>
          </c:yVal>
        </c:ser>
        <c:ser>
          <c:idx val="1"/>
          <c:order val="1"/>
          <c:tx>
            <c:strRef>
              <c:f>'20M ch BW'!$O$4</c:f>
              <c:strCache>
                <c:ptCount val="1"/>
                <c:pt idx="0">
                  <c:v>Blocking due to Rx IMD3 (dBc)</c:v>
                </c:pt>
              </c:strCache>
            </c:strRef>
          </c:tx>
          <c:marker>
            <c:symbol val="square"/>
            <c:size val="5"/>
            <c:spPr>
              <a:solidFill>
                <a:schemeClr val="bg1"/>
              </a:solidFill>
            </c:spPr>
          </c:marker>
          <c:xVal>
            <c:numRef>
              <c:f>'[NCCA power difference 20130924.xlsx]20M ch BW'!$A$17:$A$25</c:f>
              <c:numCache>
                <c:formatCode>General</c:formatCode>
                <c:ptCount val="9"/>
                <c:pt idx="0">
                  <c:v>1</c:v>
                </c:pt>
                <c:pt idx="1">
                  <c:v>2</c:v>
                </c:pt>
                <c:pt idx="2">
                  <c:v>3</c:v>
                </c:pt>
                <c:pt idx="3">
                  <c:v>4</c:v>
                </c:pt>
                <c:pt idx="4">
                  <c:v>5</c:v>
                </c:pt>
                <c:pt idx="5">
                  <c:v>6</c:v>
                </c:pt>
                <c:pt idx="6">
                  <c:v>7</c:v>
                </c:pt>
                <c:pt idx="7">
                  <c:v>8</c:v>
                </c:pt>
                <c:pt idx="8">
                  <c:v>9</c:v>
                </c:pt>
              </c:numCache>
            </c:numRef>
          </c:xVal>
          <c:yVal>
            <c:numRef>
              <c:f>'[NCCA power difference 20130924.xlsx]20M ch BW'!$O$17:$O$25</c:f>
              <c:numCache>
                <c:formatCode>General</c:formatCode>
                <c:ptCount val="9"/>
                <c:pt idx="0">
                  <c:v>62.286258562479119</c:v>
                </c:pt>
                <c:pt idx="1">
                  <c:v>76.652925229145794</c:v>
                </c:pt>
                <c:pt idx="2">
                  <c:v>77.986258562479108</c:v>
                </c:pt>
                <c:pt idx="3">
                  <c:v>78.652925229145794</c:v>
                </c:pt>
                <c:pt idx="4">
                  <c:v>78.986258562479108</c:v>
                </c:pt>
                <c:pt idx="5">
                  <c:v>79.652925229145794</c:v>
                </c:pt>
                <c:pt idx="6">
                  <c:v>80.652925229145794</c:v>
                </c:pt>
                <c:pt idx="7">
                  <c:v>81.652925229145794</c:v>
                </c:pt>
                <c:pt idx="8">
                  <c:v>82.652925229145794</c:v>
                </c:pt>
              </c:numCache>
            </c:numRef>
          </c:yVal>
        </c:ser>
        <c:ser>
          <c:idx val="2"/>
          <c:order val="2"/>
          <c:tx>
            <c:strRef>
              <c:f>'20M ch BW'!$Q$4</c:f>
              <c:strCache>
                <c:ptCount val="1"/>
                <c:pt idx="0">
                  <c:v>Blocking due to BS DL SEM (dBc)</c:v>
                </c:pt>
              </c:strCache>
            </c:strRef>
          </c:tx>
          <c:marker>
            <c:symbol val="triangle"/>
            <c:size val="5"/>
            <c:spPr>
              <a:solidFill>
                <a:sysClr val="window" lastClr="FFFFFF"/>
              </a:solidFill>
            </c:spPr>
          </c:marker>
          <c:xVal>
            <c:numRef>
              <c:f>'[NCCA power difference 20130924.xlsx]20M ch BW'!$A$17:$A$25</c:f>
              <c:numCache>
                <c:formatCode>General</c:formatCode>
                <c:ptCount val="9"/>
                <c:pt idx="0">
                  <c:v>1</c:v>
                </c:pt>
                <c:pt idx="1">
                  <c:v>2</c:v>
                </c:pt>
                <c:pt idx="2">
                  <c:v>3</c:v>
                </c:pt>
                <c:pt idx="3">
                  <c:v>4</c:v>
                </c:pt>
                <c:pt idx="4">
                  <c:v>5</c:v>
                </c:pt>
                <c:pt idx="5">
                  <c:v>6</c:v>
                </c:pt>
                <c:pt idx="6">
                  <c:v>7</c:v>
                </c:pt>
                <c:pt idx="7">
                  <c:v>8</c:v>
                </c:pt>
                <c:pt idx="8">
                  <c:v>9</c:v>
                </c:pt>
              </c:numCache>
            </c:numRef>
          </c:xVal>
          <c:yVal>
            <c:numRef>
              <c:f>'[NCCA power difference 20130924.xlsx]20M ch BW'!$Q$17:$Q$25</c:f>
              <c:numCache>
                <c:formatCode>General</c:formatCode>
                <c:ptCount val="9"/>
                <c:pt idx="0">
                  <c:v>54.979375600716999</c:v>
                </c:pt>
                <c:pt idx="1">
                  <c:v>57.979375600716999</c:v>
                </c:pt>
                <c:pt idx="2">
                  <c:v>60.979375600716999</c:v>
                </c:pt>
                <c:pt idx="3">
                  <c:v>63.979375600716992</c:v>
                </c:pt>
                <c:pt idx="4">
                  <c:v>66.979375600716978</c:v>
                </c:pt>
                <c:pt idx="5">
                  <c:v>69.979375600716978</c:v>
                </c:pt>
                <c:pt idx="6">
                  <c:v>72.979375600716978</c:v>
                </c:pt>
                <c:pt idx="7">
                  <c:v>75.979375600716978</c:v>
                </c:pt>
                <c:pt idx="8">
                  <c:v>78.979375600716978</c:v>
                </c:pt>
              </c:numCache>
            </c:numRef>
          </c:yVal>
        </c:ser>
        <c:ser>
          <c:idx val="3"/>
          <c:order val="3"/>
          <c:tx>
            <c:strRef>
              <c:f>'20M ch BW'!$R$4</c:f>
              <c:strCache>
                <c:ptCount val="1"/>
                <c:pt idx="0">
                  <c:v>Total allowed (dBc)</c:v>
                </c:pt>
              </c:strCache>
            </c:strRef>
          </c:tx>
          <c:spPr>
            <a:ln w="25400">
              <a:solidFill>
                <a:schemeClr val="tx1"/>
              </a:solidFill>
            </a:ln>
          </c:spPr>
          <c:marker>
            <c:symbol val="none"/>
          </c:marker>
          <c:xVal>
            <c:numRef>
              <c:f>'[NCCA power difference 20130924.xlsx]20M ch BW'!$A$17:$A$25</c:f>
              <c:numCache>
                <c:formatCode>General</c:formatCode>
                <c:ptCount val="9"/>
                <c:pt idx="0">
                  <c:v>1</c:v>
                </c:pt>
                <c:pt idx="1">
                  <c:v>2</c:v>
                </c:pt>
                <c:pt idx="2">
                  <c:v>3</c:v>
                </c:pt>
                <c:pt idx="3">
                  <c:v>4</c:v>
                </c:pt>
                <c:pt idx="4">
                  <c:v>5</c:v>
                </c:pt>
                <c:pt idx="5">
                  <c:v>6</c:v>
                </c:pt>
                <c:pt idx="6">
                  <c:v>7</c:v>
                </c:pt>
                <c:pt idx="7">
                  <c:v>8</c:v>
                </c:pt>
                <c:pt idx="8">
                  <c:v>9</c:v>
                </c:pt>
              </c:numCache>
            </c:numRef>
          </c:xVal>
          <c:yVal>
            <c:numRef>
              <c:f>'[NCCA power difference 20130924.xlsx]20M ch BW'!$R$17:$R$25</c:f>
              <c:numCache>
                <c:formatCode>General</c:formatCode>
                <c:ptCount val="9"/>
                <c:pt idx="0">
                  <c:v>54.202290481197146</c:v>
                </c:pt>
                <c:pt idx="1">
                  <c:v>57.899356747297702</c:v>
                </c:pt>
                <c:pt idx="2">
                  <c:v>60.876751177892558</c:v>
                </c:pt>
                <c:pt idx="3">
                  <c:v>63.812738671715834</c:v>
                </c:pt>
                <c:pt idx="4">
                  <c:v>66.673299211546677</c:v>
                </c:pt>
                <c:pt idx="5">
                  <c:v>69.457029581476831</c:v>
                </c:pt>
                <c:pt idx="6">
                  <c:v>72.148769594590448</c:v>
                </c:pt>
                <c:pt idx="7">
                  <c:v>74.674689640309623</c:v>
                </c:pt>
                <c:pt idx="8">
                  <c:v>76.970730752949947</c:v>
                </c:pt>
              </c:numCache>
            </c:numRef>
          </c:yVal>
        </c:ser>
        <c:axId val="722444288"/>
        <c:axId val="722446208"/>
      </c:scatterChart>
      <c:valAx>
        <c:axId val="722444288"/>
        <c:scaling>
          <c:orientation val="minMax"/>
        </c:scaling>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t>Channel Offset</a:t>
                </a:r>
              </a:p>
            </c:rich>
          </c:tx>
          <c:layout>
            <c:manualLayout>
              <c:xMode val="edge"/>
              <c:yMode val="edge"/>
              <c:x val="0.31227653182177639"/>
              <c:y val="0.90210568209091713"/>
            </c:manualLayout>
          </c:layout>
        </c:title>
        <c:numFmt formatCode="General" sourceLinked="1"/>
        <c:majorTickMark val="none"/>
        <c:tickLblPos val="nextTo"/>
        <c:crossAx val="722446208"/>
        <c:crosses val="autoZero"/>
        <c:crossBetween val="midCat"/>
        <c:minorUnit val="1"/>
      </c:valAx>
      <c:valAx>
        <c:axId val="722446208"/>
        <c:scaling>
          <c:orientation val="minMax"/>
          <c:max val="100"/>
          <c:min val="40"/>
        </c:scaling>
        <c:axPos val="l"/>
        <c:majorGridlines>
          <c:spPr>
            <a:ln>
              <a:solidFill>
                <a:schemeClr val="bg1">
                  <a:lumMod val="85000"/>
                </a:schemeClr>
              </a:solidFill>
            </a:ln>
          </c:spPr>
        </c:majorGridlines>
        <c:title>
          <c:tx>
            <c:rich>
              <a:bodyPr/>
              <a:lstStyle/>
              <a:p>
                <a:pPr>
                  <a:defRPr/>
                </a:pPr>
                <a:r>
                  <a:rPr lang="en-US"/>
                  <a:t>Allowable Power Difference (dB)</a:t>
                </a:r>
              </a:p>
            </c:rich>
          </c:tx>
          <c:layout>
            <c:manualLayout>
              <c:xMode val="edge"/>
              <c:yMode val="edge"/>
              <c:x val="2.3932313617455802E-2"/>
              <c:y val="0.15640922878652164"/>
            </c:manualLayout>
          </c:layout>
        </c:title>
        <c:numFmt formatCode="General" sourceLinked="1"/>
        <c:majorTickMark val="none"/>
        <c:tickLblPos val="nextTo"/>
        <c:crossAx val="722444288"/>
        <c:crosses val="autoZero"/>
        <c:crossBetween val="midCat"/>
        <c:majorUnit val="10"/>
      </c:valAx>
      <c:spPr>
        <a:ln>
          <a:solidFill>
            <a:schemeClr val="tx1">
              <a:lumMod val="50000"/>
              <a:lumOff val="50000"/>
            </a:schemeClr>
          </a:solidFill>
        </a:ln>
      </c:spPr>
    </c:plotArea>
    <c:legend>
      <c:legendPos val="r"/>
      <c:layout>
        <c:manualLayout>
          <c:xMode val="edge"/>
          <c:yMode val="edge"/>
          <c:x val="0.66725421185219924"/>
          <c:y val="0.2518949084462408"/>
          <c:w val="0.31544890113278962"/>
          <c:h val="0.44819273297851575"/>
        </c:manualLayout>
      </c:layout>
    </c:legend>
    <c:plotVisOnly val="1"/>
  </c:chart>
  <c:txPr>
    <a:bodyPr/>
    <a:lstStyle/>
    <a:p>
      <a:pPr>
        <a:defRPr sz="900"/>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0.11075841189348389"/>
          <c:y val="9.5322900621891665E-2"/>
          <c:w val="0.54191657623463296"/>
          <c:h val="0.71784163788101285"/>
        </c:manualLayout>
      </c:layout>
      <c:scatterChart>
        <c:scatterStyle val="lineMarker"/>
        <c:ser>
          <c:idx val="0"/>
          <c:order val="0"/>
          <c:tx>
            <c:strRef>
              <c:f>'20M ch BW'!$N$4</c:f>
              <c:strCache>
                <c:ptCount val="1"/>
                <c:pt idx="0">
                  <c:v>Blocking due to Rx LO PN (dBc)</c:v>
                </c:pt>
              </c:strCache>
            </c:strRef>
          </c:tx>
          <c:marker>
            <c:symbol val="circle"/>
            <c:size val="5"/>
            <c:spPr>
              <a:solidFill>
                <a:sysClr val="window" lastClr="FFFFFF"/>
              </a:solidFill>
            </c:spPr>
          </c:marker>
          <c:xVal>
            <c:numRef>
              <c:f>'[NCCA power difference 20130924.xlsx]20M ch BW'!$A$29:$A$36</c:f>
              <c:numCache>
                <c:formatCode>General</c:formatCode>
                <c:ptCount val="8"/>
                <c:pt idx="0">
                  <c:v>1</c:v>
                </c:pt>
                <c:pt idx="1">
                  <c:v>2</c:v>
                </c:pt>
                <c:pt idx="2">
                  <c:v>3</c:v>
                </c:pt>
                <c:pt idx="3">
                  <c:v>4</c:v>
                </c:pt>
                <c:pt idx="4">
                  <c:v>5</c:v>
                </c:pt>
                <c:pt idx="5">
                  <c:v>6</c:v>
                </c:pt>
                <c:pt idx="6">
                  <c:v>7</c:v>
                </c:pt>
                <c:pt idx="7">
                  <c:v>8</c:v>
                </c:pt>
              </c:numCache>
            </c:numRef>
          </c:xVal>
          <c:yVal>
            <c:numRef>
              <c:f>'[NCCA power difference 20130924.xlsx]20M ch BW'!$N$29:$N$37</c:f>
              <c:numCache>
                <c:formatCode>General</c:formatCode>
                <c:ptCount val="9"/>
                <c:pt idx="0">
                  <c:v>76.733424268442107</c:v>
                </c:pt>
                <c:pt idx="1">
                  <c:v>82.733424268442107</c:v>
                </c:pt>
                <c:pt idx="2">
                  <c:v>86.733424268442107</c:v>
                </c:pt>
                <c:pt idx="3">
                  <c:v>88.733424268442107</c:v>
                </c:pt>
                <c:pt idx="4">
                  <c:v>88.733424268442107</c:v>
                </c:pt>
                <c:pt idx="5">
                  <c:v>88.733424268442107</c:v>
                </c:pt>
                <c:pt idx="6">
                  <c:v>88.733424268442107</c:v>
                </c:pt>
                <c:pt idx="7">
                  <c:v>88.733424268442107</c:v>
                </c:pt>
                <c:pt idx="8">
                  <c:v>88.733424268442107</c:v>
                </c:pt>
              </c:numCache>
            </c:numRef>
          </c:yVal>
        </c:ser>
        <c:ser>
          <c:idx val="1"/>
          <c:order val="1"/>
          <c:tx>
            <c:strRef>
              <c:f>'20M ch BW'!$O$4</c:f>
              <c:strCache>
                <c:ptCount val="1"/>
                <c:pt idx="0">
                  <c:v>Blocking due to Rx IMD3 (dBc)</c:v>
                </c:pt>
              </c:strCache>
            </c:strRef>
          </c:tx>
          <c:marker>
            <c:symbol val="square"/>
            <c:size val="5"/>
            <c:spPr>
              <a:solidFill>
                <a:schemeClr val="bg1"/>
              </a:solidFill>
            </c:spPr>
          </c:marker>
          <c:xVal>
            <c:numRef>
              <c:f>'[NCCA power difference 20130924.xlsx]20M ch BW'!$A$29:$A$37</c:f>
              <c:numCache>
                <c:formatCode>General</c:formatCode>
                <c:ptCount val="9"/>
                <c:pt idx="0">
                  <c:v>1</c:v>
                </c:pt>
                <c:pt idx="1">
                  <c:v>2</c:v>
                </c:pt>
                <c:pt idx="2">
                  <c:v>3</c:v>
                </c:pt>
                <c:pt idx="3">
                  <c:v>4</c:v>
                </c:pt>
                <c:pt idx="4">
                  <c:v>5</c:v>
                </c:pt>
                <c:pt idx="5">
                  <c:v>6</c:v>
                </c:pt>
                <c:pt idx="6">
                  <c:v>7</c:v>
                </c:pt>
                <c:pt idx="7">
                  <c:v>8</c:v>
                </c:pt>
                <c:pt idx="8">
                  <c:v>9</c:v>
                </c:pt>
              </c:numCache>
            </c:numRef>
          </c:xVal>
          <c:yVal>
            <c:numRef>
              <c:f>'[NCCA power difference 20130924.xlsx]20M ch BW'!$O$29:$O$37</c:f>
              <c:numCache>
                <c:formatCode>General</c:formatCode>
                <c:ptCount val="9"/>
                <c:pt idx="0">
                  <c:v>60.874374770600724</c:v>
                </c:pt>
                <c:pt idx="1">
                  <c:v>75.241041437267427</c:v>
                </c:pt>
                <c:pt idx="2">
                  <c:v>76.574374770600684</c:v>
                </c:pt>
                <c:pt idx="3">
                  <c:v>77.241041437267427</c:v>
                </c:pt>
                <c:pt idx="4">
                  <c:v>77.574374770600684</c:v>
                </c:pt>
                <c:pt idx="5">
                  <c:v>78.241041437267427</c:v>
                </c:pt>
                <c:pt idx="6">
                  <c:v>79.241041437267427</c:v>
                </c:pt>
                <c:pt idx="7">
                  <c:v>80.241041437267427</c:v>
                </c:pt>
                <c:pt idx="8">
                  <c:v>81.241041437267427</c:v>
                </c:pt>
              </c:numCache>
            </c:numRef>
          </c:yVal>
        </c:ser>
        <c:ser>
          <c:idx val="2"/>
          <c:order val="2"/>
          <c:tx>
            <c:strRef>
              <c:f>'20M ch BW'!$Q$4</c:f>
              <c:strCache>
                <c:ptCount val="1"/>
                <c:pt idx="0">
                  <c:v>Blocking due to BS DL SEM (dBc)</c:v>
                </c:pt>
              </c:strCache>
            </c:strRef>
          </c:tx>
          <c:marker>
            <c:symbol val="triangle"/>
            <c:size val="5"/>
            <c:spPr>
              <a:solidFill>
                <a:sysClr val="window" lastClr="FFFFFF"/>
              </a:solidFill>
            </c:spPr>
          </c:marker>
          <c:xVal>
            <c:numRef>
              <c:f>'[NCCA power difference 20130924.xlsx]20M ch BW'!$A$29:$A$37</c:f>
              <c:numCache>
                <c:formatCode>General</c:formatCode>
                <c:ptCount val="9"/>
                <c:pt idx="0">
                  <c:v>1</c:v>
                </c:pt>
                <c:pt idx="1">
                  <c:v>2</c:v>
                </c:pt>
                <c:pt idx="2">
                  <c:v>3</c:v>
                </c:pt>
                <c:pt idx="3">
                  <c:v>4</c:v>
                </c:pt>
                <c:pt idx="4">
                  <c:v>5</c:v>
                </c:pt>
                <c:pt idx="5">
                  <c:v>6</c:v>
                </c:pt>
                <c:pt idx="6">
                  <c:v>7</c:v>
                </c:pt>
                <c:pt idx="7">
                  <c:v>8</c:v>
                </c:pt>
                <c:pt idx="8">
                  <c:v>9</c:v>
                </c:pt>
              </c:numCache>
            </c:numRef>
          </c:xVal>
          <c:yVal>
            <c:numRef>
              <c:f>'[NCCA power difference 20130924.xlsx]20M ch BW'!$Q$29:$Q$37</c:f>
              <c:numCache>
                <c:formatCode>General</c:formatCode>
                <c:ptCount val="9"/>
                <c:pt idx="0">
                  <c:v>56.743724225081863</c:v>
                </c:pt>
                <c:pt idx="1">
                  <c:v>59.743724225081863</c:v>
                </c:pt>
                <c:pt idx="2">
                  <c:v>62.743724225081863</c:v>
                </c:pt>
                <c:pt idx="3">
                  <c:v>65.743724225081863</c:v>
                </c:pt>
                <c:pt idx="4">
                  <c:v>68.743724225081863</c:v>
                </c:pt>
                <c:pt idx="5">
                  <c:v>71.743724225081863</c:v>
                </c:pt>
                <c:pt idx="6">
                  <c:v>74.743724225081863</c:v>
                </c:pt>
                <c:pt idx="7">
                  <c:v>77.743724225081863</c:v>
                </c:pt>
                <c:pt idx="8">
                  <c:v>80.743724225081863</c:v>
                </c:pt>
              </c:numCache>
            </c:numRef>
          </c:yVal>
        </c:ser>
        <c:ser>
          <c:idx val="3"/>
          <c:order val="3"/>
          <c:tx>
            <c:strRef>
              <c:f>'20M ch BW'!$R$4</c:f>
              <c:strCache>
                <c:ptCount val="1"/>
                <c:pt idx="0">
                  <c:v>Total allowed (dBc)</c:v>
                </c:pt>
              </c:strCache>
            </c:strRef>
          </c:tx>
          <c:spPr>
            <a:ln w="25400">
              <a:solidFill>
                <a:schemeClr val="tx1"/>
              </a:solidFill>
            </a:ln>
          </c:spPr>
          <c:marker>
            <c:symbol val="none"/>
          </c:marker>
          <c:xVal>
            <c:numRef>
              <c:f>'[NCCA power difference 20130924.xlsx]20M ch BW'!$A$29:$A$37</c:f>
              <c:numCache>
                <c:formatCode>General</c:formatCode>
                <c:ptCount val="9"/>
                <c:pt idx="0">
                  <c:v>1</c:v>
                </c:pt>
                <c:pt idx="1">
                  <c:v>2</c:v>
                </c:pt>
                <c:pt idx="2">
                  <c:v>3</c:v>
                </c:pt>
                <c:pt idx="3">
                  <c:v>4</c:v>
                </c:pt>
                <c:pt idx="4">
                  <c:v>5</c:v>
                </c:pt>
                <c:pt idx="5">
                  <c:v>6</c:v>
                </c:pt>
                <c:pt idx="6">
                  <c:v>7</c:v>
                </c:pt>
                <c:pt idx="7">
                  <c:v>8</c:v>
                </c:pt>
                <c:pt idx="8">
                  <c:v>9</c:v>
                </c:pt>
              </c:numCache>
            </c:numRef>
          </c:xVal>
          <c:yVal>
            <c:numRef>
              <c:f>'[NCCA power difference 20130924.xlsx]20M ch BW'!$R$29:$R$37</c:f>
              <c:numCache>
                <c:formatCode>General</c:formatCode>
                <c:ptCount val="9"/>
                <c:pt idx="0">
                  <c:v>55.293834669637604</c:v>
                </c:pt>
                <c:pt idx="1">
                  <c:v>59.601775092203674</c:v>
                </c:pt>
                <c:pt idx="2">
                  <c:v>62.550964527931477</c:v>
                </c:pt>
                <c:pt idx="3">
                  <c:v>65.426158150392979</c:v>
                </c:pt>
                <c:pt idx="4">
                  <c:v>68.171163431970243</c:v>
                </c:pt>
                <c:pt idx="5">
                  <c:v>70.795483939001784</c:v>
                </c:pt>
                <c:pt idx="6">
                  <c:v>73.298175534832012</c:v>
                </c:pt>
                <c:pt idx="7">
                  <c:v>75.589172205805383</c:v>
                </c:pt>
                <c:pt idx="8">
                  <c:v>77.62477213803848</c:v>
                </c:pt>
              </c:numCache>
            </c:numRef>
          </c:yVal>
        </c:ser>
        <c:axId val="723001344"/>
        <c:axId val="723003264"/>
      </c:scatterChart>
      <c:valAx>
        <c:axId val="723001344"/>
        <c:scaling>
          <c:orientation val="minMax"/>
        </c:scaling>
        <c:axPos val="b"/>
        <c:majorGridlines>
          <c:spPr>
            <a:ln>
              <a:solidFill>
                <a:schemeClr val="bg1">
                  <a:lumMod val="85000"/>
                </a:schemeClr>
              </a:solidFill>
            </a:ln>
          </c:spPr>
        </c:majorGridlines>
        <c:minorGridlines>
          <c:spPr>
            <a:ln>
              <a:solidFill>
                <a:schemeClr val="bg1">
                  <a:lumMod val="85000"/>
                </a:schemeClr>
              </a:solidFill>
            </a:ln>
          </c:spPr>
        </c:minorGridlines>
        <c:title>
          <c:tx>
            <c:rich>
              <a:bodyPr/>
              <a:lstStyle/>
              <a:p>
                <a:pPr>
                  <a:defRPr/>
                </a:pPr>
                <a:r>
                  <a:rPr lang="en-US"/>
                  <a:t>Channel Offset</a:t>
                </a:r>
              </a:p>
            </c:rich>
          </c:tx>
          <c:layout>
            <c:manualLayout>
              <c:xMode val="edge"/>
              <c:yMode val="edge"/>
              <c:x val="0.3122765318217765"/>
              <c:y val="0.90210568209091713"/>
            </c:manualLayout>
          </c:layout>
        </c:title>
        <c:numFmt formatCode="General" sourceLinked="1"/>
        <c:majorTickMark val="none"/>
        <c:tickLblPos val="nextTo"/>
        <c:crossAx val="723003264"/>
        <c:crosses val="autoZero"/>
        <c:crossBetween val="midCat"/>
        <c:minorUnit val="1"/>
      </c:valAx>
      <c:valAx>
        <c:axId val="723003264"/>
        <c:scaling>
          <c:orientation val="minMax"/>
          <c:max val="100"/>
          <c:min val="40"/>
        </c:scaling>
        <c:axPos val="l"/>
        <c:majorGridlines>
          <c:spPr>
            <a:ln>
              <a:solidFill>
                <a:schemeClr val="bg1">
                  <a:lumMod val="85000"/>
                </a:schemeClr>
              </a:solidFill>
            </a:ln>
          </c:spPr>
        </c:majorGridlines>
        <c:title>
          <c:tx>
            <c:rich>
              <a:bodyPr/>
              <a:lstStyle/>
              <a:p>
                <a:pPr>
                  <a:defRPr/>
                </a:pPr>
                <a:r>
                  <a:rPr lang="en-US"/>
                  <a:t>Allowable Power Difference (dB)</a:t>
                </a:r>
              </a:p>
            </c:rich>
          </c:tx>
          <c:layout>
            <c:manualLayout>
              <c:xMode val="edge"/>
              <c:yMode val="edge"/>
              <c:x val="2.3928058959971594E-2"/>
              <c:y val="0.15088831981108744"/>
            </c:manualLayout>
          </c:layout>
        </c:title>
        <c:numFmt formatCode="General" sourceLinked="1"/>
        <c:majorTickMark val="none"/>
        <c:tickLblPos val="nextTo"/>
        <c:crossAx val="723001344"/>
        <c:crosses val="autoZero"/>
        <c:crossBetween val="midCat"/>
        <c:majorUnit val="10"/>
      </c:valAx>
      <c:spPr>
        <a:ln>
          <a:solidFill>
            <a:schemeClr val="tx1">
              <a:lumMod val="50000"/>
              <a:lumOff val="50000"/>
            </a:schemeClr>
          </a:solidFill>
        </a:ln>
      </c:spPr>
    </c:plotArea>
    <c:legend>
      <c:legendPos val="r"/>
      <c:layout>
        <c:manualLayout>
          <c:xMode val="edge"/>
          <c:yMode val="edge"/>
          <c:x val="0.66725421185219946"/>
          <c:y val="0.2518949084462408"/>
          <c:w val="0.31328022272852735"/>
          <c:h val="0.44819273297851575"/>
        </c:manualLayout>
      </c:layout>
    </c:legend>
    <c:plotVisOnly val="1"/>
  </c:chart>
  <c:txPr>
    <a:bodyPr/>
    <a:lstStyle/>
    <a:p>
      <a:pPr>
        <a:defRPr sz="900"/>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24B58EE-46D3-4C19-9B8A-279BD0235916}">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681D63FF-F52A-4EFB-91CB-7F71B85CF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563</Words>
  <Characters>2858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3415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TSG-RAN WG4 TDoc</dc:subject>
  <dc:creator>James Wang</dc:creator>
  <cp:lastModifiedBy>vend_james.wang</cp:lastModifiedBy>
  <cp:revision>3</cp:revision>
  <cp:lastPrinted>2012-09-28T20:55:00Z</cp:lastPrinted>
  <dcterms:created xsi:type="dcterms:W3CDTF">2013-09-25T21:32:00Z</dcterms:created>
  <dcterms:modified xsi:type="dcterms:W3CDTF">2013-09-29T06:14:00Z</dcterms:modified>
</cp:coreProperties>
</file>