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453547">
        <w:rPr>
          <w:rFonts w:cs="Arial"/>
          <w:sz w:val="24"/>
          <w:szCs w:val="24"/>
          <w:lang w:val="en-US" w:eastAsia="ja-JP"/>
        </w:rPr>
        <w:t>66</w:t>
      </w:r>
      <w:r w:rsidR="00A35529">
        <w:rPr>
          <w:rFonts w:cs="Arial"/>
          <w:sz w:val="24"/>
          <w:szCs w:val="24"/>
          <w:lang w:val="en-US" w:eastAsia="ja-JP"/>
        </w:rPr>
        <w:t>b</w:t>
      </w:r>
      <w:r w:rsidR="00453547">
        <w:rPr>
          <w:rFonts w:cs="Arial"/>
          <w:sz w:val="24"/>
          <w:szCs w:val="24"/>
          <w:lang w:val="en-US" w:eastAsia="ja-JP"/>
        </w:rPr>
        <w:t>is</w:t>
      </w:r>
      <w:r w:rsidR="000D5335" w:rsidRPr="007408EB">
        <w:rPr>
          <w:rFonts w:cs="Arial"/>
          <w:sz w:val="24"/>
          <w:szCs w:val="24"/>
          <w:lang w:val="en-US"/>
        </w:rPr>
        <w:tab/>
        <w:t>R4</w:t>
      </w:r>
      <w:r w:rsidR="00BF4407" w:rsidRPr="007408EB">
        <w:rPr>
          <w:rFonts w:cs="Arial"/>
          <w:sz w:val="24"/>
          <w:szCs w:val="24"/>
          <w:lang w:val="en-US"/>
        </w:rPr>
        <w:t>-</w:t>
      </w:r>
      <w:r w:rsidR="0047000F">
        <w:rPr>
          <w:rFonts w:cs="Arial"/>
          <w:sz w:val="24"/>
          <w:szCs w:val="24"/>
          <w:lang w:val="en-US"/>
        </w:rPr>
        <w:t>131349</w:t>
      </w:r>
    </w:p>
    <w:p w:rsidR="00445267" w:rsidRPr="007408EB" w:rsidRDefault="00453547"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Chicago</w:t>
      </w:r>
      <w:r w:rsidR="00760496" w:rsidRPr="007408EB">
        <w:rPr>
          <w:rFonts w:ascii="Arial" w:hAnsi="Arial" w:cs="Arial"/>
          <w:b/>
          <w:sz w:val="24"/>
          <w:szCs w:val="24"/>
          <w:lang w:eastAsia="ja-JP"/>
        </w:rPr>
        <w:t xml:space="preserve">, </w:t>
      </w:r>
      <w:r w:rsidR="00A35529">
        <w:rPr>
          <w:rFonts w:ascii="Arial" w:hAnsi="Arial" w:cs="Arial"/>
          <w:b/>
          <w:sz w:val="24"/>
          <w:szCs w:val="24"/>
          <w:lang w:eastAsia="ja-JP"/>
        </w:rPr>
        <w:t>IL</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USA,</w:t>
      </w:r>
      <w:r w:rsidR="00C425DE" w:rsidRPr="007408EB">
        <w:rPr>
          <w:rFonts w:ascii="Arial" w:hAnsi="Arial" w:cs="Arial"/>
          <w:b/>
          <w:sz w:val="24"/>
          <w:szCs w:val="24"/>
          <w:lang w:eastAsia="ja-JP"/>
        </w:rPr>
        <w:t xml:space="preserve"> </w:t>
      </w:r>
      <w:r>
        <w:rPr>
          <w:rFonts w:ascii="Arial" w:hAnsi="Arial" w:cs="Arial"/>
          <w:b/>
          <w:sz w:val="24"/>
          <w:szCs w:val="24"/>
          <w:lang w:eastAsia="ja-JP"/>
        </w:rPr>
        <w:t>April 15</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760496" w:rsidRPr="007408EB">
        <w:rPr>
          <w:rFonts w:ascii="Arial" w:hAnsi="Arial" w:cs="Arial"/>
          <w:b/>
          <w:sz w:val="24"/>
          <w:szCs w:val="24"/>
          <w:lang w:eastAsia="ja-JP"/>
        </w:rPr>
        <w:t>1</w:t>
      </w:r>
      <w:r>
        <w:rPr>
          <w:rFonts w:ascii="Arial" w:hAnsi="Arial" w:cs="Arial"/>
          <w:b/>
          <w:sz w:val="24"/>
          <w:szCs w:val="24"/>
          <w:lang w:eastAsia="ja-JP"/>
        </w:rPr>
        <w:t>9</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700012">
        <w:rPr>
          <w:rFonts w:ascii="Arial" w:hAnsi="Arial" w:cs="Arial"/>
          <w:sz w:val="24"/>
          <w:lang w:val="en-US"/>
        </w:rPr>
        <w:t>7.10</w:t>
      </w:r>
      <w:r w:rsidR="0047000F">
        <w:rPr>
          <w:rFonts w:ascii="Arial" w:hAnsi="Arial" w:cs="Arial"/>
          <w:sz w:val="24"/>
          <w:lang w:val="en-US"/>
        </w:rPr>
        <w:t>.1</w:t>
      </w:r>
      <w:r w:rsidR="00700012">
        <w:rPr>
          <w:rFonts w:ascii="Arial" w:hAnsi="Arial" w:cs="Arial"/>
          <w:sz w:val="24"/>
          <w:lang w:val="en-US"/>
        </w:rPr>
        <w:t>, 7.11</w:t>
      </w:r>
      <w:r w:rsidR="0047000F">
        <w:rPr>
          <w:rFonts w:ascii="Arial" w:hAnsi="Arial" w:cs="Arial"/>
          <w:sz w:val="24"/>
          <w:lang w:val="en-US"/>
        </w:rPr>
        <w:t>.1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453547">
        <w:rPr>
          <w:rFonts w:ascii="Arial" w:hAnsi="Arial" w:cs="Arial"/>
          <w:sz w:val="22"/>
        </w:rPr>
        <w:t xml:space="preserve">Measurement of </w:t>
      </w:r>
      <w:r w:rsidR="00453547">
        <w:rPr>
          <w:rFonts w:ascii="Arial" w:hAnsi="Arial" w:cs="Arial"/>
          <w:sz w:val="22"/>
          <w:szCs w:val="22"/>
        </w:rPr>
        <w:t>i</w:t>
      </w:r>
      <w:r w:rsidR="00657E17" w:rsidRPr="007408EB">
        <w:rPr>
          <w:rFonts w:ascii="Arial" w:hAnsi="Arial" w:cs="Arial"/>
          <w:sz w:val="22"/>
          <w:szCs w:val="22"/>
        </w:rPr>
        <w:t xml:space="preserve">ntermodulation products caused </w:t>
      </w:r>
      <w:r w:rsidR="00E141C4">
        <w:rPr>
          <w:rFonts w:ascii="Arial" w:hAnsi="Arial" w:cs="Arial"/>
          <w:sz w:val="22"/>
          <w:szCs w:val="22"/>
        </w:rPr>
        <w:t>by intra-band non-contiguous CA for UE</w:t>
      </w:r>
      <w:r w:rsidR="00465FEF">
        <w:rPr>
          <w:rFonts w:ascii="Arial" w:hAnsi="Arial" w:cs="Arial"/>
          <w:sz w:val="22"/>
          <w:szCs w:val="22"/>
        </w:rPr>
        <w:t xml:space="preserve"> which supports 2</w:t>
      </w:r>
      <w:r w:rsidR="00E141C4">
        <w:rPr>
          <w:rFonts w:ascii="Arial" w:hAnsi="Arial" w:cs="Arial"/>
          <w:sz w:val="22"/>
          <w:szCs w:val="22"/>
        </w:rPr>
        <w:t>UL CC</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465FEF" w:rsidP="0090534F">
      <w:pPr>
        <w:spacing w:before="120" w:after="0"/>
        <w:jc w:val="both"/>
        <w:rPr>
          <w:rFonts w:ascii="Arial" w:hAnsi="Arial" w:cs="Arial"/>
          <w:lang w:eastAsia="ja-JP"/>
        </w:rPr>
      </w:pPr>
      <w:r>
        <w:rPr>
          <w:rFonts w:ascii="Arial" w:hAnsi="Arial" w:cs="Arial"/>
          <w:lang w:eastAsia="ja-JP"/>
        </w:rPr>
        <w:t>Intermodulation products caused by intra-band non-contiguous CA for UE which supports 2UL CC had been qualita</w:t>
      </w:r>
      <w:r w:rsidR="009A2535">
        <w:rPr>
          <w:rFonts w:ascii="Arial" w:hAnsi="Arial" w:cs="Arial"/>
          <w:lang w:eastAsia="ja-JP"/>
        </w:rPr>
        <w:t>tively analyzed in RAN4 #65 [1-</w:t>
      </w:r>
      <w:r>
        <w:rPr>
          <w:rFonts w:ascii="Arial" w:hAnsi="Arial" w:cs="Arial"/>
          <w:lang w:eastAsia="ja-JP"/>
        </w:rPr>
        <w:t xml:space="preserve">2]. In this contribution, </w:t>
      </w:r>
      <w:r w:rsidR="00F422AA">
        <w:rPr>
          <w:rFonts w:ascii="Arial" w:hAnsi="Arial" w:cs="Arial"/>
          <w:lang w:eastAsia="ja-JP"/>
        </w:rPr>
        <w:t>two</w:t>
      </w:r>
      <w:r w:rsidR="00284627">
        <w:rPr>
          <w:rFonts w:ascii="Arial" w:hAnsi="Arial" w:cs="Arial"/>
          <w:lang w:eastAsia="ja-JP"/>
        </w:rPr>
        <w:t xml:space="preserve">-tone measurement data </w:t>
      </w:r>
      <w:r w:rsidR="00B10650">
        <w:rPr>
          <w:rFonts w:ascii="Arial" w:hAnsi="Arial" w:cs="Arial"/>
          <w:lang w:eastAsia="ja-JP"/>
        </w:rPr>
        <w:t xml:space="preserve">mimicking intra-band non-contiguous CA </w:t>
      </w:r>
      <w:r w:rsidR="00284627">
        <w:rPr>
          <w:rFonts w:ascii="Arial" w:hAnsi="Arial" w:cs="Arial"/>
          <w:lang w:eastAsia="ja-JP"/>
        </w:rPr>
        <w:t xml:space="preserve">on </w:t>
      </w:r>
      <w:r w:rsidR="00F422AA">
        <w:rPr>
          <w:rFonts w:ascii="Arial" w:hAnsi="Arial" w:cs="Arial"/>
          <w:lang w:eastAsia="ja-JP"/>
        </w:rPr>
        <w:t>three</w:t>
      </w:r>
      <w:r w:rsidR="00284627">
        <w:rPr>
          <w:rFonts w:ascii="Arial" w:hAnsi="Arial" w:cs="Arial"/>
          <w:lang w:eastAsia="ja-JP"/>
        </w:rPr>
        <w:t xml:space="preserve"> off-the-shelf </w:t>
      </w:r>
      <w:r w:rsidR="00B10650">
        <w:rPr>
          <w:rFonts w:ascii="Arial" w:hAnsi="Arial" w:cs="Arial"/>
          <w:lang w:eastAsia="ja-JP"/>
        </w:rPr>
        <w:t xml:space="preserve">UE </w:t>
      </w:r>
      <w:r w:rsidR="00284627">
        <w:rPr>
          <w:rFonts w:ascii="Arial" w:hAnsi="Arial" w:cs="Arial"/>
          <w:lang w:eastAsia="ja-JP"/>
        </w:rPr>
        <w:t xml:space="preserve">PA are provided </w:t>
      </w:r>
      <w:r w:rsidR="00B10650">
        <w:rPr>
          <w:rFonts w:ascii="Arial" w:hAnsi="Arial" w:cs="Arial"/>
          <w:lang w:eastAsia="ja-JP"/>
        </w:rPr>
        <w:t xml:space="preserve">as a reference for future analysis. </w:t>
      </w:r>
      <w:r w:rsidR="00284627">
        <w:rPr>
          <w:rFonts w:ascii="Arial" w:hAnsi="Arial" w:cs="Arial"/>
          <w:lang w:eastAsia="ja-JP"/>
        </w:rPr>
        <w:t xml:space="preserve"> </w:t>
      </w:r>
      <w:r>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0D50BD" w:rsidRDefault="00413708" w:rsidP="000D50BD">
      <w:pPr>
        <w:spacing w:before="180" w:after="120"/>
        <w:jc w:val="both"/>
        <w:rPr>
          <w:rFonts w:ascii="Arial" w:hAnsi="Arial" w:cs="Arial"/>
        </w:rPr>
      </w:pPr>
      <w:proofErr w:type="spellStart"/>
      <w:r>
        <w:rPr>
          <w:rFonts w:ascii="Arial" w:hAnsi="Arial" w:cs="Arial"/>
        </w:rPr>
        <w:t>Intermodulation</w:t>
      </w:r>
      <w:proofErr w:type="spellEnd"/>
      <w:r>
        <w:rPr>
          <w:rFonts w:ascii="Arial" w:hAnsi="Arial" w:cs="Arial"/>
        </w:rPr>
        <w:t xml:space="preserve"> products caused by intra-band non-contiguous CA with 2UL CC and their potential impact to its own receive band had been studied qualitatively. The analysis was limited </w:t>
      </w:r>
      <w:r w:rsidR="004D4636">
        <w:rPr>
          <w:rFonts w:ascii="Arial" w:hAnsi="Arial" w:cs="Arial"/>
        </w:rPr>
        <w:t xml:space="preserve">up </w:t>
      </w:r>
      <w:r>
        <w:rPr>
          <w:rFonts w:ascii="Arial" w:hAnsi="Arial" w:cs="Arial"/>
        </w:rPr>
        <w:t>to 7</w:t>
      </w:r>
      <w:r w:rsidRPr="00413708">
        <w:rPr>
          <w:rFonts w:ascii="Arial" w:hAnsi="Arial" w:cs="Arial"/>
          <w:vertAlign w:val="superscript"/>
        </w:rPr>
        <w:t>th</w:t>
      </w:r>
      <w:r>
        <w:rPr>
          <w:rFonts w:ascii="Arial" w:hAnsi="Arial" w:cs="Arial"/>
        </w:rPr>
        <w:t xml:space="preserve"> </w:t>
      </w:r>
      <w:r w:rsidR="004D4636">
        <w:rPr>
          <w:rFonts w:ascii="Arial" w:hAnsi="Arial" w:cs="Arial"/>
        </w:rPr>
        <w:t xml:space="preserve">order intermodulation products </w:t>
      </w:r>
      <w:r>
        <w:rPr>
          <w:rFonts w:ascii="Arial" w:hAnsi="Arial" w:cs="Arial"/>
        </w:rPr>
        <w:t>which may or may not be sufficient to address the issue.</w:t>
      </w:r>
    </w:p>
    <w:p w:rsidR="00B6287D" w:rsidRDefault="002230F6" w:rsidP="000D50BD">
      <w:pPr>
        <w:spacing w:before="180" w:after="120"/>
        <w:jc w:val="both"/>
        <w:rPr>
          <w:rFonts w:ascii="Arial" w:hAnsi="Arial" w:cs="Arial"/>
        </w:rPr>
      </w:pPr>
      <w:r>
        <w:rPr>
          <w:rFonts w:ascii="Arial" w:hAnsi="Arial" w:cs="Arial"/>
        </w:rPr>
        <w:t xml:space="preserve">In this paper, we present </w:t>
      </w:r>
      <w:r w:rsidR="00270ACB">
        <w:rPr>
          <w:rFonts w:ascii="Arial" w:hAnsi="Arial" w:cs="Arial"/>
        </w:rPr>
        <w:t>two</w:t>
      </w:r>
      <w:r>
        <w:rPr>
          <w:rFonts w:ascii="Arial" w:hAnsi="Arial" w:cs="Arial"/>
        </w:rPr>
        <w:t xml:space="preserve">-tone measurement data </w:t>
      </w:r>
      <w:proofErr w:type="gramStart"/>
      <w:r w:rsidR="003C44A0">
        <w:rPr>
          <w:rFonts w:ascii="Arial" w:hAnsi="Arial" w:cs="Arial"/>
        </w:rPr>
        <w:t>from</w:t>
      </w:r>
      <w:r>
        <w:rPr>
          <w:rFonts w:ascii="Arial" w:hAnsi="Arial" w:cs="Arial"/>
        </w:rPr>
        <w:t xml:space="preserve"> </w:t>
      </w:r>
      <w:r w:rsidR="00F422AA">
        <w:rPr>
          <w:rFonts w:ascii="Arial" w:hAnsi="Arial" w:cs="Arial"/>
        </w:rPr>
        <w:t>three</w:t>
      </w:r>
      <w:r>
        <w:rPr>
          <w:rFonts w:ascii="Arial" w:hAnsi="Arial" w:cs="Arial"/>
        </w:rPr>
        <w:t xml:space="preserve"> commercially available UE PA</w:t>
      </w:r>
      <w:proofErr w:type="gramEnd"/>
      <w:r>
        <w:rPr>
          <w:rFonts w:ascii="Arial" w:hAnsi="Arial" w:cs="Arial"/>
        </w:rPr>
        <w:t xml:space="preserve"> designed for LTE </w:t>
      </w:r>
      <w:r w:rsidR="009A2535">
        <w:rPr>
          <w:rFonts w:ascii="Arial" w:hAnsi="Arial" w:cs="Arial"/>
        </w:rPr>
        <w:t>application</w:t>
      </w:r>
      <w:r>
        <w:rPr>
          <w:rFonts w:ascii="Arial" w:hAnsi="Arial" w:cs="Arial"/>
        </w:rPr>
        <w:t>s, one for low band</w:t>
      </w:r>
      <w:r w:rsidR="00C71956">
        <w:rPr>
          <w:rFonts w:ascii="Arial" w:hAnsi="Arial" w:cs="Arial"/>
        </w:rPr>
        <w:t xml:space="preserve"> (LB)</w:t>
      </w:r>
      <w:r>
        <w:rPr>
          <w:rFonts w:ascii="Arial" w:hAnsi="Arial" w:cs="Arial"/>
        </w:rPr>
        <w:t>, one for high band</w:t>
      </w:r>
      <w:r w:rsidR="00C71956">
        <w:rPr>
          <w:rFonts w:ascii="Arial" w:hAnsi="Arial" w:cs="Arial"/>
        </w:rPr>
        <w:t xml:space="preserve"> (HB)</w:t>
      </w:r>
      <w:r>
        <w:rPr>
          <w:rFonts w:ascii="Arial" w:hAnsi="Arial" w:cs="Arial"/>
        </w:rPr>
        <w:t xml:space="preserve">, and one for multi-mode multi-band (MMMB). Two test tones were generated from separate signal generators and summed up with a power combiner before entering PA. The input signal level for each test tone was adjusted such that the power level at PA output is 20 </w:t>
      </w:r>
      <w:r w:rsidR="00C71956">
        <w:rPr>
          <w:rFonts w:ascii="Arial" w:hAnsi="Arial" w:cs="Arial"/>
        </w:rPr>
        <w:t>dBm to mimic the LTE nominal maximum output power condition. The output signals and intermodulation products up to 11</w:t>
      </w:r>
      <w:r w:rsidR="00C71956" w:rsidRPr="00C71956">
        <w:rPr>
          <w:rFonts w:ascii="Arial" w:hAnsi="Arial" w:cs="Arial"/>
          <w:vertAlign w:val="superscript"/>
        </w:rPr>
        <w:t>th</w:t>
      </w:r>
      <w:r w:rsidR="00C71956">
        <w:rPr>
          <w:rFonts w:ascii="Arial" w:hAnsi="Arial" w:cs="Arial"/>
        </w:rPr>
        <w:t xml:space="preserve"> order were captured by a spectrum analyzer which can handle </w:t>
      </w:r>
      <w:r w:rsidR="000D50BD">
        <w:rPr>
          <w:rFonts w:ascii="Arial" w:hAnsi="Arial" w:cs="Arial"/>
        </w:rPr>
        <w:t xml:space="preserve">average total </w:t>
      </w:r>
      <w:r w:rsidR="00C71956">
        <w:rPr>
          <w:rFonts w:ascii="Arial" w:hAnsi="Arial" w:cs="Arial"/>
        </w:rPr>
        <w:t>power level up to 30 dBm</w:t>
      </w:r>
      <w:r w:rsidR="00B6287D">
        <w:rPr>
          <w:rFonts w:ascii="Arial" w:hAnsi="Arial" w:cs="Arial"/>
        </w:rPr>
        <w:t>.</w:t>
      </w:r>
    </w:p>
    <w:p w:rsidR="00B6287D" w:rsidRDefault="00B6287D" w:rsidP="000D50BD">
      <w:pPr>
        <w:spacing w:before="180" w:after="120"/>
        <w:jc w:val="both"/>
        <w:rPr>
          <w:rFonts w:ascii="Arial" w:hAnsi="Arial" w:cs="Arial"/>
        </w:rPr>
      </w:pPr>
      <w:r>
        <w:rPr>
          <w:rFonts w:ascii="Arial" w:hAnsi="Arial" w:cs="Arial"/>
        </w:rPr>
        <w:t>Figures 2-1, 2-2, 2-3, and 2-4 show the measurement results for LB PA, HB PA, LB test in MMMB, and HB test in MMMB, respectively.</w:t>
      </w:r>
    </w:p>
    <w:p w:rsidR="00B6287D" w:rsidRDefault="00B6287D" w:rsidP="00D87784">
      <w:pPr>
        <w:spacing w:before="120" w:after="120"/>
        <w:jc w:val="both"/>
        <w:rPr>
          <w:rFonts w:ascii="Arial" w:hAnsi="Arial" w:cs="Arial"/>
        </w:rPr>
      </w:pPr>
    </w:p>
    <w:p w:rsidR="00B6287D" w:rsidRDefault="00B6287D" w:rsidP="00B6287D">
      <w:pPr>
        <w:spacing w:before="120" w:after="120"/>
        <w:jc w:val="center"/>
        <w:rPr>
          <w:rFonts w:ascii="Arial" w:hAnsi="Arial" w:cs="Arial"/>
        </w:rPr>
      </w:pPr>
      <w:r w:rsidRPr="00B6287D">
        <w:rPr>
          <w:rFonts w:ascii="Arial" w:hAnsi="Arial" w:cs="Arial"/>
          <w:noProof/>
          <w:lang w:val="en-US" w:eastAsia="zh-CN"/>
        </w:rPr>
        <w:drawing>
          <wp:inline distT="0" distB="0" distL="0" distR="0">
            <wp:extent cx="3552825" cy="2714625"/>
            <wp:effectExtent l="19050" t="0" r="9525" b="0"/>
            <wp:docPr id="1" name="Picture 1" descr="799_801_20dbm.png"/>
            <wp:cNvGraphicFramePr/>
            <a:graphic xmlns:a="http://schemas.openxmlformats.org/drawingml/2006/main">
              <a:graphicData uri="http://schemas.openxmlformats.org/drawingml/2006/picture">
                <pic:pic xmlns:pic="http://schemas.openxmlformats.org/drawingml/2006/picture">
                  <pic:nvPicPr>
                    <pic:cNvPr id="1058" name="Picture 2" descr="799_801_20dbm.png"/>
                    <pic:cNvPicPr>
                      <a:picLocks noChangeAspect="1"/>
                    </pic:cNvPicPr>
                  </pic:nvPicPr>
                  <pic:blipFill>
                    <a:blip r:embed="rId11" cstate="print"/>
                    <a:srcRect/>
                    <a:stretch>
                      <a:fillRect/>
                    </a:stretch>
                  </pic:blipFill>
                  <pic:spPr bwMode="auto">
                    <a:xfrm>
                      <a:off x="0" y="0"/>
                      <a:ext cx="3552825" cy="2714625"/>
                    </a:xfrm>
                    <a:prstGeom prst="rect">
                      <a:avLst/>
                    </a:prstGeom>
                    <a:noFill/>
                    <a:ln w="9525">
                      <a:noFill/>
                      <a:miter lim="800000"/>
                      <a:headEnd/>
                      <a:tailEnd/>
                    </a:ln>
                  </pic:spPr>
                </pic:pic>
              </a:graphicData>
            </a:graphic>
          </wp:inline>
        </w:drawing>
      </w:r>
    </w:p>
    <w:p w:rsidR="00B6287D" w:rsidRPr="00702342" w:rsidRDefault="00812411" w:rsidP="00812411">
      <w:pPr>
        <w:spacing w:before="120" w:after="120"/>
        <w:jc w:val="center"/>
        <w:rPr>
          <w:rFonts w:ascii="Arial" w:hAnsi="Arial" w:cs="Arial"/>
          <w:b/>
        </w:rPr>
      </w:pPr>
      <w:r w:rsidRPr="00702342">
        <w:rPr>
          <w:rFonts w:ascii="Arial" w:hAnsi="Arial" w:cs="Arial"/>
          <w:b/>
        </w:rPr>
        <w:t>Figure 2-1 Two-tone</w:t>
      </w:r>
      <w:r w:rsidR="00C82AAD" w:rsidRPr="00702342">
        <w:rPr>
          <w:rFonts w:ascii="Arial" w:hAnsi="Arial" w:cs="Arial"/>
          <w:b/>
        </w:rPr>
        <w:t xml:space="preserve"> measurement result for LB PA</w:t>
      </w:r>
      <w:r w:rsidRPr="00702342">
        <w:rPr>
          <w:rFonts w:ascii="Arial" w:hAnsi="Arial" w:cs="Arial"/>
          <w:b/>
        </w:rPr>
        <w:t xml:space="preserve"> </w:t>
      </w:r>
    </w:p>
    <w:p w:rsidR="000D50BD" w:rsidRPr="00702342" w:rsidRDefault="00B30AC1" w:rsidP="00EA0DD8">
      <w:pPr>
        <w:spacing w:before="120" w:after="120"/>
        <w:jc w:val="center"/>
        <w:rPr>
          <w:rFonts w:ascii="Arial" w:hAnsi="Arial" w:cs="Arial"/>
          <w:b/>
        </w:rPr>
      </w:pPr>
      <w:r w:rsidRPr="00B30AC1">
        <w:rPr>
          <w:rFonts w:ascii="Arial" w:hAnsi="Arial" w:cs="Arial"/>
          <w:noProof/>
          <w:lang w:val="en-US" w:eastAsia="zh-CN"/>
        </w:rPr>
        <w:lastRenderedPageBreak/>
        <w:drawing>
          <wp:anchor distT="0" distB="0" distL="114300" distR="114300" simplePos="0" relativeHeight="251658240" behindDoc="0" locked="0" layoutInCell="1" allowOverlap="1">
            <wp:simplePos x="0" y="0"/>
            <wp:positionH relativeFrom="column">
              <wp:posOffset>1296215</wp:posOffset>
            </wp:positionH>
            <wp:positionV relativeFrom="paragraph">
              <wp:align>top</wp:align>
            </wp:positionV>
            <wp:extent cx="3555028" cy="2716773"/>
            <wp:effectExtent l="19050" t="0" r="7322" b="0"/>
            <wp:wrapSquare wrapText="bothSides"/>
            <wp:docPr id="2" name="Picture 2" descr="1999_2001_20dbm.png"/>
            <wp:cNvGraphicFramePr/>
            <a:graphic xmlns:a="http://schemas.openxmlformats.org/drawingml/2006/main">
              <a:graphicData uri="http://schemas.openxmlformats.org/drawingml/2006/picture">
                <pic:pic xmlns:pic="http://schemas.openxmlformats.org/drawingml/2006/picture">
                  <pic:nvPicPr>
                    <pic:cNvPr id="1060" name="Picture 4" descr="1999_2001_20dbm.png"/>
                    <pic:cNvPicPr>
                      <a:picLocks noChangeAspect="1"/>
                    </pic:cNvPicPr>
                  </pic:nvPicPr>
                  <pic:blipFill>
                    <a:blip r:embed="rId12" cstate="print"/>
                    <a:srcRect/>
                    <a:stretch>
                      <a:fillRect/>
                    </a:stretch>
                  </pic:blipFill>
                  <pic:spPr bwMode="auto">
                    <a:xfrm>
                      <a:off x="0" y="0"/>
                      <a:ext cx="3555028" cy="2716773"/>
                    </a:xfrm>
                    <a:prstGeom prst="rect">
                      <a:avLst/>
                    </a:prstGeom>
                    <a:noFill/>
                    <a:ln w="9525">
                      <a:noFill/>
                      <a:miter lim="800000"/>
                      <a:headEnd/>
                      <a:tailEnd/>
                    </a:ln>
                  </pic:spPr>
                </pic:pic>
              </a:graphicData>
            </a:graphic>
          </wp:anchor>
        </w:drawing>
      </w:r>
      <w:r>
        <w:rPr>
          <w:rFonts w:ascii="Arial" w:hAnsi="Arial" w:cs="Arial"/>
        </w:rPr>
        <w:br w:type="textWrapping" w:clear="all"/>
      </w:r>
      <w:r w:rsidR="00C82AAD" w:rsidRPr="00702342">
        <w:rPr>
          <w:rFonts w:ascii="Arial" w:hAnsi="Arial" w:cs="Arial"/>
          <w:b/>
        </w:rPr>
        <w:t>Figure 2-2 Two-tone measurement result for HB PA</w:t>
      </w:r>
    </w:p>
    <w:p w:rsidR="000D50BD" w:rsidRDefault="000D50BD" w:rsidP="000D50BD">
      <w:pPr>
        <w:spacing w:before="120" w:after="120"/>
        <w:jc w:val="center"/>
        <w:rPr>
          <w:rFonts w:ascii="Arial" w:hAnsi="Arial" w:cs="Arial"/>
        </w:rPr>
      </w:pPr>
      <w:r w:rsidRPr="000D50BD">
        <w:rPr>
          <w:rFonts w:ascii="Arial" w:hAnsi="Arial" w:cs="Arial"/>
          <w:noProof/>
          <w:lang w:val="en-US" w:eastAsia="zh-CN"/>
        </w:rPr>
        <w:drawing>
          <wp:inline distT="0" distB="0" distL="0" distR="0">
            <wp:extent cx="3562350" cy="2714625"/>
            <wp:effectExtent l="19050" t="0" r="0" b="0"/>
            <wp:docPr id="3" name="Picture 3" descr="MMMB_849_851_20dbm.png"/>
            <wp:cNvGraphicFramePr/>
            <a:graphic xmlns:a="http://schemas.openxmlformats.org/drawingml/2006/main">
              <a:graphicData uri="http://schemas.openxmlformats.org/drawingml/2006/picture">
                <pic:pic xmlns:pic="http://schemas.openxmlformats.org/drawingml/2006/picture">
                  <pic:nvPicPr>
                    <pic:cNvPr id="1062" name="Picture 6" descr="MMMB_849_851_20dbm.png"/>
                    <pic:cNvPicPr>
                      <a:picLocks noChangeAspect="1"/>
                    </pic:cNvPicPr>
                  </pic:nvPicPr>
                  <pic:blipFill>
                    <a:blip r:embed="rId13" cstate="print"/>
                    <a:srcRect/>
                    <a:stretch>
                      <a:fillRect/>
                    </a:stretch>
                  </pic:blipFill>
                  <pic:spPr bwMode="auto">
                    <a:xfrm>
                      <a:off x="0" y="0"/>
                      <a:ext cx="3562350" cy="2714625"/>
                    </a:xfrm>
                    <a:prstGeom prst="rect">
                      <a:avLst/>
                    </a:prstGeom>
                    <a:noFill/>
                    <a:ln w="9525">
                      <a:noFill/>
                      <a:miter lim="800000"/>
                      <a:headEnd/>
                      <a:tailEnd/>
                    </a:ln>
                  </pic:spPr>
                </pic:pic>
              </a:graphicData>
            </a:graphic>
          </wp:inline>
        </w:drawing>
      </w:r>
    </w:p>
    <w:p w:rsidR="000D50BD" w:rsidRPr="00702342" w:rsidRDefault="00EA0DD8" w:rsidP="000D50BD">
      <w:pPr>
        <w:spacing w:before="120" w:after="120"/>
        <w:jc w:val="center"/>
        <w:rPr>
          <w:rFonts w:ascii="Arial" w:hAnsi="Arial" w:cs="Arial"/>
          <w:b/>
        </w:rPr>
      </w:pPr>
      <w:r w:rsidRPr="00702342">
        <w:rPr>
          <w:rFonts w:ascii="Arial" w:hAnsi="Arial" w:cs="Arial"/>
          <w:b/>
        </w:rPr>
        <w:t>Figure 2-3 Two-tone LB measurement result for MMMB PA</w:t>
      </w:r>
    </w:p>
    <w:p w:rsidR="00B30AC1" w:rsidRDefault="000D50BD" w:rsidP="000D50BD">
      <w:pPr>
        <w:spacing w:before="120" w:after="120"/>
        <w:jc w:val="center"/>
        <w:rPr>
          <w:rFonts w:ascii="Arial" w:hAnsi="Arial" w:cs="Arial"/>
        </w:rPr>
      </w:pPr>
      <w:r w:rsidRPr="000D50BD">
        <w:rPr>
          <w:rFonts w:ascii="Arial" w:hAnsi="Arial" w:cs="Arial"/>
          <w:noProof/>
          <w:lang w:val="en-US" w:eastAsia="zh-CN"/>
        </w:rPr>
        <w:drawing>
          <wp:inline distT="0" distB="0" distL="0" distR="0">
            <wp:extent cx="3562350" cy="2714625"/>
            <wp:effectExtent l="19050" t="0" r="0" b="0"/>
            <wp:docPr id="4" name="Picture 4" descr="MMMB_1999_2001_20dbm.png"/>
            <wp:cNvGraphicFramePr/>
            <a:graphic xmlns:a="http://schemas.openxmlformats.org/drawingml/2006/main">
              <a:graphicData uri="http://schemas.openxmlformats.org/drawingml/2006/picture">
                <pic:pic xmlns:pic="http://schemas.openxmlformats.org/drawingml/2006/picture">
                  <pic:nvPicPr>
                    <pic:cNvPr id="1064" name="Picture 8" descr="MMMB_1999_2001_20dbm.png"/>
                    <pic:cNvPicPr>
                      <a:picLocks noChangeAspect="1"/>
                    </pic:cNvPicPr>
                  </pic:nvPicPr>
                  <pic:blipFill>
                    <a:blip r:embed="rId14" cstate="print"/>
                    <a:srcRect/>
                    <a:stretch>
                      <a:fillRect/>
                    </a:stretch>
                  </pic:blipFill>
                  <pic:spPr bwMode="auto">
                    <a:xfrm>
                      <a:off x="0" y="0"/>
                      <a:ext cx="3562350" cy="2714625"/>
                    </a:xfrm>
                    <a:prstGeom prst="rect">
                      <a:avLst/>
                    </a:prstGeom>
                    <a:noFill/>
                    <a:ln w="9525">
                      <a:noFill/>
                      <a:miter lim="800000"/>
                      <a:headEnd/>
                      <a:tailEnd/>
                    </a:ln>
                  </pic:spPr>
                </pic:pic>
              </a:graphicData>
            </a:graphic>
          </wp:inline>
        </w:drawing>
      </w:r>
    </w:p>
    <w:p w:rsidR="00812411" w:rsidRPr="00702342" w:rsidRDefault="00EA0DD8" w:rsidP="000D50BD">
      <w:pPr>
        <w:spacing w:before="120" w:after="120"/>
        <w:jc w:val="center"/>
        <w:rPr>
          <w:rFonts w:ascii="Arial" w:hAnsi="Arial" w:cs="Arial"/>
          <w:b/>
        </w:rPr>
      </w:pPr>
      <w:r w:rsidRPr="00702342">
        <w:rPr>
          <w:rFonts w:ascii="Arial" w:hAnsi="Arial" w:cs="Arial"/>
          <w:b/>
        </w:rPr>
        <w:t>Figure 2-4 Two-tone HB measurement result for MMMB PA</w:t>
      </w:r>
    </w:p>
    <w:p w:rsidR="00EA0DD8" w:rsidRDefault="00EA0DD8" w:rsidP="00EA0DD8">
      <w:pPr>
        <w:spacing w:before="120" w:after="120"/>
        <w:jc w:val="both"/>
        <w:rPr>
          <w:rFonts w:ascii="Arial" w:hAnsi="Arial" w:cs="Arial"/>
        </w:rPr>
      </w:pPr>
      <w:r>
        <w:rPr>
          <w:rFonts w:ascii="Arial" w:hAnsi="Arial" w:cs="Arial"/>
        </w:rPr>
        <w:lastRenderedPageBreak/>
        <w:t xml:space="preserve">Table 2-1 summarizes the intermodulation product power level for each </w:t>
      </w:r>
      <w:r w:rsidR="003C501D">
        <w:rPr>
          <w:rFonts w:ascii="Arial" w:hAnsi="Arial" w:cs="Arial"/>
        </w:rPr>
        <w:t>measurement.</w:t>
      </w:r>
    </w:p>
    <w:p w:rsidR="003A44C4" w:rsidRDefault="003A44C4" w:rsidP="00EA0DD8">
      <w:pPr>
        <w:spacing w:before="120" w:after="120"/>
        <w:jc w:val="both"/>
        <w:rPr>
          <w:rFonts w:ascii="Arial" w:hAnsi="Arial" w:cs="Arial"/>
        </w:rPr>
      </w:pPr>
    </w:p>
    <w:tbl>
      <w:tblPr>
        <w:tblW w:w="9520" w:type="dxa"/>
        <w:tblInd w:w="98" w:type="dxa"/>
        <w:tblLook w:val="04A0"/>
      </w:tblPr>
      <w:tblGrid>
        <w:gridCol w:w="1520"/>
        <w:gridCol w:w="800"/>
        <w:gridCol w:w="800"/>
        <w:gridCol w:w="800"/>
        <w:gridCol w:w="800"/>
        <w:gridCol w:w="800"/>
        <w:gridCol w:w="800"/>
        <w:gridCol w:w="629"/>
        <w:gridCol w:w="971"/>
        <w:gridCol w:w="629"/>
        <w:gridCol w:w="971"/>
      </w:tblGrid>
      <w:tr w:rsidR="003A44C4" w:rsidRPr="003A44C4" w:rsidTr="003A44C4">
        <w:trPr>
          <w:trHeight w:val="375"/>
        </w:trPr>
        <w:tc>
          <w:tcPr>
            <w:tcW w:w="152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A44C4" w:rsidRPr="003A44C4" w:rsidRDefault="003A44C4" w:rsidP="003A44C4">
            <w:pPr>
              <w:spacing w:after="0"/>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 </w:t>
            </w:r>
          </w:p>
        </w:tc>
        <w:tc>
          <w:tcPr>
            <w:tcW w:w="1600" w:type="dxa"/>
            <w:gridSpan w:val="2"/>
            <w:tcBorders>
              <w:top w:val="single" w:sz="8"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IMD3 (dBm)</w:t>
            </w:r>
          </w:p>
        </w:tc>
        <w:tc>
          <w:tcPr>
            <w:tcW w:w="1600" w:type="dxa"/>
            <w:gridSpan w:val="2"/>
            <w:tcBorders>
              <w:top w:val="single" w:sz="8"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IMD5 (dBm)</w:t>
            </w:r>
          </w:p>
        </w:tc>
        <w:tc>
          <w:tcPr>
            <w:tcW w:w="1600" w:type="dxa"/>
            <w:gridSpan w:val="2"/>
            <w:tcBorders>
              <w:top w:val="single" w:sz="8"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IMD7 (dBm)</w:t>
            </w:r>
          </w:p>
        </w:tc>
        <w:tc>
          <w:tcPr>
            <w:tcW w:w="1600" w:type="dxa"/>
            <w:gridSpan w:val="2"/>
            <w:tcBorders>
              <w:top w:val="single" w:sz="8"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IMD9 (dBm)</w:t>
            </w:r>
          </w:p>
        </w:tc>
        <w:tc>
          <w:tcPr>
            <w:tcW w:w="1600" w:type="dxa"/>
            <w:gridSpan w:val="2"/>
            <w:tcBorders>
              <w:top w:val="single" w:sz="8" w:space="0" w:color="auto"/>
              <w:left w:val="nil"/>
              <w:bottom w:val="single" w:sz="4" w:space="0" w:color="auto"/>
              <w:right w:val="single" w:sz="8" w:space="0" w:color="000000"/>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IMD11 (dBm)</w:t>
            </w:r>
          </w:p>
        </w:tc>
      </w:tr>
      <w:tr w:rsidR="003A44C4" w:rsidRPr="003A44C4" w:rsidTr="003A44C4">
        <w:trPr>
          <w:trHeight w:val="375"/>
        </w:trPr>
        <w:tc>
          <w:tcPr>
            <w:tcW w:w="1520" w:type="dxa"/>
            <w:vMerge/>
            <w:tcBorders>
              <w:top w:val="single" w:sz="8" w:space="0" w:color="auto"/>
              <w:left w:val="single" w:sz="8" w:space="0" w:color="auto"/>
              <w:bottom w:val="single" w:sz="4" w:space="0" w:color="auto"/>
              <w:right w:val="single" w:sz="4" w:space="0" w:color="auto"/>
            </w:tcBorders>
            <w:vAlign w:val="center"/>
            <w:hideMark/>
          </w:tcPr>
          <w:p w:rsidR="003A44C4" w:rsidRPr="003A44C4" w:rsidRDefault="003A44C4" w:rsidP="003A44C4">
            <w:pPr>
              <w:spacing w:after="0"/>
              <w:rPr>
                <w:rFonts w:ascii="Calibri" w:eastAsia="Times New Roman" w:hAnsi="Calibri"/>
                <w:color w:val="000000"/>
                <w:sz w:val="22"/>
                <w:szCs w:val="22"/>
                <w:lang w:val="en-US" w:eastAsia="zh-CN"/>
              </w:rPr>
            </w:pPr>
          </w:p>
        </w:tc>
        <w:tc>
          <w:tcPr>
            <w:tcW w:w="800"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w:t>
            </w:r>
          </w:p>
        </w:tc>
        <w:tc>
          <w:tcPr>
            <w:tcW w:w="800"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R</w:t>
            </w:r>
          </w:p>
        </w:tc>
        <w:tc>
          <w:tcPr>
            <w:tcW w:w="800"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w:t>
            </w:r>
          </w:p>
        </w:tc>
        <w:tc>
          <w:tcPr>
            <w:tcW w:w="800"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R</w:t>
            </w:r>
          </w:p>
        </w:tc>
        <w:tc>
          <w:tcPr>
            <w:tcW w:w="800"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w:t>
            </w:r>
          </w:p>
        </w:tc>
        <w:tc>
          <w:tcPr>
            <w:tcW w:w="800"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R</w:t>
            </w:r>
          </w:p>
        </w:tc>
        <w:tc>
          <w:tcPr>
            <w:tcW w:w="629"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w:t>
            </w:r>
          </w:p>
        </w:tc>
        <w:tc>
          <w:tcPr>
            <w:tcW w:w="971"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R</w:t>
            </w:r>
          </w:p>
        </w:tc>
        <w:tc>
          <w:tcPr>
            <w:tcW w:w="629" w:type="dxa"/>
            <w:tcBorders>
              <w:top w:val="nil"/>
              <w:left w:val="nil"/>
              <w:bottom w:val="nil"/>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w:t>
            </w:r>
          </w:p>
        </w:tc>
        <w:tc>
          <w:tcPr>
            <w:tcW w:w="971" w:type="dxa"/>
            <w:tcBorders>
              <w:top w:val="nil"/>
              <w:left w:val="nil"/>
              <w:bottom w:val="nil"/>
              <w:right w:val="single" w:sz="8"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R</w:t>
            </w:r>
          </w:p>
        </w:tc>
      </w:tr>
      <w:tr w:rsidR="003A44C4" w:rsidRPr="003A44C4" w:rsidTr="003A44C4">
        <w:trPr>
          <w:trHeight w:val="375"/>
        </w:trPr>
        <w:tc>
          <w:tcPr>
            <w:tcW w:w="1520"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3A44C4" w:rsidRPr="003A44C4" w:rsidRDefault="003A44C4" w:rsidP="003A44C4">
            <w:pPr>
              <w:spacing w:after="0"/>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LB PA</w:t>
            </w:r>
          </w:p>
        </w:tc>
        <w:tc>
          <w:tcPr>
            <w:tcW w:w="800"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-15.3</w:t>
            </w:r>
          </w:p>
        </w:tc>
        <w:tc>
          <w:tcPr>
            <w:tcW w:w="800"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-13.5</w:t>
            </w:r>
          </w:p>
        </w:tc>
        <w:tc>
          <w:tcPr>
            <w:tcW w:w="800"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-25.8</w:t>
            </w:r>
          </w:p>
        </w:tc>
        <w:tc>
          <w:tcPr>
            <w:tcW w:w="800"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-23.6</w:t>
            </w:r>
          </w:p>
        </w:tc>
        <w:tc>
          <w:tcPr>
            <w:tcW w:w="800"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-34.3</w:t>
            </w:r>
          </w:p>
        </w:tc>
        <w:tc>
          <w:tcPr>
            <w:tcW w:w="800"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-33.4</w:t>
            </w:r>
          </w:p>
        </w:tc>
        <w:tc>
          <w:tcPr>
            <w:tcW w:w="629"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-41</w:t>
            </w:r>
          </w:p>
        </w:tc>
        <w:tc>
          <w:tcPr>
            <w:tcW w:w="971"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-41</w:t>
            </w:r>
          </w:p>
        </w:tc>
        <w:tc>
          <w:tcPr>
            <w:tcW w:w="629" w:type="dxa"/>
            <w:tcBorders>
              <w:top w:val="double" w:sz="6" w:space="0" w:color="auto"/>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-45</w:t>
            </w:r>
          </w:p>
        </w:tc>
        <w:tc>
          <w:tcPr>
            <w:tcW w:w="971" w:type="dxa"/>
            <w:tcBorders>
              <w:top w:val="double" w:sz="6" w:space="0" w:color="auto"/>
              <w:left w:val="nil"/>
              <w:bottom w:val="single" w:sz="4" w:space="0" w:color="auto"/>
              <w:right w:val="single" w:sz="8"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-46</w:t>
            </w:r>
          </w:p>
        </w:tc>
      </w:tr>
      <w:tr w:rsidR="003A44C4" w:rsidRPr="003A44C4" w:rsidTr="003A44C4">
        <w:trPr>
          <w:trHeight w:val="375"/>
        </w:trPr>
        <w:tc>
          <w:tcPr>
            <w:tcW w:w="1520" w:type="dxa"/>
            <w:tcBorders>
              <w:top w:val="nil"/>
              <w:left w:val="single" w:sz="8" w:space="0" w:color="auto"/>
              <w:bottom w:val="single" w:sz="4" w:space="0" w:color="auto"/>
              <w:right w:val="single" w:sz="4" w:space="0" w:color="auto"/>
            </w:tcBorders>
            <w:shd w:val="clear" w:color="auto" w:fill="auto"/>
            <w:noWrap/>
            <w:vAlign w:val="center"/>
            <w:hideMark/>
          </w:tcPr>
          <w:p w:rsidR="003A44C4" w:rsidRPr="003A44C4" w:rsidRDefault="003A44C4" w:rsidP="003A44C4">
            <w:pPr>
              <w:spacing w:after="0"/>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HB PA</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-19.2</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-20.8</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-22.3</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-21.6</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-23.5</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-22.9</w:t>
            </w:r>
          </w:p>
        </w:tc>
        <w:tc>
          <w:tcPr>
            <w:tcW w:w="629"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-29</w:t>
            </w:r>
          </w:p>
        </w:tc>
        <w:tc>
          <w:tcPr>
            <w:tcW w:w="971"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-28.5</w:t>
            </w:r>
          </w:p>
        </w:tc>
        <w:tc>
          <w:tcPr>
            <w:tcW w:w="629"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-31</w:t>
            </w:r>
          </w:p>
        </w:tc>
        <w:tc>
          <w:tcPr>
            <w:tcW w:w="971" w:type="dxa"/>
            <w:tcBorders>
              <w:top w:val="nil"/>
              <w:left w:val="nil"/>
              <w:bottom w:val="single" w:sz="4" w:space="0" w:color="auto"/>
              <w:right w:val="single" w:sz="8"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-30.5</w:t>
            </w:r>
          </w:p>
        </w:tc>
      </w:tr>
      <w:tr w:rsidR="003A44C4" w:rsidRPr="003A44C4" w:rsidTr="003A44C4">
        <w:trPr>
          <w:trHeight w:val="375"/>
        </w:trPr>
        <w:tc>
          <w:tcPr>
            <w:tcW w:w="1520" w:type="dxa"/>
            <w:tcBorders>
              <w:top w:val="nil"/>
              <w:left w:val="single" w:sz="8" w:space="0" w:color="auto"/>
              <w:bottom w:val="single" w:sz="4" w:space="0" w:color="auto"/>
              <w:right w:val="single" w:sz="4" w:space="0" w:color="auto"/>
            </w:tcBorders>
            <w:shd w:val="clear" w:color="auto" w:fill="auto"/>
            <w:noWrap/>
            <w:vAlign w:val="center"/>
            <w:hideMark/>
          </w:tcPr>
          <w:p w:rsidR="003A44C4" w:rsidRPr="003A44C4" w:rsidRDefault="003A44C4" w:rsidP="003A44C4">
            <w:pPr>
              <w:spacing w:after="0"/>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LB in MMMB</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-20.4</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-19.1</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-34.1</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-32.1</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-40.8</w:t>
            </w:r>
          </w:p>
        </w:tc>
        <w:tc>
          <w:tcPr>
            <w:tcW w:w="800"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-38.3</w:t>
            </w:r>
          </w:p>
        </w:tc>
        <w:tc>
          <w:tcPr>
            <w:tcW w:w="629"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-47</w:t>
            </w:r>
          </w:p>
        </w:tc>
        <w:tc>
          <w:tcPr>
            <w:tcW w:w="971"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-42</w:t>
            </w:r>
          </w:p>
        </w:tc>
        <w:tc>
          <w:tcPr>
            <w:tcW w:w="629" w:type="dxa"/>
            <w:tcBorders>
              <w:top w:val="nil"/>
              <w:left w:val="nil"/>
              <w:bottom w:val="single" w:sz="4"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-47</w:t>
            </w:r>
          </w:p>
        </w:tc>
        <w:tc>
          <w:tcPr>
            <w:tcW w:w="971" w:type="dxa"/>
            <w:tcBorders>
              <w:top w:val="nil"/>
              <w:left w:val="nil"/>
              <w:bottom w:val="single" w:sz="4" w:space="0" w:color="auto"/>
              <w:right w:val="single" w:sz="8"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-43</w:t>
            </w:r>
          </w:p>
        </w:tc>
      </w:tr>
      <w:tr w:rsidR="003A44C4" w:rsidRPr="003A44C4" w:rsidTr="003A44C4">
        <w:trPr>
          <w:trHeight w:val="375"/>
        </w:trPr>
        <w:tc>
          <w:tcPr>
            <w:tcW w:w="1520" w:type="dxa"/>
            <w:tcBorders>
              <w:top w:val="nil"/>
              <w:left w:val="single" w:sz="8" w:space="0" w:color="auto"/>
              <w:bottom w:val="single" w:sz="8" w:space="0" w:color="auto"/>
              <w:right w:val="single" w:sz="4" w:space="0" w:color="auto"/>
            </w:tcBorders>
            <w:shd w:val="clear" w:color="auto" w:fill="auto"/>
            <w:noWrap/>
            <w:vAlign w:val="center"/>
            <w:hideMark/>
          </w:tcPr>
          <w:p w:rsidR="003A44C4" w:rsidRPr="003A44C4" w:rsidRDefault="003A44C4" w:rsidP="003A44C4">
            <w:pPr>
              <w:spacing w:after="0"/>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HB in MMMB</w:t>
            </w:r>
          </w:p>
        </w:tc>
        <w:tc>
          <w:tcPr>
            <w:tcW w:w="800"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-17.7</w:t>
            </w:r>
          </w:p>
        </w:tc>
        <w:tc>
          <w:tcPr>
            <w:tcW w:w="800"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-14.6</w:t>
            </w:r>
          </w:p>
        </w:tc>
        <w:tc>
          <w:tcPr>
            <w:tcW w:w="800"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-38.1</w:t>
            </w:r>
          </w:p>
        </w:tc>
        <w:tc>
          <w:tcPr>
            <w:tcW w:w="800"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-37.6</w:t>
            </w:r>
          </w:p>
        </w:tc>
        <w:tc>
          <w:tcPr>
            <w:tcW w:w="800"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-36.2</w:t>
            </w:r>
          </w:p>
        </w:tc>
        <w:tc>
          <w:tcPr>
            <w:tcW w:w="800"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-36.4</w:t>
            </w:r>
          </w:p>
        </w:tc>
        <w:tc>
          <w:tcPr>
            <w:tcW w:w="629"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-42</w:t>
            </w:r>
          </w:p>
        </w:tc>
        <w:tc>
          <w:tcPr>
            <w:tcW w:w="971"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-40</w:t>
            </w:r>
          </w:p>
        </w:tc>
        <w:tc>
          <w:tcPr>
            <w:tcW w:w="629" w:type="dxa"/>
            <w:tcBorders>
              <w:top w:val="nil"/>
              <w:left w:val="nil"/>
              <w:bottom w:val="single" w:sz="8" w:space="0" w:color="auto"/>
              <w:right w:val="single" w:sz="4"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-50</w:t>
            </w:r>
          </w:p>
        </w:tc>
        <w:tc>
          <w:tcPr>
            <w:tcW w:w="971" w:type="dxa"/>
            <w:tcBorders>
              <w:top w:val="nil"/>
              <w:left w:val="nil"/>
              <w:bottom w:val="single" w:sz="8" w:space="0" w:color="auto"/>
              <w:right w:val="single" w:sz="8" w:space="0" w:color="auto"/>
            </w:tcBorders>
            <w:shd w:val="clear" w:color="auto" w:fill="auto"/>
            <w:noWrap/>
            <w:vAlign w:val="center"/>
            <w:hideMark/>
          </w:tcPr>
          <w:p w:rsidR="003A44C4" w:rsidRPr="003A44C4" w:rsidRDefault="003A44C4" w:rsidP="003A44C4">
            <w:pPr>
              <w:spacing w:after="0"/>
              <w:jc w:val="center"/>
              <w:rPr>
                <w:rFonts w:ascii="Calibri" w:eastAsia="Times New Roman" w:hAnsi="Calibri"/>
                <w:color w:val="000000"/>
                <w:sz w:val="22"/>
                <w:szCs w:val="22"/>
                <w:lang w:val="en-US" w:eastAsia="zh-CN"/>
              </w:rPr>
            </w:pPr>
            <w:r w:rsidRPr="003A44C4">
              <w:rPr>
                <w:rFonts w:ascii="Calibri" w:eastAsia="Times New Roman" w:hAnsi="Calibri"/>
                <w:color w:val="000000"/>
                <w:sz w:val="22"/>
                <w:szCs w:val="22"/>
                <w:lang w:val="en-US" w:eastAsia="zh-CN"/>
              </w:rPr>
              <w:t>-43</w:t>
            </w:r>
          </w:p>
        </w:tc>
      </w:tr>
    </w:tbl>
    <w:p w:rsidR="003C501D" w:rsidRPr="00702342" w:rsidRDefault="00702342" w:rsidP="00702342">
      <w:pPr>
        <w:spacing w:before="120" w:after="120"/>
        <w:jc w:val="center"/>
        <w:rPr>
          <w:rFonts w:ascii="Arial" w:hAnsi="Arial" w:cs="Arial"/>
          <w:b/>
        </w:rPr>
      </w:pPr>
      <w:r w:rsidRPr="00702342">
        <w:rPr>
          <w:rFonts w:ascii="Arial" w:hAnsi="Arial" w:cs="Arial"/>
          <w:b/>
        </w:rPr>
        <w:t xml:space="preserve">Table 2-1 Intermodulation product power level for two-tone tests </w:t>
      </w:r>
      <w:r>
        <w:rPr>
          <w:rFonts w:ascii="Arial" w:hAnsi="Arial" w:cs="Arial"/>
          <w:b/>
        </w:rPr>
        <w:t>from</w:t>
      </w:r>
      <w:r w:rsidRPr="00702342">
        <w:rPr>
          <w:rFonts w:ascii="Arial" w:hAnsi="Arial" w:cs="Arial"/>
          <w:b/>
        </w:rPr>
        <w:t xml:space="preserve"> three off-the-shelf PA</w:t>
      </w:r>
    </w:p>
    <w:p w:rsidR="00702342" w:rsidRDefault="00702342" w:rsidP="00702342">
      <w:pPr>
        <w:spacing w:before="120" w:after="120"/>
        <w:jc w:val="both"/>
        <w:rPr>
          <w:rFonts w:ascii="Arial" w:hAnsi="Arial" w:cs="Arial"/>
        </w:rPr>
      </w:pPr>
    </w:p>
    <w:p w:rsidR="00F30F87" w:rsidRDefault="003A44C4" w:rsidP="00F30F87">
      <w:pPr>
        <w:spacing w:before="180" w:after="120"/>
        <w:jc w:val="both"/>
        <w:rPr>
          <w:rFonts w:ascii="Arial" w:hAnsi="Arial" w:cs="Arial"/>
        </w:rPr>
      </w:pPr>
      <w:r>
        <w:rPr>
          <w:rFonts w:ascii="Arial" w:hAnsi="Arial" w:cs="Arial"/>
        </w:rPr>
        <w:t xml:space="preserve">Considering minimum duplexer Tx-to-Rx isolation at 45 dB and </w:t>
      </w:r>
      <w:r w:rsidR="00A5535D">
        <w:rPr>
          <w:rFonts w:ascii="Arial" w:hAnsi="Arial" w:cs="Arial"/>
        </w:rPr>
        <w:t>reference sensitivity level at -100 dBm for 5</w:t>
      </w:r>
      <w:r w:rsidR="00EA33EE">
        <w:rPr>
          <w:rFonts w:ascii="Arial" w:hAnsi="Arial" w:cs="Arial"/>
        </w:rPr>
        <w:t>-</w:t>
      </w:r>
      <w:r w:rsidR="00A5535D">
        <w:rPr>
          <w:rFonts w:ascii="Arial" w:hAnsi="Arial" w:cs="Arial"/>
        </w:rPr>
        <w:t xml:space="preserve"> MHz channel with QPSK modulation</w:t>
      </w:r>
      <w:r w:rsidR="00EA33EE">
        <w:rPr>
          <w:rFonts w:ascii="Arial" w:hAnsi="Arial" w:cs="Arial"/>
        </w:rPr>
        <w:t>, based on the measurement results shown above, the intermodulation products up to 11</w:t>
      </w:r>
      <w:r w:rsidR="00EA33EE" w:rsidRPr="00EA33EE">
        <w:rPr>
          <w:rFonts w:ascii="Arial" w:hAnsi="Arial" w:cs="Arial"/>
          <w:vertAlign w:val="superscript"/>
        </w:rPr>
        <w:t>th</w:t>
      </w:r>
      <w:r w:rsidR="00EA33EE">
        <w:rPr>
          <w:rFonts w:ascii="Arial" w:hAnsi="Arial" w:cs="Arial"/>
        </w:rPr>
        <w:t xml:space="preserve"> order or higher could still potentially desensitize its own downlink signals.</w:t>
      </w:r>
    </w:p>
    <w:p w:rsidR="00F30F87" w:rsidRDefault="00F30F87" w:rsidP="00F30F87">
      <w:pPr>
        <w:spacing w:before="180" w:after="120"/>
        <w:jc w:val="both"/>
        <w:rPr>
          <w:rFonts w:ascii="Arial" w:hAnsi="Arial" w:cs="Arial"/>
        </w:rPr>
      </w:pPr>
      <w:r>
        <w:rPr>
          <w:rFonts w:ascii="Arial" w:hAnsi="Arial" w:cs="Arial"/>
        </w:rPr>
        <w:t xml:space="preserve">Though </w:t>
      </w:r>
      <w:r w:rsidR="00702342">
        <w:rPr>
          <w:rFonts w:ascii="Arial" w:hAnsi="Arial" w:cs="Arial"/>
        </w:rPr>
        <w:t xml:space="preserve">PA </w:t>
      </w:r>
      <w:r>
        <w:rPr>
          <w:rFonts w:ascii="Arial" w:hAnsi="Arial" w:cs="Arial"/>
        </w:rPr>
        <w:t>linearity perform</w:t>
      </w:r>
      <w:r w:rsidR="00702342">
        <w:rPr>
          <w:rFonts w:ascii="Arial" w:hAnsi="Arial" w:cs="Arial"/>
        </w:rPr>
        <w:t>ance can vary among different products</w:t>
      </w:r>
      <w:r>
        <w:rPr>
          <w:rFonts w:ascii="Arial" w:hAnsi="Arial" w:cs="Arial"/>
        </w:rPr>
        <w:t xml:space="preserve">, </w:t>
      </w:r>
      <w:r w:rsidR="00702342">
        <w:rPr>
          <w:rFonts w:ascii="Arial" w:hAnsi="Arial" w:cs="Arial"/>
        </w:rPr>
        <w:t xml:space="preserve">based on our measurement results, </w:t>
      </w:r>
      <w:r>
        <w:rPr>
          <w:rFonts w:ascii="Arial" w:hAnsi="Arial" w:cs="Arial"/>
        </w:rPr>
        <w:t>it is still suggested to consider intermodulation products at least up to 11</w:t>
      </w:r>
      <w:r w:rsidRPr="00F30F87">
        <w:rPr>
          <w:rFonts w:ascii="Arial" w:hAnsi="Arial" w:cs="Arial"/>
          <w:vertAlign w:val="superscript"/>
        </w:rPr>
        <w:t>th</w:t>
      </w:r>
      <w:r>
        <w:rPr>
          <w:rFonts w:ascii="Arial" w:hAnsi="Arial" w:cs="Arial"/>
        </w:rPr>
        <w:t xml:space="preserve"> order for UE self-interference analysis under intra-band non-contiguous CA operation.</w:t>
      </w:r>
    </w:p>
    <w:p w:rsidR="00F30F87" w:rsidRPr="007408EB" w:rsidRDefault="00F30F87" w:rsidP="00F30F87">
      <w:pPr>
        <w:spacing w:before="180" w:after="120"/>
        <w:jc w:val="both"/>
        <w:rPr>
          <w:rFonts w:ascii="Arial" w:hAnsi="Arial" w:cs="Arial"/>
        </w:rPr>
      </w:pPr>
    </w:p>
    <w:p w:rsidR="00B25D7B" w:rsidRPr="007408EB" w:rsidRDefault="00793070" w:rsidP="00702342">
      <w:pPr>
        <w:pStyle w:val="Heading2"/>
        <w:rPr>
          <w:rFonts w:cs="Arial"/>
        </w:rPr>
      </w:pPr>
      <w:r w:rsidRPr="007408EB">
        <w:rPr>
          <w:rFonts w:cs="Arial"/>
        </w:rPr>
        <w:t>3</w:t>
      </w:r>
      <w:r w:rsidR="004647AB" w:rsidRPr="007408EB">
        <w:rPr>
          <w:rFonts w:cs="Arial"/>
        </w:rPr>
        <w:tab/>
        <w:t>Conclusion</w:t>
      </w:r>
    </w:p>
    <w:p w:rsidR="00591DCF" w:rsidRDefault="00702342" w:rsidP="00C92968">
      <w:pPr>
        <w:spacing w:after="60"/>
        <w:jc w:val="both"/>
        <w:rPr>
          <w:rFonts w:ascii="Arial" w:hAnsi="Arial" w:cs="Arial"/>
          <w:lang w:eastAsia="ja-JP"/>
        </w:rPr>
      </w:pPr>
      <w:r>
        <w:rPr>
          <w:rFonts w:ascii="Arial" w:hAnsi="Arial" w:cs="Arial"/>
          <w:lang w:eastAsia="ja-JP"/>
        </w:rPr>
        <w:t xml:space="preserve">Two-tone intermodulation tests mimicking intra-band non-contiguous CA operation was carried out on three commercially available </w:t>
      </w:r>
      <w:r w:rsidR="000E286A">
        <w:rPr>
          <w:rFonts w:ascii="Arial" w:hAnsi="Arial" w:cs="Arial"/>
          <w:lang w:eastAsia="ja-JP"/>
        </w:rPr>
        <w:t xml:space="preserve">PA. Based on measurement results, it is suggested </w:t>
      </w:r>
      <w:r w:rsidR="000E286A">
        <w:rPr>
          <w:rFonts w:ascii="Arial" w:hAnsi="Arial" w:cs="Arial"/>
        </w:rPr>
        <w:t>to consider intermodulation products at least up to 11</w:t>
      </w:r>
      <w:r w:rsidR="000E286A" w:rsidRPr="00F30F87">
        <w:rPr>
          <w:rFonts w:ascii="Arial" w:hAnsi="Arial" w:cs="Arial"/>
          <w:vertAlign w:val="superscript"/>
        </w:rPr>
        <w:t>th</w:t>
      </w:r>
      <w:r w:rsidR="000E286A">
        <w:rPr>
          <w:rFonts w:ascii="Arial" w:hAnsi="Arial" w:cs="Arial"/>
        </w:rPr>
        <w:t xml:space="preserve"> order for UE self-interference analysis under intra-band non-contiguous CA operation.</w:t>
      </w:r>
      <w:r w:rsidR="000E286A">
        <w:rPr>
          <w:rFonts w:ascii="Arial" w:hAnsi="Arial" w:cs="Arial"/>
          <w:lang w:eastAsia="ja-JP"/>
        </w:rPr>
        <w:t xml:space="preserve"> </w:t>
      </w:r>
    </w:p>
    <w:p w:rsidR="00702342" w:rsidRPr="007408EB" w:rsidRDefault="00702342" w:rsidP="00C92968">
      <w:pPr>
        <w:spacing w:after="60"/>
        <w:jc w:val="both"/>
        <w:rPr>
          <w:rFonts w:ascii="Arial" w:hAnsi="Arial" w:cs="Arial"/>
          <w:lang w:eastAsia="ja-JP"/>
        </w:rPr>
      </w:pPr>
    </w:p>
    <w:p w:rsidR="00DE67D1" w:rsidRPr="007408EB" w:rsidRDefault="00793070" w:rsidP="000E1E5A">
      <w:pPr>
        <w:pStyle w:val="Heading2"/>
        <w:rPr>
          <w:rFonts w:cs="Arial"/>
        </w:rPr>
      </w:pPr>
      <w:r w:rsidRPr="007408EB">
        <w:rPr>
          <w:rFonts w:cs="Arial"/>
        </w:rPr>
        <w:t>4</w:t>
      </w:r>
      <w:r w:rsidR="00401A03" w:rsidRPr="007408EB">
        <w:rPr>
          <w:rFonts w:cs="Arial"/>
        </w:rPr>
        <w:tab/>
      </w:r>
      <w:r w:rsidR="00DE67D1" w:rsidRPr="007408EB">
        <w:rPr>
          <w:rFonts w:cs="Arial"/>
        </w:rPr>
        <w:t>References</w:t>
      </w:r>
    </w:p>
    <w:p w:rsidR="00CD163C" w:rsidRPr="0062130E" w:rsidRDefault="00FE346E" w:rsidP="001320DF">
      <w:pPr>
        <w:pStyle w:val="B1"/>
        <w:numPr>
          <w:ilvl w:val="0"/>
          <w:numId w:val="1"/>
        </w:numPr>
        <w:rPr>
          <w:rFonts w:ascii="Arial" w:hAnsi="Arial" w:cs="Arial"/>
          <w:lang w:eastAsia="ja-JP"/>
        </w:rPr>
      </w:pPr>
      <w:r w:rsidRPr="007408EB">
        <w:rPr>
          <w:rFonts w:ascii="Arial" w:hAnsi="Arial" w:cs="Arial"/>
          <w:lang w:eastAsia="ja-JP"/>
        </w:rPr>
        <w:t>R</w:t>
      </w:r>
      <w:r w:rsidR="004E5DC2">
        <w:rPr>
          <w:rFonts w:ascii="Arial" w:hAnsi="Arial" w:cs="Arial"/>
          <w:lang w:eastAsia="ja-JP"/>
        </w:rPr>
        <w:t>4</w:t>
      </w:r>
      <w:r w:rsidRPr="007408EB">
        <w:rPr>
          <w:rFonts w:ascii="Arial" w:hAnsi="Arial" w:cs="Arial"/>
          <w:lang w:eastAsia="ja-JP"/>
        </w:rPr>
        <w:t>-</w:t>
      </w:r>
      <w:r w:rsidR="008C1292" w:rsidRPr="0062130E">
        <w:rPr>
          <w:rFonts w:ascii="Arial" w:hAnsi="Arial" w:cs="Arial"/>
          <w:lang w:eastAsia="ja-JP"/>
        </w:rPr>
        <w:t>12</w:t>
      </w:r>
      <w:r w:rsidR="004E5DC2">
        <w:rPr>
          <w:rFonts w:ascii="Arial" w:hAnsi="Arial" w:cs="Arial"/>
          <w:lang w:eastAsia="ja-JP"/>
        </w:rPr>
        <w:t>6235</w:t>
      </w:r>
      <w:r w:rsidRPr="0062130E">
        <w:rPr>
          <w:rFonts w:ascii="Arial" w:hAnsi="Arial" w:cs="Arial"/>
          <w:lang w:eastAsia="ja-JP"/>
        </w:rPr>
        <w:t>, “</w:t>
      </w:r>
      <w:r w:rsidR="004E5DC2" w:rsidRPr="007408EB">
        <w:rPr>
          <w:rFonts w:ascii="Arial" w:hAnsi="Arial" w:cs="Arial"/>
          <w:sz w:val="22"/>
          <w:szCs w:val="22"/>
        </w:rPr>
        <w:t>Harmonics and intermodulation products caused by intra-band non-contiguous CA_3 UE</w:t>
      </w:r>
      <w:r w:rsidRPr="0062130E">
        <w:rPr>
          <w:rFonts w:ascii="Arial" w:hAnsi="Arial" w:cs="Arial"/>
          <w:lang w:eastAsia="ja-JP"/>
        </w:rPr>
        <w:t xml:space="preserve">”, </w:t>
      </w:r>
      <w:r w:rsidR="004E5DC2">
        <w:rPr>
          <w:rFonts w:ascii="Arial" w:hAnsi="Arial" w:cs="Arial"/>
          <w:bCs/>
          <w:color w:val="000000"/>
        </w:rPr>
        <w:t>Intel Corp</w:t>
      </w:r>
      <w:r w:rsidR="003047B2">
        <w:rPr>
          <w:rFonts w:ascii="Arial" w:hAnsi="Arial" w:cs="Arial"/>
          <w:bCs/>
          <w:color w:val="000000"/>
        </w:rPr>
        <w:t>oration</w:t>
      </w:r>
    </w:p>
    <w:p w:rsidR="00FC693B" w:rsidRPr="007408EB" w:rsidRDefault="003047B2" w:rsidP="001320DF">
      <w:pPr>
        <w:pStyle w:val="B1"/>
        <w:numPr>
          <w:ilvl w:val="0"/>
          <w:numId w:val="1"/>
        </w:numPr>
        <w:rPr>
          <w:rFonts w:ascii="Arial" w:hAnsi="Arial" w:cs="Arial"/>
          <w:lang w:eastAsia="ja-JP"/>
        </w:rPr>
      </w:pPr>
      <w:r>
        <w:rPr>
          <w:rFonts w:ascii="Arial" w:hAnsi="Arial" w:cs="Arial"/>
          <w:lang w:eastAsia="ja-JP"/>
        </w:rPr>
        <w:t>R4-126237, “</w:t>
      </w:r>
      <w:r>
        <w:rPr>
          <w:rFonts w:ascii="Arial" w:hAnsi="Arial" w:cs="Arial"/>
          <w:sz w:val="22"/>
          <w:szCs w:val="22"/>
        </w:rPr>
        <w:t>H</w:t>
      </w:r>
      <w:r w:rsidRPr="00BD16FE">
        <w:rPr>
          <w:rFonts w:ascii="Arial" w:hAnsi="Arial" w:cs="Arial"/>
          <w:sz w:val="22"/>
          <w:szCs w:val="22"/>
        </w:rPr>
        <w:t xml:space="preserve">armonics and intermodulation products caused by intra-band non-contiguous </w:t>
      </w:r>
      <w:r>
        <w:rPr>
          <w:rFonts w:ascii="Arial" w:hAnsi="Arial" w:cs="Arial"/>
          <w:sz w:val="22"/>
          <w:szCs w:val="22"/>
        </w:rPr>
        <w:t>CA_</w:t>
      </w:r>
      <w:r w:rsidRPr="00BD16FE">
        <w:rPr>
          <w:rFonts w:ascii="Arial" w:hAnsi="Arial" w:cs="Arial"/>
          <w:sz w:val="22"/>
          <w:szCs w:val="22"/>
        </w:rPr>
        <w:t>4 UE</w:t>
      </w:r>
      <w:r>
        <w:rPr>
          <w:rFonts w:ascii="Arial" w:hAnsi="Arial" w:cs="Arial"/>
          <w:lang w:eastAsia="ja-JP"/>
        </w:rPr>
        <w:t>”, Intel Corporation</w:t>
      </w:r>
    </w:p>
    <w:p w:rsidR="003445E6" w:rsidRPr="007408EB" w:rsidRDefault="003445E6" w:rsidP="004E5DC2">
      <w:pPr>
        <w:pStyle w:val="B1"/>
        <w:ind w:left="0" w:firstLine="0"/>
        <w:rPr>
          <w:rFonts w:ascii="Arial" w:hAnsi="Arial" w:cs="Arial"/>
          <w:lang w:eastAsia="ja-JP"/>
        </w:rPr>
      </w:pPr>
    </w:p>
    <w:sectPr w:rsidR="003445E6" w:rsidRPr="007408EB"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547" w:rsidRDefault="00453547">
      <w:r>
        <w:separator/>
      </w:r>
    </w:p>
  </w:endnote>
  <w:endnote w:type="continuationSeparator" w:id="0">
    <w:p w:rsidR="00453547" w:rsidRDefault="00453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547" w:rsidRDefault="00453547">
      <w:r>
        <w:separator/>
      </w:r>
    </w:p>
  </w:footnote>
  <w:footnote w:type="continuationSeparator" w:id="0">
    <w:p w:rsidR="00453547" w:rsidRDefault="00453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0"/>
  </w:num>
  <w:num w:numId="3">
    <w:abstractNumId w:val="11"/>
  </w:num>
  <w:num w:numId="4">
    <w:abstractNumId w:val="13"/>
  </w:num>
  <w:num w:numId="5">
    <w:abstractNumId w:val="9"/>
  </w:num>
  <w:num w:numId="6">
    <w:abstractNumId w:val="18"/>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1740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D9C"/>
    <w:rsid w:val="00023E96"/>
    <w:rsid w:val="00024E63"/>
    <w:rsid w:val="00024EAF"/>
    <w:rsid w:val="000301F3"/>
    <w:rsid w:val="000312A0"/>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813C0"/>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7F0"/>
    <w:rsid w:val="000F3D65"/>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4D51"/>
    <w:rsid w:val="00145D31"/>
    <w:rsid w:val="00147DD8"/>
    <w:rsid w:val="00150373"/>
    <w:rsid w:val="00153439"/>
    <w:rsid w:val="0015644A"/>
    <w:rsid w:val="001566D0"/>
    <w:rsid w:val="0015721C"/>
    <w:rsid w:val="00157C01"/>
    <w:rsid w:val="00157F89"/>
    <w:rsid w:val="001606D6"/>
    <w:rsid w:val="00160BEA"/>
    <w:rsid w:val="00160DF1"/>
    <w:rsid w:val="00161253"/>
    <w:rsid w:val="0016164F"/>
    <w:rsid w:val="001624C7"/>
    <w:rsid w:val="00162B0F"/>
    <w:rsid w:val="001631C8"/>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824"/>
    <w:rsid w:val="00240F8B"/>
    <w:rsid w:val="002418D0"/>
    <w:rsid w:val="00241D56"/>
    <w:rsid w:val="0024222C"/>
    <w:rsid w:val="0024293C"/>
    <w:rsid w:val="002430EF"/>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60F"/>
    <w:rsid w:val="002A5A2A"/>
    <w:rsid w:val="002A61CE"/>
    <w:rsid w:val="002A629A"/>
    <w:rsid w:val="002A6670"/>
    <w:rsid w:val="002A6A52"/>
    <w:rsid w:val="002B0BA6"/>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21D3"/>
    <w:rsid w:val="00343A18"/>
    <w:rsid w:val="00343D9F"/>
    <w:rsid w:val="003445E6"/>
    <w:rsid w:val="00344EE2"/>
    <w:rsid w:val="00344F66"/>
    <w:rsid w:val="00346C65"/>
    <w:rsid w:val="003477F0"/>
    <w:rsid w:val="00347805"/>
    <w:rsid w:val="0034795B"/>
    <w:rsid w:val="003501D5"/>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4E5"/>
    <w:rsid w:val="0038318B"/>
    <w:rsid w:val="00384024"/>
    <w:rsid w:val="00385200"/>
    <w:rsid w:val="003862D8"/>
    <w:rsid w:val="00390926"/>
    <w:rsid w:val="003914A1"/>
    <w:rsid w:val="00391DE1"/>
    <w:rsid w:val="003922AD"/>
    <w:rsid w:val="00396757"/>
    <w:rsid w:val="00396FBB"/>
    <w:rsid w:val="003973EB"/>
    <w:rsid w:val="00397CA1"/>
    <w:rsid w:val="00397CA4"/>
    <w:rsid w:val="003A1A3B"/>
    <w:rsid w:val="003A23E4"/>
    <w:rsid w:val="003A4414"/>
    <w:rsid w:val="003A44C4"/>
    <w:rsid w:val="003A49A3"/>
    <w:rsid w:val="003A4A8C"/>
    <w:rsid w:val="003A4C29"/>
    <w:rsid w:val="003A57D9"/>
    <w:rsid w:val="003A58EC"/>
    <w:rsid w:val="003A5D3A"/>
    <w:rsid w:val="003A603C"/>
    <w:rsid w:val="003A68C8"/>
    <w:rsid w:val="003A6A52"/>
    <w:rsid w:val="003A6FE2"/>
    <w:rsid w:val="003A70C9"/>
    <w:rsid w:val="003A77B4"/>
    <w:rsid w:val="003A7D5E"/>
    <w:rsid w:val="003B1D66"/>
    <w:rsid w:val="003B3833"/>
    <w:rsid w:val="003B46AC"/>
    <w:rsid w:val="003B4A0F"/>
    <w:rsid w:val="003B4F59"/>
    <w:rsid w:val="003B54F3"/>
    <w:rsid w:val="003C0D0F"/>
    <w:rsid w:val="003C16E4"/>
    <w:rsid w:val="003C258E"/>
    <w:rsid w:val="003C265A"/>
    <w:rsid w:val="003C2B85"/>
    <w:rsid w:val="003C2F6D"/>
    <w:rsid w:val="003C3283"/>
    <w:rsid w:val="003C3D2C"/>
    <w:rsid w:val="003C44A0"/>
    <w:rsid w:val="003C501D"/>
    <w:rsid w:val="003C53FE"/>
    <w:rsid w:val="003C5760"/>
    <w:rsid w:val="003C5BEC"/>
    <w:rsid w:val="003C7354"/>
    <w:rsid w:val="003C73E4"/>
    <w:rsid w:val="003D0481"/>
    <w:rsid w:val="003D05F6"/>
    <w:rsid w:val="003D1A10"/>
    <w:rsid w:val="003D2766"/>
    <w:rsid w:val="003D3114"/>
    <w:rsid w:val="003D3354"/>
    <w:rsid w:val="003D371E"/>
    <w:rsid w:val="003D3822"/>
    <w:rsid w:val="003D5E7A"/>
    <w:rsid w:val="003D6C01"/>
    <w:rsid w:val="003D6C54"/>
    <w:rsid w:val="003D72CA"/>
    <w:rsid w:val="003D754B"/>
    <w:rsid w:val="003D7775"/>
    <w:rsid w:val="003D77F1"/>
    <w:rsid w:val="003D7A42"/>
    <w:rsid w:val="003D7E7F"/>
    <w:rsid w:val="003D7E9B"/>
    <w:rsid w:val="003E09E8"/>
    <w:rsid w:val="003E0AAF"/>
    <w:rsid w:val="003E0FE1"/>
    <w:rsid w:val="003E1549"/>
    <w:rsid w:val="003E31D5"/>
    <w:rsid w:val="003E4E68"/>
    <w:rsid w:val="003E56D6"/>
    <w:rsid w:val="003E5743"/>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407D"/>
    <w:rsid w:val="00404616"/>
    <w:rsid w:val="00404E22"/>
    <w:rsid w:val="00405138"/>
    <w:rsid w:val="0040619D"/>
    <w:rsid w:val="00406662"/>
    <w:rsid w:val="00406FC0"/>
    <w:rsid w:val="00411FE7"/>
    <w:rsid w:val="0041270F"/>
    <w:rsid w:val="004133CC"/>
    <w:rsid w:val="00413562"/>
    <w:rsid w:val="004135D2"/>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32CE"/>
    <w:rsid w:val="00463E2B"/>
    <w:rsid w:val="004647AB"/>
    <w:rsid w:val="00465053"/>
    <w:rsid w:val="004650DE"/>
    <w:rsid w:val="004650E4"/>
    <w:rsid w:val="00465157"/>
    <w:rsid w:val="004654C6"/>
    <w:rsid w:val="0046591A"/>
    <w:rsid w:val="00465FEF"/>
    <w:rsid w:val="0047000F"/>
    <w:rsid w:val="00470024"/>
    <w:rsid w:val="00470365"/>
    <w:rsid w:val="004706CE"/>
    <w:rsid w:val="00472323"/>
    <w:rsid w:val="004727CF"/>
    <w:rsid w:val="0047291D"/>
    <w:rsid w:val="00474DA7"/>
    <w:rsid w:val="00475207"/>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E46"/>
    <w:rsid w:val="004A1082"/>
    <w:rsid w:val="004A1552"/>
    <w:rsid w:val="004A183D"/>
    <w:rsid w:val="004A6628"/>
    <w:rsid w:val="004A7E16"/>
    <w:rsid w:val="004B0288"/>
    <w:rsid w:val="004B0D43"/>
    <w:rsid w:val="004B0D72"/>
    <w:rsid w:val="004B151E"/>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B62"/>
    <w:rsid w:val="004C71B2"/>
    <w:rsid w:val="004D1968"/>
    <w:rsid w:val="004D1B03"/>
    <w:rsid w:val="004D268C"/>
    <w:rsid w:val="004D2730"/>
    <w:rsid w:val="004D4007"/>
    <w:rsid w:val="004D4636"/>
    <w:rsid w:val="004D5327"/>
    <w:rsid w:val="004E0255"/>
    <w:rsid w:val="004E16F3"/>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48F2"/>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331"/>
    <w:rsid w:val="005B27A2"/>
    <w:rsid w:val="005B2B7B"/>
    <w:rsid w:val="005B3228"/>
    <w:rsid w:val="005B441C"/>
    <w:rsid w:val="005B5554"/>
    <w:rsid w:val="005B6108"/>
    <w:rsid w:val="005C08E6"/>
    <w:rsid w:val="005C3A60"/>
    <w:rsid w:val="005C3E31"/>
    <w:rsid w:val="005C5647"/>
    <w:rsid w:val="005C690F"/>
    <w:rsid w:val="005C6CEA"/>
    <w:rsid w:val="005C78D5"/>
    <w:rsid w:val="005D0798"/>
    <w:rsid w:val="005D1501"/>
    <w:rsid w:val="005D186D"/>
    <w:rsid w:val="005D1B3A"/>
    <w:rsid w:val="005D3109"/>
    <w:rsid w:val="005D3740"/>
    <w:rsid w:val="005D5D66"/>
    <w:rsid w:val="005D6468"/>
    <w:rsid w:val="005D7339"/>
    <w:rsid w:val="005E04AE"/>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20F4C"/>
    <w:rsid w:val="00621129"/>
    <w:rsid w:val="0062130E"/>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426E"/>
    <w:rsid w:val="00655F3E"/>
    <w:rsid w:val="00657E17"/>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578C"/>
    <w:rsid w:val="00685AE7"/>
    <w:rsid w:val="006863F5"/>
    <w:rsid w:val="006879A8"/>
    <w:rsid w:val="00687C10"/>
    <w:rsid w:val="0069044E"/>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0012"/>
    <w:rsid w:val="00702342"/>
    <w:rsid w:val="0070252C"/>
    <w:rsid w:val="00702CFB"/>
    <w:rsid w:val="00703451"/>
    <w:rsid w:val="00705925"/>
    <w:rsid w:val="00705FF0"/>
    <w:rsid w:val="00706853"/>
    <w:rsid w:val="00706CB1"/>
    <w:rsid w:val="00706CC3"/>
    <w:rsid w:val="007074C5"/>
    <w:rsid w:val="00710A66"/>
    <w:rsid w:val="00710BEC"/>
    <w:rsid w:val="00711037"/>
    <w:rsid w:val="007137C2"/>
    <w:rsid w:val="00713D11"/>
    <w:rsid w:val="0071609A"/>
    <w:rsid w:val="007170C7"/>
    <w:rsid w:val="00717C29"/>
    <w:rsid w:val="00721F18"/>
    <w:rsid w:val="00722175"/>
    <w:rsid w:val="0072388B"/>
    <w:rsid w:val="007238C0"/>
    <w:rsid w:val="00723A5F"/>
    <w:rsid w:val="0072496C"/>
    <w:rsid w:val="00725B96"/>
    <w:rsid w:val="00725DB9"/>
    <w:rsid w:val="0073032E"/>
    <w:rsid w:val="00730B59"/>
    <w:rsid w:val="007321F8"/>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F21"/>
    <w:rsid w:val="00783420"/>
    <w:rsid w:val="00784B05"/>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302A"/>
    <w:rsid w:val="0081359F"/>
    <w:rsid w:val="008146E7"/>
    <w:rsid w:val="00814DE9"/>
    <w:rsid w:val="008155CF"/>
    <w:rsid w:val="00815C37"/>
    <w:rsid w:val="0081675C"/>
    <w:rsid w:val="0081696A"/>
    <w:rsid w:val="00817F44"/>
    <w:rsid w:val="00820343"/>
    <w:rsid w:val="008205A2"/>
    <w:rsid w:val="00821DF8"/>
    <w:rsid w:val="00822F78"/>
    <w:rsid w:val="00824983"/>
    <w:rsid w:val="008249E9"/>
    <w:rsid w:val="008264AA"/>
    <w:rsid w:val="008310E7"/>
    <w:rsid w:val="00831BA4"/>
    <w:rsid w:val="0083281F"/>
    <w:rsid w:val="00832BBF"/>
    <w:rsid w:val="00832D49"/>
    <w:rsid w:val="008334AD"/>
    <w:rsid w:val="00834DD7"/>
    <w:rsid w:val="00834F05"/>
    <w:rsid w:val="00835C9A"/>
    <w:rsid w:val="008374BC"/>
    <w:rsid w:val="00840324"/>
    <w:rsid w:val="008406CB"/>
    <w:rsid w:val="0084182E"/>
    <w:rsid w:val="00841A3C"/>
    <w:rsid w:val="00841EDA"/>
    <w:rsid w:val="008422DA"/>
    <w:rsid w:val="00842303"/>
    <w:rsid w:val="00843089"/>
    <w:rsid w:val="00843FD8"/>
    <w:rsid w:val="00845807"/>
    <w:rsid w:val="008460A8"/>
    <w:rsid w:val="00846261"/>
    <w:rsid w:val="0084690E"/>
    <w:rsid w:val="00846E8B"/>
    <w:rsid w:val="00851689"/>
    <w:rsid w:val="00851AB3"/>
    <w:rsid w:val="0085276A"/>
    <w:rsid w:val="00852ABE"/>
    <w:rsid w:val="00852C90"/>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9069C"/>
    <w:rsid w:val="008927C6"/>
    <w:rsid w:val="0089311C"/>
    <w:rsid w:val="00893E1D"/>
    <w:rsid w:val="00895B37"/>
    <w:rsid w:val="008969BD"/>
    <w:rsid w:val="008969C5"/>
    <w:rsid w:val="008970B6"/>
    <w:rsid w:val="0089722C"/>
    <w:rsid w:val="00897474"/>
    <w:rsid w:val="008978AE"/>
    <w:rsid w:val="00897DE9"/>
    <w:rsid w:val="008A007A"/>
    <w:rsid w:val="008A0549"/>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F4E"/>
    <w:rsid w:val="008D04A4"/>
    <w:rsid w:val="008D19A4"/>
    <w:rsid w:val="008D2182"/>
    <w:rsid w:val="008D2220"/>
    <w:rsid w:val="008D2C45"/>
    <w:rsid w:val="008D2E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738"/>
    <w:rsid w:val="009370CA"/>
    <w:rsid w:val="0093724F"/>
    <w:rsid w:val="00940463"/>
    <w:rsid w:val="00940C28"/>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58F"/>
    <w:rsid w:val="0097466B"/>
    <w:rsid w:val="00974ECD"/>
    <w:rsid w:val="009766D9"/>
    <w:rsid w:val="00976BBA"/>
    <w:rsid w:val="00977315"/>
    <w:rsid w:val="00977502"/>
    <w:rsid w:val="009778BA"/>
    <w:rsid w:val="00977CE0"/>
    <w:rsid w:val="00977DFF"/>
    <w:rsid w:val="0098159E"/>
    <w:rsid w:val="00981B6E"/>
    <w:rsid w:val="0098221E"/>
    <w:rsid w:val="009825EB"/>
    <w:rsid w:val="0098371F"/>
    <w:rsid w:val="00983727"/>
    <w:rsid w:val="00983E45"/>
    <w:rsid w:val="00985802"/>
    <w:rsid w:val="00986005"/>
    <w:rsid w:val="00986963"/>
    <w:rsid w:val="00987B63"/>
    <w:rsid w:val="00987E8D"/>
    <w:rsid w:val="009901C4"/>
    <w:rsid w:val="00990661"/>
    <w:rsid w:val="00991E7E"/>
    <w:rsid w:val="00993868"/>
    <w:rsid w:val="00994212"/>
    <w:rsid w:val="00994A81"/>
    <w:rsid w:val="00995130"/>
    <w:rsid w:val="00995252"/>
    <w:rsid w:val="009954D3"/>
    <w:rsid w:val="0099579B"/>
    <w:rsid w:val="0099651C"/>
    <w:rsid w:val="009A16E2"/>
    <w:rsid w:val="009A1910"/>
    <w:rsid w:val="009A245E"/>
    <w:rsid w:val="009A2535"/>
    <w:rsid w:val="009A2E65"/>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1B99"/>
    <w:rsid w:val="009C504D"/>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6CC1"/>
    <w:rsid w:val="009E79DA"/>
    <w:rsid w:val="009F2445"/>
    <w:rsid w:val="009F4989"/>
    <w:rsid w:val="009F78C1"/>
    <w:rsid w:val="009F7FFC"/>
    <w:rsid w:val="00A00CAC"/>
    <w:rsid w:val="00A01F38"/>
    <w:rsid w:val="00A02327"/>
    <w:rsid w:val="00A0241F"/>
    <w:rsid w:val="00A026D0"/>
    <w:rsid w:val="00A02D68"/>
    <w:rsid w:val="00A03BFE"/>
    <w:rsid w:val="00A11A71"/>
    <w:rsid w:val="00A1284C"/>
    <w:rsid w:val="00A1346D"/>
    <w:rsid w:val="00A13D48"/>
    <w:rsid w:val="00A140BE"/>
    <w:rsid w:val="00A14274"/>
    <w:rsid w:val="00A1450E"/>
    <w:rsid w:val="00A1535C"/>
    <w:rsid w:val="00A15B6E"/>
    <w:rsid w:val="00A160D7"/>
    <w:rsid w:val="00A1765E"/>
    <w:rsid w:val="00A2042E"/>
    <w:rsid w:val="00A21CEA"/>
    <w:rsid w:val="00A221D5"/>
    <w:rsid w:val="00A22667"/>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23E7"/>
    <w:rsid w:val="00A333CF"/>
    <w:rsid w:val="00A35529"/>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64A7"/>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3DB2"/>
    <w:rsid w:val="00A746A7"/>
    <w:rsid w:val="00A74911"/>
    <w:rsid w:val="00A75259"/>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633E"/>
    <w:rsid w:val="00B374C0"/>
    <w:rsid w:val="00B37840"/>
    <w:rsid w:val="00B37C78"/>
    <w:rsid w:val="00B402DC"/>
    <w:rsid w:val="00B40C23"/>
    <w:rsid w:val="00B41FB6"/>
    <w:rsid w:val="00B427F1"/>
    <w:rsid w:val="00B431F5"/>
    <w:rsid w:val="00B437E0"/>
    <w:rsid w:val="00B446A3"/>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EBC"/>
    <w:rsid w:val="00BB6120"/>
    <w:rsid w:val="00BB6BA7"/>
    <w:rsid w:val="00BB701B"/>
    <w:rsid w:val="00BB7505"/>
    <w:rsid w:val="00BB7668"/>
    <w:rsid w:val="00BC1706"/>
    <w:rsid w:val="00BC1D22"/>
    <w:rsid w:val="00BC3397"/>
    <w:rsid w:val="00BC4109"/>
    <w:rsid w:val="00BC440C"/>
    <w:rsid w:val="00BC536A"/>
    <w:rsid w:val="00BC5953"/>
    <w:rsid w:val="00BC5F1B"/>
    <w:rsid w:val="00BC6552"/>
    <w:rsid w:val="00BC6F07"/>
    <w:rsid w:val="00BC71D9"/>
    <w:rsid w:val="00BC7432"/>
    <w:rsid w:val="00BC7C52"/>
    <w:rsid w:val="00BD01A5"/>
    <w:rsid w:val="00BD0DB3"/>
    <w:rsid w:val="00BD0FB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825"/>
    <w:rsid w:val="00C965E0"/>
    <w:rsid w:val="00C976B2"/>
    <w:rsid w:val="00C97A95"/>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60C8"/>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A64"/>
    <w:rsid w:val="00D37C85"/>
    <w:rsid w:val="00D415E1"/>
    <w:rsid w:val="00D41A24"/>
    <w:rsid w:val="00D42516"/>
    <w:rsid w:val="00D431C5"/>
    <w:rsid w:val="00D440E4"/>
    <w:rsid w:val="00D44ACE"/>
    <w:rsid w:val="00D44EB1"/>
    <w:rsid w:val="00D44FE7"/>
    <w:rsid w:val="00D46F79"/>
    <w:rsid w:val="00D50735"/>
    <w:rsid w:val="00D50D8D"/>
    <w:rsid w:val="00D52784"/>
    <w:rsid w:val="00D529DD"/>
    <w:rsid w:val="00D52EF5"/>
    <w:rsid w:val="00D535A3"/>
    <w:rsid w:val="00D53CB1"/>
    <w:rsid w:val="00D5487A"/>
    <w:rsid w:val="00D54883"/>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6271"/>
    <w:rsid w:val="00E66D70"/>
    <w:rsid w:val="00E671C8"/>
    <w:rsid w:val="00E67C6F"/>
    <w:rsid w:val="00E70D67"/>
    <w:rsid w:val="00E7164D"/>
    <w:rsid w:val="00E71C8F"/>
    <w:rsid w:val="00E721CD"/>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3FC"/>
    <w:rsid w:val="00F0724C"/>
    <w:rsid w:val="00F11B50"/>
    <w:rsid w:val="00F1207E"/>
    <w:rsid w:val="00F12CE8"/>
    <w:rsid w:val="00F1326A"/>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48EF"/>
    <w:rsid w:val="00F44CAB"/>
    <w:rsid w:val="00F45974"/>
    <w:rsid w:val="00F45E29"/>
    <w:rsid w:val="00F45F42"/>
    <w:rsid w:val="00F46491"/>
    <w:rsid w:val="00F50BD9"/>
    <w:rsid w:val="00F50CFB"/>
    <w:rsid w:val="00F50ECD"/>
    <w:rsid w:val="00F50EDB"/>
    <w:rsid w:val="00F51497"/>
    <w:rsid w:val="00F5155D"/>
    <w:rsid w:val="00F5159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D002F"/>
    <w:rsid w:val="00FD054D"/>
    <w:rsid w:val="00FD1E57"/>
    <w:rsid w:val="00FD2533"/>
    <w:rsid w:val="00FD3291"/>
    <w:rsid w:val="00FD35A9"/>
    <w:rsid w:val="00FD3DDE"/>
    <w:rsid w:val="00FD461A"/>
    <w:rsid w:val="00FD4660"/>
    <w:rsid w:val="00FD4FAB"/>
    <w:rsid w:val="00FD5E5E"/>
    <w:rsid w:val="00FD788A"/>
    <w:rsid w:val="00FE0C18"/>
    <w:rsid w:val="00FE1461"/>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5310"/>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7E9B8B70-688C-4653-9300-E21F6BBD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551</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3</cp:revision>
  <cp:lastPrinted>2012-09-28T20:55:00Z</cp:lastPrinted>
  <dcterms:created xsi:type="dcterms:W3CDTF">2013-04-04T23:26:00Z</dcterms:created>
  <dcterms:modified xsi:type="dcterms:W3CDTF">2013-04-05T23:27:00Z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