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C53197" w:rsidRDefault="00A65F7E" w:rsidP="004D1E8C">
      <w:pPr>
        <w:pStyle w:val="Header"/>
        <w:rPr>
          <w:bCs/>
          <w:color w:val="000000"/>
          <w:sz w:val="28"/>
          <w:szCs w:val="28"/>
        </w:rPr>
      </w:pPr>
      <w:bookmarkStart w:id="0" w:name="OLE_LINK3"/>
      <w:r>
        <w:rPr>
          <w:bCs/>
          <w:color w:val="000000"/>
          <w:sz w:val="28"/>
          <w:szCs w:val="28"/>
        </w:rPr>
        <w:t>3GPP TSG RAN WG4 Meeting #</w:t>
      </w:r>
      <w:r w:rsidR="00D73EA6">
        <w:rPr>
          <w:bCs/>
          <w:color w:val="000000"/>
          <w:sz w:val="28"/>
          <w:szCs w:val="28"/>
        </w:rPr>
        <w:t>6</w:t>
      </w:r>
      <w:r w:rsidR="00F56EB0">
        <w:rPr>
          <w:bCs/>
          <w:color w:val="000000"/>
          <w:sz w:val="28"/>
          <w:szCs w:val="28"/>
        </w:rPr>
        <w:t>5</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R4</w:t>
      </w:r>
      <w:r w:rsidR="00C53197">
        <w:rPr>
          <w:bCs/>
          <w:color w:val="000000"/>
          <w:sz w:val="28"/>
          <w:szCs w:val="28"/>
        </w:rPr>
        <w:t>-</w:t>
      </w:r>
      <w:r w:rsidR="00D73EA6">
        <w:rPr>
          <w:bCs/>
          <w:color w:val="000000"/>
          <w:sz w:val="28"/>
          <w:szCs w:val="28"/>
        </w:rPr>
        <w:t>12</w:t>
      </w:r>
      <w:r w:rsidR="00F56EB0">
        <w:rPr>
          <w:bCs/>
          <w:color w:val="000000"/>
          <w:sz w:val="28"/>
          <w:szCs w:val="28"/>
        </w:rPr>
        <w:t>6671</w:t>
      </w:r>
    </w:p>
    <w:p w:rsidR="009E154B" w:rsidRDefault="00F56EB0" w:rsidP="009E154B">
      <w:pPr>
        <w:pStyle w:val="Header"/>
        <w:rPr>
          <w:bCs/>
          <w:color w:val="000000"/>
          <w:sz w:val="28"/>
          <w:szCs w:val="28"/>
          <w:lang w:val="en-US"/>
        </w:rPr>
      </w:pPr>
      <w:r>
        <w:rPr>
          <w:bCs/>
          <w:color w:val="000000"/>
          <w:sz w:val="28"/>
          <w:szCs w:val="28"/>
          <w:lang w:val="en-US"/>
        </w:rPr>
        <w:t>New Orleans, U.S.A.</w:t>
      </w:r>
    </w:p>
    <w:p w:rsidR="009E154B" w:rsidRPr="009E154B" w:rsidRDefault="001C12BD" w:rsidP="009E154B">
      <w:pPr>
        <w:pStyle w:val="Header"/>
        <w:rPr>
          <w:bCs/>
          <w:color w:val="000000"/>
          <w:sz w:val="28"/>
          <w:szCs w:val="28"/>
        </w:rPr>
      </w:pPr>
      <w:r>
        <w:rPr>
          <w:bCs/>
          <w:color w:val="000000"/>
          <w:sz w:val="28"/>
          <w:szCs w:val="28"/>
        </w:rPr>
        <w:t xml:space="preserve">August </w:t>
      </w:r>
      <w:r w:rsidR="00F56EB0">
        <w:rPr>
          <w:bCs/>
          <w:color w:val="000000"/>
          <w:sz w:val="28"/>
          <w:szCs w:val="28"/>
        </w:rPr>
        <w:t>12</w:t>
      </w:r>
      <w:r w:rsidR="00F56EB0" w:rsidRPr="00F56EB0">
        <w:rPr>
          <w:bCs/>
          <w:color w:val="000000"/>
          <w:sz w:val="28"/>
          <w:szCs w:val="28"/>
          <w:vertAlign w:val="superscript"/>
        </w:rPr>
        <w:t>th</w:t>
      </w:r>
      <w:r w:rsidR="00F56EB0">
        <w:rPr>
          <w:bCs/>
          <w:color w:val="000000"/>
          <w:sz w:val="28"/>
          <w:szCs w:val="28"/>
        </w:rPr>
        <w:t>-16</w:t>
      </w:r>
      <w:r w:rsidR="00F56EB0" w:rsidRPr="00F56EB0">
        <w:rPr>
          <w:bCs/>
          <w:color w:val="000000"/>
          <w:sz w:val="28"/>
          <w:szCs w:val="28"/>
          <w:vertAlign w:val="superscript"/>
        </w:rPr>
        <w:t>th</w:t>
      </w:r>
      <w:r w:rsidR="009E154B" w:rsidRPr="009E154B">
        <w:rPr>
          <w:bCs/>
          <w:color w:val="000000"/>
          <w:sz w:val="28"/>
          <w:szCs w:val="28"/>
        </w:rPr>
        <w:t>, 2012</w:t>
      </w:r>
    </w:p>
    <w:p w:rsidR="004D1E8C" w:rsidRPr="00C53197" w:rsidRDefault="004D1E8C" w:rsidP="004D1E8C">
      <w:pPr>
        <w:pStyle w:val="Header"/>
        <w:rPr>
          <w:bCs/>
          <w:color w:val="000000"/>
          <w:sz w:val="28"/>
          <w:szCs w:val="28"/>
          <w:lang w:val="en-US"/>
        </w:rPr>
      </w:pPr>
    </w:p>
    <w:p w:rsidR="004D1E8C" w:rsidRPr="00C53197" w:rsidRDefault="004D1E8C" w:rsidP="004D1E8C">
      <w:pPr>
        <w:pStyle w:val="Header"/>
        <w:rPr>
          <w:noProof w:val="0"/>
          <w:color w:val="000000"/>
          <w:sz w:val="28"/>
          <w:szCs w:val="28"/>
          <w:lang w:val="en-US"/>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F56EB0">
        <w:rPr>
          <w:rFonts w:ascii="Arial" w:hAnsi="Arial" w:cs="Arial"/>
          <w:b/>
          <w:szCs w:val="24"/>
        </w:rPr>
        <w:t>6.1.1</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F56EB0">
        <w:rPr>
          <w:bCs/>
          <w:sz w:val="24"/>
          <w:szCs w:val="24"/>
        </w:rPr>
        <w:t>Reducing MPR for Multi-Cluster Transmission</w:t>
      </w:r>
      <w:r w:rsidR="00FE194C">
        <w:rPr>
          <w:bCs/>
          <w:sz w:val="24"/>
          <w:szCs w:val="24"/>
        </w:rPr>
        <w:t>s</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5E0F70">
        <w:rPr>
          <w:rFonts w:ascii="Arial" w:hAnsi="Arial"/>
          <w:b/>
          <w:color w:val="000000"/>
        </w:rPr>
        <w:t xml:space="preserve">ument for:   </w:t>
      </w:r>
      <w:r w:rsidR="009E154B">
        <w:rPr>
          <w:rFonts w:ascii="Arial" w:hAnsi="Arial"/>
          <w:b/>
          <w:color w:val="000000"/>
        </w:rPr>
        <w:t>Discussion</w:t>
      </w:r>
    </w:p>
    <w:bookmarkEnd w:id="0"/>
    <w:p w:rsidR="00900DAE" w:rsidRDefault="00900DAE" w:rsidP="006B6438">
      <w:pPr>
        <w:pStyle w:val="Heading1"/>
        <w:spacing w:after="120"/>
        <w:jc w:val="both"/>
        <w:rPr>
          <w:b/>
          <w:color w:val="000000"/>
        </w:rPr>
      </w:pPr>
      <w:r w:rsidRPr="003D1980">
        <w:rPr>
          <w:b/>
          <w:color w:val="000000"/>
        </w:rPr>
        <w:t>Introduction</w:t>
      </w:r>
    </w:p>
    <w:p w:rsidR="00CE1CC0" w:rsidRPr="00F9345A" w:rsidRDefault="00EB29B1" w:rsidP="00F56EB0">
      <w:pPr>
        <w:rPr>
          <w:sz w:val="22"/>
          <w:szCs w:val="22"/>
        </w:rPr>
      </w:pPr>
      <w:r w:rsidRPr="00F9345A">
        <w:rPr>
          <w:sz w:val="22"/>
          <w:szCs w:val="22"/>
        </w:rPr>
        <w:t>The topic</w:t>
      </w:r>
      <w:r w:rsidR="00F56EB0" w:rsidRPr="00F9345A">
        <w:rPr>
          <w:sz w:val="22"/>
          <w:szCs w:val="22"/>
        </w:rPr>
        <w:t xml:space="preserve"> of MPR for multi-cluster transmission has been discussed extensively</w:t>
      </w:r>
      <w:r w:rsidRPr="00F9345A">
        <w:rPr>
          <w:sz w:val="22"/>
          <w:szCs w:val="22"/>
        </w:rPr>
        <w:t xml:space="preserve"> in RAN4 </w:t>
      </w:r>
      <w:r w:rsidR="00145094" w:rsidRPr="00F9345A">
        <w:rPr>
          <w:sz w:val="22"/>
          <w:szCs w:val="22"/>
        </w:rPr>
        <w:t>over the past year</w:t>
      </w:r>
      <w:r w:rsidRPr="00F9345A">
        <w:rPr>
          <w:sz w:val="22"/>
          <w:szCs w:val="22"/>
        </w:rPr>
        <w:t xml:space="preserve">.  The specification of </w:t>
      </w:r>
      <w:r w:rsidR="008B6E11">
        <w:rPr>
          <w:sz w:val="22"/>
          <w:szCs w:val="22"/>
        </w:rPr>
        <w:t xml:space="preserve">a </w:t>
      </w:r>
      <w:r w:rsidR="00CE1CC0" w:rsidRPr="00F9345A">
        <w:rPr>
          <w:sz w:val="22"/>
          <w:szCs w:val="22"/>
        </w:rPr>
        <w:t xml:space="preserve">multi-cluster </w:t>
      </w:r>
      <w:r w:rsidRPr="00F9345A">
        <w:rPr>
          <w:sz w:val="22"/>
          <w:szCs w:val="22"/>
        </w:rPr>
        <w:t xml:space="preserve">MPR </w:t>
      </w:r>
      <w:r w:rsidR="008B6E11">
        <w:rPr>
          <w:sz w:val="22"/>
          <w:szCs w:val="22"/>
        </w:rPr>
        <w:t xml:space="preserve">mask </w:t>
      </w:r>
      <w:r w:rsidRPr="00F9345A">
        <w:rPr>
          <w:sz w:val="22"/>
          <w:szCs w:val="22"/>
        </w:rPr>
        <w:t xml:space="preserve">for multiple </w:t>
      </w:r>
      <w:r w:rsidR="00CE1CC0" w:rsidRPr="00F9345A">
        <w:rPr>
          <w:sz w:val="22"/>
          <w:szCs w:val="22"/>
        </w:rPr>
        <w:t xml:space="preserve">contiguous </w:t>
      </w:r>
      <w:r w:rsidRPr="00F9345A">
        <w:rPr>
          <w:sz w:val="22"/>
          <w:szCs w:val="22"/>
        </w:rPr>
        <w:t xml:space="preserve">component carriers has been </w:t>
      </w:r>
      <w:r w:rsidR="00145094" w:rsidRPr="00F9345A">
        <w:rPr>
          <w:sz w:val="22"/>
          <w:szCs w:val="22"/>
        </w:rPr>
        <w:t>agreed in TS 36.101, while</w:t>
      </w:r>
      <w:r w:rsidR="00CE1CC0" w:rsidRPr="00F9345A">
        <w:rPr>
          <w:sz w:val="22"/>
          <w:szCs w:val="22"/>
        </w:rPr>
        <w:t xml:space="preserve"> the MPR for a single component carrier is still under discussion.  In both cases, the MPR is specified as a function of the allocation ratio only.  An issue with the method is that it bounds the required MPR more than it actually predicts the MPR.  As a result, for many allocations, the allowed MPR is much greater than is actually required.</w:t>
      </w:r>
    </w:p>
    <w:p w:rsidR="00CE1CC0" w:rsidRPr="00F9345A" w:rsidRDefault="00CE1CC0" w:rsidP="00F56EB0">
      <w:pPr>
        <w:rPr>
          <w:sz w:val="22"/>
          <w:szCs w:val="22"/>
        </w:rPr>
      </w:pPr>
    </w:p>
    <w:p w:rsidR="00CE1CC0" w:rsidRPr="00F9345A" w:rsidRDefault="00CE1CC0" w:rsidP="00F56EB0">
      <w:pPr>
        <w:rPr>
          <w:sz w:val="22"/>
          <w:szCs w:val="22"/>
        </w:rPr>
      </w:pPr>
      <w:r w:rsidRPr="00F9345A">
        <w:rPr>
          <w:sz w:val="22"/>
          <w:szCs w:val="22"/>
        </w:rPr>
        <w:t>In this contribution, we examine some of the factors which drive the MPR req</w:t>
      </w:r>
      <w:r w:rsidR="00F64041" w:rsidRPr="00F9345A">
        <w:rPr>
          <w:sz w:val="22"/>
          <w:szCs w:val="22"/>
        </w:rPr>
        <w:t xml:space="preserve">uirement in order to determine </w:t>
      </w:r>
      <w:r w:rsidR="008B6E11">
        <w:rPr>
          <w:sz w:val="22"/>
          <w:szCs w:val="22"/>
        </w:rPr>
        <w:t xml:space="preserve">if </w:t>
      </w:r>
      <w:r w:rsidR="00F64041" w:rsidRPr="00F9345A">
        <w:rPr>
          <w:sz w:val="22"/>
          <w:szCs w:val="22"/>
        </w:rPr>
        <w:t>it is possible to better predict, and thus better specify, the allowed MPR for multi-cluster transmissions.</w:t>
      </w:r>
    </w:p>
    <w:p w:rsidR="00CE1CC0" w:rsidRDefault="00CE1CC0" w:rsidP="00F56EB0">
      <w:pPr>
        <w:rPr>
          <w:sz w:val="20"/>
        </w:rPr>
      </w:pPr>
    </w:p>
    <w:p w:rsidR="001F6E76" w:rsidRDefault="00BF6BE8" w:rsidP="001F6E76">
      <w:pPr>
        <w:pStyle w:val="Heading1"/>
        <w:spacing w:after="120"/>
        <w:jc w:val="both"/>
        <w:rPr>
          <w:b/>
          <w:color w:val="000000"/>
        </w:rPr>
      </w:pPr>
      <w:r>
        <w:rPr>
          <w:b/>
          <w:color w:val="000000"/>
        </w:rPr>
        <w:t xml:space="preserve">PA </w:t>
      </w:r>
      <w:r w:rsidR="0022379D">
        <w:rPr>
          <w:b/>
          <w:color w:val="000000"/>
        </w:rPr>
        <w:t xml:space="preserve">non-linearity </w:t>
      </w:r>
      <w:r>
        <w:rPr>
          <w:b/>
          <w:color w:val="000000"/>
        </w:rPr>
        <w:t>contributions to undesired emissions</w:t>
      </w:r>
    </w:p>
    <w:p w:rsidR="00951F6D" w:rsidRPr="00F9345A" w:rsidRDefault="00951F6D" w:rsidP="00951F6D">
      <w:pPr>
        <w:rPr>
          <w:sz w:val="22"/>
        </w:rPr>
      </w:pPr>
      <w:r w:rsidRPr="00F9345A">
        <w:rPr>
          <w:sz w:val="22"/>
        </w:rPr>
        <w:t xml:space="preserve">The power amplifier is </w:t>
      </w:r>
      <w:r w:rsidR="00C971FA" w:rsidRPr="00F9345A">
        <w:rPr>
          <w:sz w:val="22"/>
        </w:rPr>
        <w:t>typically</w:t>
      </w:r>
      <w:r w:rsidRPr="00F9345A">
        <w:rPr>
          <w:sz w:val="22"/>
        </w:rPr>
        <w:t xml:space="preserve"> modelled as a power series.  In some models, the AM-to-AM and PM-to-PM behaviours are captured separately, while in others such as [</w:t>
      </w:r>
      <w:r w:rsidR="00AD49D6" w:rsidRPr="00F9345A">
        <w:rPr>
          <w:sz w:val="22"/>
        </w:rPr>
        <w:t>1</w:t>
      </w:r>
      <w:r w:rsidRPr="00F9345A">
        <w:rPr>
          <w:sz w:val="22"/>
        </w:rPr>
        <w:t>], a single power series is used to capture the non-linear behaviour of the PA.  In the latter case, the PA can be modelled as</w:t>
      </w:r>
    </w:p>
    <w:p w:rsidR="00951F6D" w:rsidRPr="00F9345A" w:rsidRDefault="00951F6D" w:rsidP="00951F6D">
      <w:pPr>
        <w:rPr>
          <w:sz w:val="22"/>
        </w:rPr>
      </w:pPr>
    </w:p>
    <w:p w:rsidR="009B7AAF" w:rsidRPr="00F9345A" w:rsidRDefault="005A049E" w:rsidP="009B7AAF">
      <w:pPr>
        <w:jc w:val="center"/>
        <w:rPr>
          <w:sz w:val="22"/>
        </w:rPr>
      </w:pPr>
      <w:r w:rsidRPr="00F9345A">
        <w:rPr>
          <w:position w:val="-12"/>
          <w:sz w:val="22"/>
        </w:rPr>
        <w:object w:dxaOrig="56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pt;height:18.6pt" o:ole="">
            <v:imagedata r:id="rId7" o:title=""/>
          </v:shape>
          <o:OLEObject Type="Embed" ProgID="Equation.3" ShapeID="_x0000_i1025" DrawAspect="Content" ObjectID="_1413646499" r:id="rId8"/>
        </w:object>
      </w:r>
    </w:p>
    <w:p w:rsidR="009B7AAF" w:rsidRPr="00F9345A" w:rsidRDefault="009B7AAF" w:rsidP="00951F6D">
      <w:pPr>
        <w:rPr>
          <w:sz w:val="22"/>
        </w:rPr>
      </w:pPr>
    </w:p>
    <w:p w:rsidR="00BF6BE8" w:rsidRDefault="00C971FA" w:rsidP="00951F6D">
      <w:pPr>
        <w:rPr>
          <w:sz w:val="22"/>
        </w:rPr>
      </w:pPr>
      <w:r w:rsidRPr="00F9345A">
        <w:rPr>
          <w:sz w:val="22"/>
        </w:rPr>
        <w:t>In general,</w:t>
      </w:r>
      <w:r w:rsidR="00951F6D" w:rsidRPr="00F9345A">
        <w:rPr>
          <w:sz w:val="22"/>
        </w:rPr>
        <w:t xml:space="preserve"> non-linear terms of the power series generate </w:t>
      </w:r>
      <w:r w:rsidRPr="00F9345A">
        <w:rPr>
          <w:sz w:val="22"/>
        </w:rPr>
        <w:t xml:space="preserve">spectral components both at the carrier frequency and at harmonics of the carrier frequency.  However, only the odd order terms of the power series produce spectral components at the carrier frequency which impact the ACLR domain.  Of these, the dominant contribution to the ACLR domain is from the third order term.  </w:t>
      </w:r>
      <w:r w:rsidR="00BF6BE8" w:rsidRPr="00F9345A">
        <w:rPr>
          <w:sz w:val="22"/>
        </w:rPr>
        <w:t xml:space="preserve">Under some Gaussian assumptions, the power spectrum at the carrier frequency </w:t>
      </w:r>
      <w:r w:rsidR="00BF6BE8" w:rsidRPr="00F9345A">
        <w:rPr>
          <w:position w:val="-12"/>
          <w:sz w:val="22"/>
        </w:rPr>
        <w:object w:dxaOrig="260" w:dyaOrig="360">
          <v:shape id="_x0000_i1026" type="#_x0000_t75" style="width:13.2pt;height:18pt" o:ole="">
            <v:imagedata r:id="rId9" o:title=""/>
          </v:shape>
          <o:OLEObject Type="Embed" ProgID="Equation.3" ShapeID="_x0000_i1026" DrawAspect="Content" ObjectID="_1413646500" r:id="rId10"/>
        </w:object>
      </w:r>
      <w:r w:rsidR="00BF6BE8" w:rsidRPr="00F9345A">
        <w:rPr>
          <w:sz w:val="22"/>
        </w:rPr>
        <w:t xml:space="preserve">  due to the third order term can be shown to be proportional to </w:t>
      </w:r>
    </w:p>
    <w:p w:rsidR="00D42F74" w:rsidRPr="00F9345A" w:rsidRDefault="00D42F74" w:rsidP="00951F6D">
      <w:pPr>
        <w:rPr>
          <w:sz w:val="22"/>
        </w:rPr>
      </w:pPr>
    </w:p>
    <w:p w:rsidR="00BF6BE8" w:rsidRPr="00F9345A" w:rsidRDefault="00AC4C7C" w:rsidP="00BF6BE8">
      <w:pPr>
        <w:jc w:val="center"/>
        <w:rPr>
          <w:sz w:val="22"/>
        </w:rPr>
      </w:pPr>
      <w:r w:rsidRPr="00F9345A">
        <w:rPr>
          <w:position w:val="-12"/>
          <w:sz w:val="22"/>
        </w:rPr>
        <w:object w:dxaOrig="3379" w:dyaOrig="360">
          <v:shape id="_x0000_i1027" type="#_x0000_t75" style="width:169.2pt;height:18pt" o:ole="">
            <v:imagedata r:id="rId11" o:title=""/>
          </v:shape>
          <o:OLEObject Type="Embed" ProgID="Equation.3" ShapeID="_x0000_i1027" DrawAspect="Content" ObjectID="_1413646501" r:id="rId12"/>
        </w:object>
      </w:r>
    </w:p>
    <w:p w:rsidR="005A049E" w:rsidRPr="00F9345A" w:rsidRDefault="005A049E" w:rsidP="00951F6D">
      <w:pPr>
        <w:rPr>
          <w:sz w:val="22"/>
        </w:rPr>
      </w:pPr>
    </w:p>
    <w:p w:rsidR="00BF6BE8" w:rsidRPr="00F9345A" w:rsidRDefault="00BF6BE8" w:rsidP="00951F6D">
      <w:pPr>
        <w:rPr>
          <w:sz w:val="22"/>
        </w:rPr>
      </w:pPr>
      <w:proofErr w:type="gramStart"/>
      <w:r w:rsidRPr="00F9345A">
        <w:rPr>
          <w:sz w:val="22"/>
        </w:rPr>
        <w:t>where</w:t>
      </w:r>
      <w:proofErr w:type="gramEnd"/>
      <w:r w:rsidR="00762C5F" w:rsidRPr="00F9345A">
        <w:rPr>
          <w:sz w:val="22"/>
        </w:rPr>
        <w:t xml:space="preserve"> </w:t>
      </w:r>
      <w:r w:rsidR="00762C5F" w:rsidRPr="00F9345A">
        <w:rPr>
          <w:position w:val="-6"/>
          <w:sz w:val="22"/>
        </w:rPr>
        <w:object w:dxaOrig="260" w:dyaOrig="279">
          <v:shape id="_x0000_i1028" type="#_x0000_t75" style="width:13.2pt;height:13.8pt" o:ole="">
            <v:imagedata r:id="rId13" o:title=""/>
          </v:shape>
          <o:OLEObject Type="Embed" ProgID="Equation.3" ShapeID="_x0000_i1028" DrawAspect="Content" ObjectID="_1413646502" r:id="rId14"/>
        </w:object>
      </w:r>
      <w:r w:rsidR="00762C5F" w:rsidRPr="00F9345A">
        <w:rPr>
          <w:sz w:val="22"/>
        </w:rPr>
        <w:t xml:space="preserve"> denotes convolution and</w:t>
      </w:r>
      <w:r w:rsidRPr="00F9345A">
        <w:rPr>
          <w:sz w:val="22"/>
        </w:rPr>
        <w:t xml:space="preserve"> </w:t>
      </w:r>
      <w:r w:rsidR="00EB7C7F" w:rsidRPr="00F9345A">
        <w:rPr>
          <w:position w:val="-10"/>
          <w:sz w:val="22"/>
        </w:rPr>
        <w:object w:dxaOrig="540" w:dyaOrig="340">
          <v:shape id="_x0000_i1029" type="#_x0000_t75" style="width:27pt;height:16.8pt" o:ole="">
            <v:imagedata r:id="rId15" o:title=""/>
          </v:shape>
          <o:OLEObject Type="Embed" ProgID="Equation.3" ShapeID="_x0000_i1029" DrawAspect="Content" ObjectID="_1413646503" r:id="rId16"/>
        </w:object>
      </w:r>
      <w:r w:rsidRPr="00F9345A">
        <w:rPr>
          <w:sz w:val="22"/>
        </w:rPr>
        <w:t xml:space="preserve"> is the power spectrum</w:t>
      </w:r>
      <w:r w:rsidR="00D42F74">
        <w:rPr>
          <w:sz w:val="22"/>
        </w:rPr>
        <w:t xml:space="preserve"> for the allocation </w:t>
      </w:r>
      <w:r w:rsidRPr="00F9345A">
        <w:rPr>
          <w:sz w:val="22"/>
        </w:rPr>
        <w:t xml:space="preserve">at the output of the modulator.  In addition to the desired allocation, </w:t>
      </w:r>
      <w:r w:rsidR="00EB7C7F" w:rsidRPr="00F9345A">
        <w:rPr>
          <w:position w:val="-10"/>
          <w:sz w:val="22"/>
        </w:rPr>
        <w:object w:dxaOrig="540" w:dyaOrig="340">
          <v:shape id="_x0000_i1030" type="#_x0000_t75" style="width:27pt;height:16.8pt" o:ole="">
            <v:imagedata r:id="rId17" o:title=""/>
          </v:shape>
          <o:OLEObject Type="Embed" ProgID="Equation.3" ShapeID="_x0000_i1030" DrawAspect="Content" ObjectID="_1413646504" r:id="rId18"/>
        </w:object>
      </w:r>
      <w:r w:rsidRPr="00F9345A">
        <w:rPr>
          <w:sz w:val="22"/>
        </w:rPr>
        <w:t xml:space="preserve"> will include contributions from impairments such as LO leakage, IQ image, counter IM3.  In addressing only general emissions requirements such as t</w:t>
      </w:r>
      <w:r w:rsidR="00D42F74">
        <w:rPr>
          <w:sz w:val="22"/>
        </w:rPr>
        <w:t>he general spectral emissions mask</w:t>
      </w:r>
      <w:r w:rsidRPr="00F9345A">
        <w:rPr>
          <w:sz w:val="22"/>
        </w:rPr>
        <w:t xml:space="preserve"> </w:t>
      </w:r>
      <w:r w:rsidR="00D42F74">
        <w:rPr>
          <w:sz w:val="22"/>
        </w:rPr>
        <w:t>(</w:t>
      </w:r>
      <w:r w:rsidRPr="00F9345A">
        <w:rPr>
          <w:sz w:val="22"/>
        </w:rPr>
        <w:t>SEM</w:t>
      </w:r>
      <w:r w:rsidR="00D42F74">
        <w:rPr>
          <w:sz w:val="22"/>
        </w:rPr>
        <w:t>), UTRA</w:t>
      </w:r>
      <w:r w:rsidRPr="00D42F74">
        <w:rPr>
          <w:sz w:val="22"/>
          <w:vertAlign w:val="subscript"/>
        </w:rPr>
        <w:t>ACLR1</w:t>
      </w:r>
      <w:r w:rsidR="00D42F74">
        <w:rPr>
          <w:sz w:val="22"/>
        </w:rPr>
        <w:t>, UTRA</w:t>
      </w:r>
      <w:r w:rsidRPr="00D42F74">
        <w:rPr>
          <w:sz w:val="22"/>
          <w:vertAlign w:val="subscript"/>
        </w:rPr>
        <w:t>ACLR2</w:t>
      </w:r>
      <w:r w:rsidR="00D42F74">
        <w:rPr>
          <w:sz w:val="22"/>
        </w:rPr>
        <w:t>, E-UTRA</w:t>
      </w:r>
      <w:r w:rsidRPr="00D42F74">
        <w:rPr>
          <w:sz w:val="22"/>
          <w:vertAlign w:val="subscript"/>
        </w:rPr>
        <w:t>ACLR</w:t>
      </w:r>
      <w:r w:rsidRPr="00F9345A">
        <w:rPr>
          <w:sz w:val="22"/>
        </w:rPr>
        <w:t xml:space="preserve">, and the general spurious emissions requirements, it may not be necessary to include the modulator impairments </w:t>
      </w:r>
      <w:proofErr w:type="gramStart"/>
      <w:r w:rsidRPr="00F9345A">
        <w:rPr>
          <w:sz w:val="22"/>
        </w:rPr>
        <w:t xml:space="preserve">in </w:t>
      </w:r>
      <w:proofErr w:type="gramEnd"/>
      <w:r w:rsidR="00EB7C7F" w:rsidRPr="00F9345A">
        <w:rPr>
          <w:position w:val="-10"/>
          <w:sz w:val="22"/>
        </w:rPr>
        <w:object w:dxaOrig="540" w:dyaOrig="340">
          <v:shape id="_x0000_i1031" type="#_x0000_t75" style="width:27pt;height:16.8pt" o:ole="">
            <v:imagedata r:id="rId19" o:title=""/>
          </v:shape>
          <o:OLEObject Type="Embed" ProgID="Equation.3" ShapeID="_x0000_i1031" DrawAspect="Content" ObjectID="_1413646505" r:id="rId20"/>
        </w:object>
      </w:r>
      <w:r w:rsidRPr="00F9345A">
        <w:rPr>
          <w:sz w:val="22"/>
        </w:rPr>
        <w:t>.</w:t>
      </w:r>
      <w:r w:rsidR="00122BFC" w:rsidRPr="00F9345A">
        <w:rPr>
          <w:sz w:val="22"/>
        </w:rPr>
        <w:t xml:space="preserve">  It </w:t>
      </w:r>
      <w:r w:rsidR="00D42F74">
        <w:rPr>
          <w:sz w:val="22"/>
        </w:rPr>
        <w:t>can</w:t>
      </w:r>
      <w:r w:rsidR="00122BFC" w:rsidRPr="00F9345A">
        <w:rPr>
          <w:sz w:val="22"/>
        </w:rPr>
        <w:t xml:space="preserve"> be noted that the third order term given above does not reach beyond the ACLR region, and thus does not impact the spurious domain.</w:t>
      </w:r>
    </w:p>
    <w:p w:rsidR="00BF6BE8" w:rsidRPr="00F9345A" w:rsidRDefault="00BF6BE8" w:rsidP="00951F6D">
      <w:pPr>
        <w:rPr>
          <w:sz w:val="22"/>
        </w:rPr>
      </w:pPr>
    </w:p>
    <w:p w:rsidR="00122BFC" w:rsidRDefault="0022379D" w:rsidP="00951F6D">
      <w:pPr>
        <w:rPr>
          <w:sz w:val="22"/>
        </w:rPr>
      </w:pPr>
      <w:r w:rsidRPr="00F9345A">
        <w:rPr>
          <w:sz w:val="22"/>
        </w:rPr>
        <w:t xml:space="preserve">While only odd order terms contribute to emissions in the ACLR region, all non-linear terms contribute to emissions in the spurious domain, either in the neighbourhood of the carrier </w:t>
      </w:r>
      <w:proofErr w:type="gramStart"/>
      <w:r w:rsidRPr="00F9345A">
        <w:rPr>
          <w:sz w:val="22"/>
        </w:rPr>
        <w:t>frequency</w:t>
      </w:r>
      <w:r w:rsidR="00F4079A" w:rsidRPr="00F9345A">
        <w:rPr>
          <w:sz w:val="22"/>
        </w:rPr>
        <w:t xml:space="preserve"> </w:t>
      </w:r>
      <w:proofErr w:type="gramEnd"/>
      <w:r w:rsidRPr="00F9345A">
        <w:rPr>
          <w:position w:val="-12"/>
          <w:sz w:val="22"/>
        </w:rPr>
        <w:object w:dxaOrig="260" w:dyaOrig="360">
          <v:shape id="_x0000_i1032" type="#_x0000_t75" style="width:13.2pt;height:18pt" o:ole="">
            <v:imagedata r:id="rId9" o:title=""/>
          </v:shape>
          <o:OLEObject Type="Embed" ProgID="Equation.3" ShapeID="_x0000_i1032" DrawAspect="Content" ObjectID="_1413646506" r:id="rId21"/>
        </w:object>
      </w:r>
      <w:r w:rsidRPr="00F9345A">
        <w:rPr>
          <w:sz w:val="22"/>
        </w:rPr>
        <w:t>, or at a harmonic of this frequency.</w:t>
      </w:r>
      <w:r w:rsidR="00F4079A" w:rsidRPr="00F9345A">
        <w:rPr>
          <w:sz w:val="22"/>
        </w:rPr>
        <w:t xml:space="preserve">  Even order terms do not contribute to spurious emissions in the </w:t>
      </w:r>
      <w:proofErr w:type="spellStart"/>
      <w:r w:rsidR="00D42F74">
        <w:rPr>
          <w:sz w:val="22"/>
        </w:rPr>
        <w:t>neighborhood</w:t>
      </w:r>
      <w:proofErr w:type="spellEnd"/>
      <w:r w:rsidR="00F4079A" w:rsidRPr="00F9345A">
        <w:rPr>
          <w:sz w:val="22"/>
        </w:rPr>
        <w:t xml:space="preserve"> of the carrier frequency, and as a result,</w:t>
      </w:r>
      <w:r w:rsidR="00D42F74">
        <w:rPr>
          <w:sz w:val="22"/>
        </w:rPr>
        <w:t xml:space="preserve"> in this region,</w:t>
      </w:r>
      <w:r w:rsidR="00F4079A" w:rsidRPr="00F9345A">
        <w:rPr>
          <w:sz w:val="22"/>
        </w:rPr>
        <w:t xml:space="preserve"> the dominant contribution to spurious emissions is </w:t>
      </w:r>
      <w:r w:rsidR="00D42F74">
        <w:rPr>
          <w:sz w:val="22"/>
        </w:rPr>
        <w:t xml:space="preserve">due to </w:t>
      </w:r>
      <w:r w:rsidR="00F4079A" w:rsidRPr="00F9345A">
        <w:rPr>
          <w:sz w:val="22"/>
        </w:rPr>
        <w:t xml:space="preserve">the fifth order </w:t>
      </w:r>
      <w:r w:rsidR="00F4079A" w:rsidRPr="00F9345A">
        <w:rPr>
          <w:sz w:val="22"/>
        </w:rPr>
        <w:lastRenderedPageBreak/>
        <w:t xml:space="preserve">term.  </w:t>
      </w:r>
      <w:r w:rsidR="00122BFC" w:rsidRPr="00F9345A">
        <w:rPr>
          <w:sz w:val="22"/>
        </w:rPr>
        <w:t>Under some Gaussian assumptions, t</w:t>
      </w:r>
      <w:r w:rsidR="00F4079A" w:rsidRPr="00F9345A">
        <w:rPr>
          <w:sz w:val="22"/>
        </w:rPr>
        <w:t xml:space="preserve">he power spectrum at the carrier frequency </w:t>
      </w:r>
      <w:r w:rsidR="00F4079A" w:rsidRPr="00F9345A">
        <w:rPr>
          <w:position w:val="-12"/>
          <w:sz w:val="22"/>
        </w:rPr>
        <w:object w:dxaOrig="260" w:dyaOrig="360">
          <v:shape id="_x0000_i1033" type="#_x0000_t75" style="width:13.2pt;height:18pt" o:ole="">
            <v:imagedata r:id="rId9" o:title=""/>
          </v:shape>
          <o:OLEObject Type="Embed" ProgID="Equation.3" ShapeID="_x0000_i1033" DrawAspect="Content" ObjectID="_1413646507" r:id="rId22"/>
        </w:object>
      </w:r>
      <w:r w:rsidR="00F4079A" w:rsidRPr="00F9345A">
        <w:rPr>
          <w:sz w:val="22"/>
        </w:rPr>
        <w:t xml:space="preserve"> due to the fifth order term can be shown to be proportional to </w:t>
      </w:r>
    </w:p>
    <w:p w:rsidR="006D5E76" w:rsidRPr="00F9345A" w:rsidRDefault="006D5E76" w:rsidP="00951F6D">
      <w:pPr>
        <w:rPr>
          <w:sz w:val="22"/>
        </w:rPr>
      </w:pPr>
    </w:p>
    <w:p w:rsidR="00122BFC" w:rsidRPr="00F9345A" w:rsidRDefault="00EB7C7F" w:rsidP="00122BFC">
      <w:pPr>
        <w:jc w:val="center"/>
        <w:rPr>
          <w:sz w:val="22"/>
        </w:rPr>
      </w:pPr>
      <w:r w:rsidRPr="00F9345A">
        <w:rPr>
          <w:position w:val="-12"/>
          <w:sz w:val="22"/>
        </w:rPr>
        <w:object w:dxaOrig="5020" w:dyaOrig="360">
          <v:shape id="_x0000_i1034" type="#_x0000_t75" style="width:250.8pt;height:18pt" o:ole="">
            <v:imagedata r:id="rId23" o:title=""/>
          </v:shape>
          <o:OLEObject Type="Embed" ProgID="Equation.3" ShapeID="_x0000_i1034" DrawAspect="Content" ObjectID="_1413646508" r:id="rId24"/>
        </w:object>
      </w:r>
    </w:p>
    <w:p w:rsidR="00AD49D6" w:rsidRPr="00F9345A" w:rsidRDefault="00AD49D6" w:rsidP="00122BFC">
      <w:pPr>
        <w:rPr>
          <w:sz w:val="22"/>
        </w:rPr>
      </w:pPr>
    </w:p>
    <w:p w:rsidR="00122BFC" w:rsidRPr="00F9345A" w:rsidRDefault="00122BFC" w:rsidP="00122BFC">
      <w:pPr>
        <w:rPr>
          <w:sz w:val="22"/>
        </w:rPr>
      </w:pPr>
      <w:r w:rsidRPr="00F9345A">
        <w:rPr>
          <w:sz w:val="22"/>
        </w:rPr>
        <w:t>The question considered in the remainder of this contribution is whether the above expressions for the emissions due to the third and fifth order terms of the PA non-linearity can be accurately mapped into an MPR requirement for multi-cluster transmissions.</w:t>
      </w:r>
    </w:p>
    <w:p w:rsidR="00C30734" w:rsidRDefault="00122BFC" w:rsidP="00C30734">
      <w:pPr>
        <w:pStyle w:val="Heading1"/>
        <w:spacing w:after="120"/>
        <w:jc w:val="both"/>
        <w:rPr>
          <w:b/>
          <w:color w:val="000000"/>
        </w:rPr>
      </w:pPr>
      <w:r>
        <w:rPr>
          <w:b/>
          <w:color w:val="000000"/>
        </w:rPr>
        <w:t>Emissions Requirements</w:t>
      </w:r>
    </w:p>
    <w:p w:rsidR="00EE3D52" w:rsidRPr="00F9345A" w:rsidRDefault="00EE3D52" w:rsidP="00122BFC">
      <w:pPr>
        <w:rPr>
          <w:sz w:val="22"/>
        </w:rPr>
      </w:pPr>
      <w:r w:rsidRPr="00F9345A">
        <w:rPr>
          <w:sz w:val="22"/>
        </w:rPr>
        <w:t xml:space="preserve">The following emissions requirements are </w:t>
      </w:r>
      <w:r w:rsidR="008F0E8F" w:rsidRPr="00F9345A">
        <w:rPr>
          <w:sz w:val="22"/>
        </w:rPr>
        <w:t>applied</w:t>
      </w:r>
      <w:r w:rsidRPr="00F9345A">
        <w:rPr>
          <w:sz w:val="22"/>
        </w:rPr>
        <w:t>:</w:t>
      </w:r>
    </w:p>
    <w:p w:rsidR="00EE3D52" w:rsidRPr="00F9345A" w:rsidRDefault="00EE3D52" w:rsidP="00122BFC">
      <w:pPr>
        <w:rPr>
          <w:sz w:val="22"/>
        </w:rPr>
      </w:pPr>
    </w:p>
    <w:p w:rsidR="008F0E8F" w:rsidRPr="00F9345A" w:rsidRDefault="00EE3D52" w:rsidP="008F0E8F">
      <w:pPr>
        <w:numPr>
          <w:ilvl w:val="0"/>
          <w:numId w:val="26"/>
        </w:numPr>
        <w:rPr>
          <w:sz w:val="22"/>
        </w:rPr>
      </w:pPr>
      <w:r w:rsidRPr="00F9345A">
        <w:rPr>
          <w:sz w:val="22"/>
        </w:rPr>
        <w:t>UTRA</w:t>
      </w:r>
      <w:r w:rsidRPr="00F9345A">
        <w:rPr>
          <w:sz w:val="22"/>
          <w:vertAlign w:val="subscript"/>
        </w:rPr>
        <w:t>ACLR1</w:t>
      </w:r>
      <w:r w:rsidRPr="00F9345A">
        <w:rPr>
          <w:sz w:val="22"/>
        </w:rPr>
        <w:t xml:space="preserve"> = 33 dB</w:t>
      </w:r>
    </w:p>
    <w:p w:rsidR="00EE3D52" w:rsidRPr="00F9345A" w:rsidRDefault="00EE3D52" w:rsidP="008F0E8F">
      <w:pPr>
        <w:numPr>
          <w:ilvl w:val="0"/>
          <w:numId w:val="26"/>
        </w:numPr>
        <w:rPr>
          <w:sz w:val="22"/>
        </w:rPr>
      </w:pPr>
      <w:r w:rsidRPr="00F9345A">
        <w:rPr>
          <w:sz w:val="22"/>
        </w:rPr>
        <w:t>UTRA</w:t>
      </w:r>
      <w:r w:rsidRPr="00F9345A">
        <w:rPr>
          <w:sz w:val="22"/>
          <w:vertAlign w:val="subscript"/>
        </w:rPr>
        <w:t>ACLR2</w:t>
      </w:r>
      <w:r w:rsidRPr="00F9345A">
        <w:rPr>
          <w:sz w:val="22"/>
        </w:rPr>
        <w:t xml:space="preserve"> = 36 dB</w:t>
      </w:r>
    </w:p>
    <w:p w:rsidR="00EE3D52" w:rsidRPr="00F9345A" w:rsidRDefault="00EE3D52" w:rsidP="008F0E8F">
      <w:pPr>
        <w:numPr>
          <w:ilvl w:val="0"/>
          <w:numId w:val="26"/>
        </w:numPr>
        <w:rPr>
          <w:sz w:val="22"/>
        </w:rPr>
      </w:pPr>
      <w:r w:rsidRPr="00F9345A">
        <w:rPr>
          <w:sz w:val="22"/>
        </w:rPr>
        <w:t>E-UTRA</w:t>
      </w:r>
      <w:r w:rsidRPr="00F9345A">
        <w:rPr>
          <w:sz w:val="22"/>
          <w:vertAlign w:val="subscript"/>
        </w:rPr>
        <w:t>ACLR</w:t>
      </w:r>
      <w:r w:rsidRPr="00F9345A">
        <w:rPr>
          <w:sz w:val="22"/>
        </w:rPr>
        <w:t xml:space="preserve"> = 3</w:t>
      </w:r>
      <w:r w:rsidR="008F0E8F" w:rsidRPr="00F9345A">
        <w:rPr>
          <w:sz w:val="22"/>
        </w:rPr>
        <w:t>0</w:t>
      </w:r>
      <w:r w:rsidRPr="00F9345A">
        <w:rPr>
          <w:sz w:val="22"/>
        </w:rPr>
        <w:t xml:space="preserve"> dB</w:t>
      </w:r>
    </w:p>
    <w:p w:rsidR="00122BFC" w:rsidRPr="00F9345A" w:rsidRDefault="00122BFC" w:rsidP="00122BFC">
      <w:pPr>
        <w:rPr>
          <w:sz w:val="22"/>
        </w:rPr>
      </w:pPr>
    </w:p>
    <w:p w:rsidR="008F0E8F" w:rsidRPr="00F9345A" w:rsidRDefault="008F0E8F" w:rsidP="00122BFC">
      <w:pPr>
        <w:rPr>
          <w:sz w:val="22"/>
        </w:rPr>
      </w:pPr>
      <w:r w:rsidRPr="00F9345A">
        <w:rPr>
          <w:sz w:val="22"/>
        </w:rPr>
        <w:t xml:space="preserve">The spurious requirement is a function of frequency.  Below 1 GHz, the spurious limit is -36 </w:t>
      </w:r>
      <w:proofErr w:type="spellStart"/>
      <w:r w:rsidRPr="00F9345A">
        <w:rPr>
          <w:sz w:val="22"/>
        </w:rPr>
        <w:t>dBm</w:t>
      </w:r>
      <w:proofErr w:type="spellEnd"/>
      <w:r w:rsidRPr="00F9345A">
        <w:rPr>
          <w:sz w:val="22"/>
        </w:rPr>
        <w:t>/100kHz, while the spurious limit above 1 GHz is -30dBm/1MHz.  The spurious limit above 1 GHz is thus 4 dB tighter than the limit below 1 GHz with respect to the average power allowed within the measurement bandwidth, though more frequency domain averaging is allowed.</w:t>
      </w:r>
    </w:p>
    <w:p w:rsidR="008F0E8F" w:rsidRPr="00F9345A" w:rsidRDefault="008F0E8F" w:rsidP="00122BFC">
      <w:pPr>
        <w:rPr>
          <w:sz w:val="22"/>
        </w:rPr>
      </w:pPr>
    </w:p>
    <w:p w:rsidR="008F0E8F" w:rsidRPr="00F9345A" w:rsidRDefault="008F0E8F" w:rsidP="00122BFC">
      <w:pPr>
        <w:rPr>
          <w:sz w:val="22"/>
        </w:rPr>
      </w:pPr>
      <w:r w:rsidRPr="00F9345A">
        <w:rPr>
          <w:sz w:val="22"/>
        </w:rPr>
        <w:t>The general emissions requirement from TS 36.101</w:t>
      </w:r>
      <w:r w:rsidR="000A0DC6" w:rsidRPr="00F9345A">
        <w:rPr>
          <w:sz w:val="22"/>
        </w:rPr>
        <w:t xml:space="preserve"> also applies and</w:t>
      </w:r>
      <w:r w:rsidRPr="00F9345A">
        <w:rPr>
          <w:sz w:val="22"/>
        </w:rPr>
        <w:t xml:space="preserve"> is given </w:t>
      </w:r>
      <w:r w:rsidR="000A0DC6" w:rsidRPr="00F9345A">
        <w:rPr>
          <w:sz w:val="22"/>
        </w:rPr>
        <w:t>below</w:t>
      </w:r>
    </w:p>
    <w:p w:rsidR="008F0E8F" w:rsidRDefault="008F0E8F" w:rsidP="00122BFC">
      <w:pPr>
        <w:rPr>
          <w:sz w:val="22"/>
          <w:szCs w:val="22"/>
        </w:rPr>
      </w:pPr>
    </w:p>
    <w:p w:rsidR="008F0E8F" w:rsidRPr="00073F99" w:rsidRDefault="008F0E8F" w:rsidP="008F0E8F">
      <w:pPr>
        <w:keepNext/>
        <w:keepLines/>
        <w:spacing w:before="60"/>
        <w:jc w:val="center"/>
        <w:rPr>
          <w:rFonts w:ascii="Arial" w:hAnsi="Arial"/>
          <w:b/>
          <w:lang w:eastAsia="en-US"/>
        </w:rPr>
      </w:pPr>
      <w:r w:rsidRPr="00073F99">
        <w:rPr>
          <w:rFonts w:ascii="Arial" w:hAnsi="Arial"/>
          <w:b/>
          <w:lang w:eastAsia="en-US"/>
        </w:rPr>
        <w:t xml:space="preserve">Table 6.6.2.1.1-1: General E-UTRA spectrum emission mask </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8F0E8F" w:rsidRPr="00073F99" w:rsidTr="008F0E8F">
        <w:trPr>
          <w:cantSplit/>
        </w:trPr>
        <w:tc>
          <w:tcPr>
            <w:tcW w:w="7513" w:type="dxa"/>
            <w:gridSpan w:val="8"/>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eastAsia="SimSun" w:hAnsi="Arial" w:cs="Arial"/>
                <w:b/>
                <w:snapToGrid w:val="0"/>
                <w:kern w:val="2"/>
                <w:sz w:val="18"/>
                <w:szCs w:val="18"/>
                <w:lang w:eastAsia="en-US"/>
              </w:rPr>
              <w:t>Spectrum emission limit (</w:t>
            </w:r>
            <w:proofErr w:type="spellStart"/>
            <w:r w:rsidRPr="00073F99">
              <w:rPr>
                <w:rFonts w:ascii="Arial" w:eastAsia="SimSun" w:hAnsi="Arial" w:cs="Arial"/>
                <w:b/>
                <w:snapToGrid w:val="0"/>
                <w:kern w:val="2"/>
                <w:sz w:val="18"/>
                <w:szCs w:val="18"/>
                <w:lang w:eastAsia="en-US"/>
              </w:rPr>
              <w:t>dBm</w:t>
            </w:r>
            <w:proofErr w:type="spellEnd"/>
            <w:r w:rsidRPr="00073F99">
              <w:rPr>
                <w:rFonts w:ascii="Arial" w:eastAsia="SimSun" w:hAnsi="Arial" w:cs="Arial"/>
                <w:b/>
                <w:snapToGrid w:val="0"/>
                <w:kern w:val="2"/>
                <w:sz w:val="18"/>
                <w:szCs w:val="18"/>
                <w:lang w:eastAsia="en-US"/>
              </w:rPr>
              <w:t>)/ Channel bandwidth</w:t>
            </w:r>
          </w:p>
        </w:tc>
      </w:tr>
      <w:tr w:rsidR="008F0E8F" w:rsidRPr="00073F99" w:rsidTr="008F0E8F">
        <w:trPr>
          <w:cantSplit/>
        </w:trPr>
        <w:tc>
          <w:tcPr>
            <w:tcW w:w="1086" w:type="dxa"/>
          </w:tcPr>
          <w:p w:rsidR="008F0E8F" w:rsidRPr="00073F99" w:rsidRDefault="008F0E8F" w:rsidP="008F0E8F">
            <w:pPr>
              <w:keepNext/>
              <w:keepLines/>
              <w:jc w:val="center"/>
              <w:rPr>
                <w:rFonts w:ascii="Arial" w:hAnsi="Arial" w:cs="Arial"/>
                <w:b/>
                <w:snapToGrid w:val="0"/>
                <w:kern w:val="2"/>
                <w:sz w:val="18"/>
                <w:szCs w:val="18"/>
                <w:lang w:eastAsia="en-US"/>
              </w:rPr>
            </w:pPr>
            <w:proofErr w:type="spellStart"/>
            <w:r w:rsidRPr="00073F99">
              <w:rPr>
                <w:rFonts w:ascii="Arial" w:hAnsi="Arial" w:cs="Arial"/>
                <w:b/>
                <w:snapToGrid w:val="0"/>
                <w:kern w:val="2"/>
                <w:sz w:val="18"/>
                <w:szCs w:val="18"/>
                <w:lang w:eastAsia="en-US"/>
              </w:rPr>
              <w:t>Δf</w:t>
            </w:r>
            <w:r w:rsidRPr="00073F99">
              <w:rPr>
                <w:rFonts w:ascii="Arial" w:hAnsi="Arial" w:cs="Arial"/>
                <w:b/>
                <w:snapToGrid w:val="0"/>
                <w:kern w:val="2"/>
                <w:sz w:val="18"/>
                <w:szCs w:val="18"/>
                <w:vertAlign w:val="subscript"/>
                <w:lang w:eastAsia="en-US"/>
              </w:rPr>
              <w:t>OOB</w:t>
            </w:r>
            <w:proofErr w:type="spellEnd"/>
          </w:p>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(MHz)</w:t>
            </w:r>
          </w:p>
        </w:tc>
        <w:tc>
          <w:tcPr>
            <w:tcW w:w="757"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1.4</w:t>
            </w:r>
          </w:p>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MHz</w:t>
            </w:r>
          </w:p>
        </w:tc>
        <w:tc>
          <w:tcPr>
            <w:tcW w:w="851"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3.0</w:t>
            </w:r>
          </w:p>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MHz</w:t>
            </w:r>
          </w:p>
        </w:tc>
        <w:tc>
          <w:tcPr>
            <w:tcW w:w="850"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5</w:t>
            </w:r>
          </w:p>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MHz</w:t>
            </w:r>
          </w:p>
        </w:tc>
        <w:tc>
          <w:tcPr>
            <w:tcW w:w="851"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10</w:t>
            </w:r>
          </w:p>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MHz</w:t>
            </w:r>
          </w:p>
        </w:tc>
        <w:tc>
          <w:tcPr>
            <w:tcW w:w="850"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15</w:t>
            </w:r>
          </w:p>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MHz</w:t>
            </w:r>
          </w:p>
        </w:tc>
        <w:tc>
          <w:tcPr>
            <w:tcW w:w="851"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20</w:t>
            </w:r>
          </w:p>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MHz</w:t>
            </w:r>
          </w:p>
        </w:tc>
        <w:tc>
          <w:tcPr>
            <w:tcW w:w="1417"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b/>
                <w:snapToGrid w:val="0"/>
                <w:kern w:val="2"/>
                <w:sz w:val="18"/>
                <w:szCs w:val="18"/>
                <w:lang w:eastAsia="en-US"/>
              </w:rPr>
              <w:t>Measurement bandwidth</w:t>
            </w:r>
          </w:p>
        </w:tc>
      </w:tr>
      <w:tr w:rsidR="008F0E8F" w:rsidRPr="00073F99" w:rsidTr="008F0E8F">
        <w:tc>
          <w:tcPr>
            <w:tcW w:w="1086"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snapToGrid w:val="0"/>
                <w:kern w:val="2"/>
                <w:sz w:val="18"/>
                <w:szCs w:val="18"/>
                <w:lang w:eastAsia="en-US"/>
              </w:rPr>
              <w:sym w:font="Symbol" w:char="F0B1"/>
            </w:r>
            <w:r w:rsidRPr="00073F99">
              <w:rPr>
                <w:rFonts w:ascii="Arial" w:hAnsi="Arial" w:cs="Arial"/>
                <w:snapToGrid w:val="0"/>
                <w:kern w:val="2"/>
                <w:sz w:val="18"/>
                <w:szCs w:val="18"/>
                <w:lang w:eastAsia="en-US"/>
              </w:rPr>
              <w:t xml:space="preserve"> 0-1</w:t>
            </w:r>
          </w:p>
        </w:tc>
        <w:tc>
          <w:tcPr>
            <w:tcW w:w="757"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snapToGrid w:val="0"/>
                <w:kern w:val="2"/>
                <w:sz w:val="18"/>
                <w:szCs w:val="18"/>
                <w:lang w:eastAsia="en-US"/>
              </w:rPr>
              <w:t>-10</w:t>
            </w:r>
          </w:p>
        </w:tc>
        <w:tc>
          <w:tcPr>
            <w:tcW w:w="851"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snapToGrid w:val="0"/>
                <w:kern w:val="2"/>
                <w:sz w:val="18"/>
                <w:szCs w:val="18"/>
                <w:lang w:eastAsia="en-US"/>
              </w:rPr>
              <w:t>-13</w:t>
            </w:r>
          </w:p>
        </w:tc>
        <w:tc>
          <w:tcPr>
            <w:tcW w:w="850"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snapToGrid w:val="0"/>
                <w:kern w:val="2"/>
                <w:sz w:val="18"/>
                <w:szCs w:val="18"/>
                <w:lang w:eastAsia="en-US"/>
              </w:rPr>
              <w:t xml:space="preserve">-15 </w:t>
            </w:r>
          </w:p>
        </w:tc>
        <w:tc>
          <w:tcPr>
            <w:tcW w:w="851"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snapToGrid w:val="0"/>
                <w:kern w:val="2"/>
                <w:sz w:val="18"/>
                <w:szCs w:val="18"/>
                <w:lang w:eastAsia="en-US"/>
              </w:rPr>
              <w:t>-18</w:t>
            </w:r>
          </w:p>
        </w:tc>
        <w:tc>
          <w:tcPr>
            <w:tcW w:w="850"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snapToGrid w:val="0"/>
                <w:kern w:val="2"/>
                <w:sz w:val="18"/>
                <w:szCs w:val="18"/>
                <w:lang w:eastAsia="en-US"/>
              </w:rPr>
              <w:t>-20</w:t>
            </w:r>
          </w:p>
        </w:tc>
        <w:tc>
          <w:tcPr>
            <w:tcW w:w="851"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snapToGrid w:val="0"/>
                <w:kern w:val="2"/>
                <w:sz w:val="18"/>
                <w:szCs w:val="18"/>
                <w:lang w:eastAsia="en-US"/>
              </w:rPr>
              <w:t>-21</w:t>
            </w:r>
          </w:p>
        </w:tc>
        <w:tc>
          <w:tcPr>
            <w:tcW w:w="1417" w:type="dxa"/>
          </w:tcPr>
          <w:p w:rsidR="008F0E8F" w:rsidRPr="00073F99" w:rsidRDefault="008F0E8F" w:rsidP="008F0E8F">
            <w:pPr>
              <w:keepNext/>
              <w:keepLines/>
              <w:jc w:val="center"/>
              <w:rPr>
                <w:rFonts w:ascii="Arial" w:hAnsi="Arial" w:cs="Arial"/>
                <w:b/>
                <w:snapToGrid w:val="0"/>
                <w:kern w:val="2"/>
                <w:sz w:val="18"/>
                <w:szCs w:val="18"/>
                <w:lang w:eastAsia="en-US"/>
              </w:rPr>
            </w:pPr>
            <w:r w:rsidRPr="00073F99">
              <w:rPr>
                <w:rFonts w:ascii="Arial" w:hAnsi="Arial" w:cs="Arial"/>
                <w:snapToGrid w:val="0"/>
                <w:kern w:val="2"/>
                <w:sz w:val="18"/>
                <w:szCs w:val="18"/>
                <w:lang w:eastAsia="en-US"/>
              </w:rPr>
              <w:t xml:space="preserve">30 kHz </w:t>
            </w:r>
          </w:p>
        </w:tc>
      </w:tr>
      <w:tr w:rsidR="008F0E8F" w:rsidRPr="00073F99" w:rsidTr="008F0E8F">
        <w:tc>
          <w:tcPr>
            <w:tcW w:w="1086"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sym w:font="Symbol" w:char="F0B1"/>
            </w:r>
            <w:r w:rsidRPr="00073F99">
              <w:rPr>
                <w:rFonts w:ascii="Arial" w:hAnsi="Arial" w:cs="Arial"/>
                <w:snapToGrid w:val="0"/>
                <w:kern w:val="2"/>
                <w:sz w:val="18"/>
                <w:szCs w:val="18"/>
                <w:lang w:eastAsia="en-US"/>
              </w:rPr>
              <w:t xml:space="preserve"> 1-2.5</w:t>
            </w:r>
          </w:p>
        </w:tc>
        <w:tc>
          <w:tcPr>
            <w:tcW w:w="757"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 xml:space="preserve">-10 </w:t>
            </w:r>
          </w:p>
        </w:tc>
        <w:tc>
          <w:tcPr>
            <w:tcW w:w="1417"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 MHz</w:t>
            </w:r>
          </w:p>
        </w:tc>
      </w:tr>
      <w:tr w:rsidR="008F0E8F" w:rsidRPr="00073F99" w:rsidTr="008F0E8F">
        <w:tc>
          <w:tcPr>
            <w:tcW w:w="1086"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sym w:font="Symbol" w:char="F0B1"/>
            </w:r>
            <w:r w:rsidRPr="00073F99">
              <w:rPr>
                <w:rFonts w:ascii="Arial" w:hAnsi="Arial" w:cs="Arial"/>
                <w:snapToGrid w:val="0"/>
                <w:kern w:val="2"/>
                <w:sz w:val="18"/>
                <w:szCs w:val="18"/>
                <w:lang w:eastAsia="en-US"/>
              </w:rPr>
              <w:t xml:space="preserve"> 2.5-2.8</w:t>
            </w:r>
          </w:p>
        </w:tc>
        <w:tc>
          <w:tcPr>
            <w:tcW w:w="757"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-25</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 xml:space="preserve">-10 </w:t>
            </w:r>
          </w:p>
        </w:tc>
        <w:tc>
          <w:tcPr>
            <w:tcW w:w="1417"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 MHz</w:t>
            </w:r>
          </w:p>
        </w:tc>
      </w:tr>
      <w:tr w:rsidR="008F0E8F" w:rsidRPr="00073F99" w:rsidTr="008F0E8F">
        <w:tc>
          <w:tcPr>
            <w:tcW w:w="1086"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sym w:font="Symbol" w:char="F0B1"/>
            </w:r>
            <w:r w:rsidRPr="00073F99">
              <w:rPr>
                <w:rFonts w:ascii="Arial" w:hAnsi="Arial" w:cs="Arial"/>
                <w:snapToGrid w:val="0"/>
                <w:kern w:val="2"/>
                <w:sz w:val="18"/>
                <w:szCs w:val="18"/>
                <w:lang w:eastAsia="en-US"/>
              </w:rPr>
              <w:t xml:space="preserve"> 2.8-5</w:t>
            </w:r>
          </w:p>
        </w:tc>
        <w:tc>
          <w:tcPr>
            <w:tcW w:w="757"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-10</w:t>
            </w:r>
          </w:p>
        </w:tc>
        <w:tc>
          <w:tcPr>
            <w:tcW w:w="1417"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 MHz</w:t>
            </w:r>
          </w:p>
        </w:tc>
      </w:tr>
      <w:tr w:rsidR="008F0E8F" w:rsidRPr="00073F99" w:rsidTr="008F0E8F">
        <w:tc>
          <w:tcPr>
            <w:tcW w:w="1086"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sym w:font="Symbol" w:char="F0B1"/>
            </w:r>
            <w:r w:rsidRPr="00073F99">
              <w:rPr>
                <w:rFonts w:ascii="Arial" w:hAnsi="Arial" w:cs="Arial"/>
                <w:snapToGrid w:val="0"/>
                <w:kern w:val="2"/>
                <w:sz w:val="18"/>
                <w:szCs w:val="18"/>
                <w:lang w:eastAsia="en-US"/>
              </w:rPr>
              <w:t xml:space="preserve"> 5-6</w:t>
            </w:r>
          </w:p>
        </w:tc>
        <w:tc>
          <w:tcPr>
            <w:tcW w:w="757"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-25</w:t>
            </w: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-13</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-13</w:t>
            </w: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-13</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-13</w:t>
            </w:r>
          </w:p>
        </w:tc>
        <w:tc>
          <w:tcPr>
            <w:tcW w:w="1417"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 MHz</w:t>
            </w:r>
          </w:p>
        </w:tc>
      </w:tr>
      <w:tr w:rsidR="008F0E8F" w:rsidRPr="00073F99" w:rsidTr="008F0E8F">
        <w:tc>
          <w:tcPr>
            <w:tcW w:w="1086"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sym w:font="Symbol" w:char="F0B1"/>
            </w:r>
            <w:r w:rsidRPr="00073F99">
              <w:rPr>
                <w:rFonts w:ascii="Arial" w:hAnsi="Arial" w:cs="Arial"/>
                <w:snapToGrid w:val="0"/>
                <w:kern w:val="2"/>
                <w:sz w:val="18"/>
                <w:szCs w:val="18"/>
                <w:lang w:eastAsia="en-US"/>
              </w:rPr>
              <w:t xml:space="preserve"> 6-10</w:t>
            </w:r>
          </w:p>
        </w:tc>
        <w:tc>
          <w:tcPr>
            <w:tcW w:w="757"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-25</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-13</w:t>
            </w: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 xml:space="preserve">-13 </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 xml:space="preserve">-13 </w:t>
            </w:r>
          </w:p>
        </w:tc>
        <w:tc>
          <w:tcPr>
            <w:tcW w:w="1417"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 MHz</w:t>
            </w:r>
          </w:p>
        </w:tc>
      </w:tr>
      <w:tr w:rsidR="008F0E8F" w:rsidRPr="00073F99" w:rsidTr="008F0E8F">
        <w:tc>
          <w:tcPr>
            <w:tcW w:w="1086"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sym w:font="Symbol" w:char="F0B1"/>
            </w:r>
            <w:r w:rsidRPr="00073F99">
              <w:rPr>
                <w:rFonts w:ascii="Arial" w:hAnsi="Arial" w:cs="Arial"/>
                <w:snapToGrid w:val="0"/>
                <w:kern w:val="2"/>
                <w:sz w:val="18"/>
                <w:szCs w:val="18"/>
                <w:lang w:eastAsia="en-US"/>
              </w:rPr>
              <w:t xml:space="preserve"> 10-15</w:t>
            </w:r>
          </w:p>
        </w:tc>
        <w:tc>
          <w:tcPr>
            <w:tcW w:w="757"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-25</w:t>
            </w: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 xml:space="preserve">-13 </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 xml:space="preserve">-13 </w:t>
            </w:r>
          </w:p>
        </w:tc>
        <w:tc>
          <w:tcPr>
            <w:tcW w:w="1417"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 MHz</w:t>
            </w:r>
          </w:p>
        </w:tc>
      </w:tr>
      <w:tr w:rsidR="008F0E8F" w:rsidRPr="00073F99" w:rsidTr="008F0E8F">
        <w:tc>
          <w:tcPr>
            <w:tcW w:w="1086"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sym w:font="Symbol" w:char="F0B1"/>
            </w:r>
            <w:r w:rsidRPr="00073F99">
              <w:rPr>
                <w:rFonts w:ascii="Arial" w:hAnsi="Arial" w:cs="Arial"/>
                <w:snapToGrid w:val="0"/>
                <w:kern w:val="2"/>
                <w:sz w:val="18"/>
                <w:szCs w:val="18"/>
                <w:lang w:eastAsia="en-US"/>
              </w:rPr>
              <w:t xml:space="preserve"> 15-20</w:t>
            </w:r>
          </w:p>
        </w:tc>
        <w:tc>
          <w:tcPr>
            <w:tcW w:w="757"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 xml:space="preserve">-25 </w:t>
            </w: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 xml:space="preserve">-13 </w:t>
            </w:r>
          </w:p>
        </w:tc>
        <w:tc>
          <w:tcPr>
            <w:tcW w:w="1417"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 MHz</w:t>
            </w:r>
          </w:p>
        </w:tc>
      </w:tr>
      <w:tr w:rsidR="008F0E8F" w:rsidRPr="00073F99" w:rsidTr="008F0E8F">
        <w:tc>
          <w:tcPr>
            <w:tcW w:w="1086"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sym w:font="Symbol" w:char="F0B1"/>
            </w:r>
            <w:r w:rsidRPr="00073F99">
              <w:rPr>
                <w:rFonts w:ascii="Arial" w:hAnsi="Arial" w:cs="Arial"/>
                <w:snapToGrid w:val="0"/>
                <w:kern w:val="2"/>
                <w:sz w:val="18"/>
                <w:szCs w:val="18"/>
                <w:lang w:eastAsia="en-US"/>
              </w:rPr>
              <w:t xml:space="preserve"> 20-25</w:t>
            </w:r>
          </w:p>
        </w:tc>
        <w:tc>
          <w:tcPr>
            <w:tcW w:w="757"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0" w:type="dxa"/>
          </w:tcPr>
          <w:p w:rsidR="008F0E8F" w:rsidRPr="00073F99" w:rsidRDefault="008F0E8F" w:rsidP="008F0E8F">
            <w:pPr>
              <w:keepNext/>
              <w:keepLines/>
              <w:jc w:val="center"/>
              <w:rPr>
                <w:rFonts w:ascii="Arial" w:hAnsi="Arial" w:cs="Arial"/>
                <w:snapToGrid w:val="0"/>
                <w:kern w:val="2"/>
                <w:sz w:val="18"/>
                <w:szCs w:val="18"/>
                <w:lang w:eastAsia="en-US"/>
              </w:rPr>
            </w:pPr>
          </w:p>
        </w:tc>
        <w:tc>
          <w:tcPr>
            <w:tcW w:w="851"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 xml:space="preserve">-25 </w:t>
            </w:r>
          </w:p>
        </w:tc>
        <w:tc>
          <w:tcPr>
            <w:tcW w:w="1417" w:type="dxa"/>
          </w:tcPr>
          <w:p w:rsidR="008F0E8F" w:rsidRPr="00073F99" w:rsidRDefault="008F0E8F" w:rsidP="008F0E8F">
            <w:pPr>
              <w:keepNext/>
              <w:keepLines/>
              <w:jc w:val="center"/>
              <w:rPr>
                <w:rFonts w:ascii="Arial" w:hAnsi="Arial" w:cs="Arial"/>
                <w:snapToGrid w:val="0"/>
                <w:kern w:val="2"/>
                <w:sz w:val="18"/>
                <w:szCs w:val="18"/>
                <w:lang w:eastAsia="en-US"/>
              </w:rPr>
            </w:pPr>
            <w:r w:rsidRPr="00073F99">
              <w:rPr>
                <w:rFonts w:ascii="Arial" w:hAnsi="Arial" w:cs="Arial"/>
                <w:snapToGrid w:val="0"/>
                <w:kern w:val="2"/>
                <w:sz w:val="18"/>
                <w:szCs w:val="18"/>
                <w:lang w:eastAsia="en-US"/>
              </w:rPr>
              <w:t>1 MHz</w:t>
            </w:r>
          </w:p>
        </w:tc>
      </w:tr>
    </w:tbl>
    <w:p w:rsidR="00122BFC" w:rsidRDefault="00122BFC" w:rsidP="00122BFC"/>
    <w:p w:rsidR="003A7D09" w:rsidRPr="00F9345A" w:rsidRDefault="000A0DC6" w:rsidP="00122BFC">
      <w:pPr>
        <w:rPr>
          <w:sz w:val="22"/>
        </w:rPr>
      </w:pPr>
      <w:r w:rsidRPr="00F9345A">
        <w:rPr>
          <w:sz w:val="22"/>
        </w:rPr>
        <w:t xml:space="preserve">It is of some significance that the </w:t>
      </w:r>
      <w:r w:rsidR="004804AF" w:rsidRPr="00F9345A">
        <w:rPr>
          <w:sz w:val="22"/>
        </w:rPr>
        <w:t xml:space="preserve">ACLR requirements are relative power requirements while the spurious emissions and </w:t>
      </w:r>
      <w:r w:rsidR="003A7D09" w:rsidRPr="00F9345A">
        <w:rPr>
          <w:sz w:val="22"/>
        </w:rPr>
        <w:t>general spectrum emission requirements are absolute requirements.  For this reason, we consider the MPR associated with these requirements separately.</w:t>
      </w:r>
    </w:p>
    <w:p w:rsidR="00B5153D" w:rsidRPr="00F9345A" w:rsidRDefault="00B5153D" w:rsidP="00122BFC">
      <w:pPr>
        <w:rPr>
          <w:sz w:val="22"/>
        </w:rPr>
      </w:pPr>
    </w:p>
    <w:p w:rsidR="00B5153D" w:rsidRPr="00F9345A" w:rsidRDefault="003A7D09" w:rsidP="00762C5F">
      <w:pPr>
        <w:rPr>
          <w:sz w:val="22"/>
        </w:rPr>
      </w:pPr>
      <w:r w:rsidRPr="00F9345A">
        <w:rPr>
          <w:sz w:val="22"/>
        </w:rPr>
        <w:t xml:space="preserve">Simulations were performed </w:t>
      </w:r>
      <w:r w:rsidR="00762C5F" w:rsidRPr="00F9345A">
        <w:rPr>
          <w:sz w:val="22"/>
        </w:rPr>
        <w:t>to determine the MPR required for multi-cluster transmissions with a single 20 MHz component carrier.  All of the simulation points were generated using two clusters.  The modulation was randomly selected from QPSK and 16QAM, and the same modulation was use for both clusters.</w:t>
      </w:r>
      <w:r w:rsidR="00B5153D" w:rsidRPr="00F9345A">
        <w:rPr>
          <w:sz w:val="22"/>
        </w:rPr>
        <w:t xml:space="preserve">   It should be noted that only allowed allocations were used for </w:t>
      </w:r>
      <w:r w:rsidR="005D0ED2" w:rsidRPr="00F9345A">
        <w:rPr>
          <w:sz w:val="22"/>
        </w:rPr>
        <w:t>each of the two clusters of each multi-cluster simulation.   A total of 10,000 two cluster transmissions were simulated.</w:t>
      </w:r>
    </w:p>
    <w:p w:rsidR="005D0ED2" w:rsidRPr="00F9345A" w:rsidRDefault="005D0ED2" w:rsidP="00762C5F">
      <w:pPr>
        <w:rPr>
          <w:sz w:val="22"/>
        </w:rPr>
      </w:pPr>
    </w:p>
    <w:p w:rsidR="00B5153D" w:rsidRPr="00F9345A" w:rsidRDefault="00B5153D" w:rsidP="00762C5F">
      <w:pPr>
        <w:rPr>
          <w:sz w:val="22"/>
        </w:rPr>
      </w:pPr>
      <w:r w:rsidRPr="00F9345A">
        <w:rPr>
          <w:sz w:val="22"/>
        </w:rPr>
        <w:t>The impairments used for the simulations were the following:</w:t>
      </w:r>
    </w:p>
    <w:p w:rsidR="00B5153D" w:rsidRPr="00F9345A" w:rsidRDefault="00B5153D" w:rsidP="00762C5F">
      <w:pPr>
        <w:rPr>
          <w:sz w:val="22"/>
        </w:rPr>
      </w:pPr>
    </w:p>
    <w:p w:rsidR="00B5153D" w:rsidRPr="00F9345A" w:rsidRDefault="00B5153D" w:rsidP="00B5153D">
      <w:pPr>
        <w:numPr>
          <w:ilvl w:val="0"/>
          <w:numId w:val="27"/>
        </w:numPr>
        <w:spacing w:after="200" w:line="276" w:lineRule="auto"/>
        <w:rPr>
          <w:rFonts w:cs="v5.0.0"/>
          <w:sz w:val="22"/>
        </w:rPr>
      </w:pPr>
      <w:r w:rsidRPr="00F9345A">
        <w:rPr>
          <w:rFonts w:cs="v5.0.0"/>
          <w:sz w:val="22"/>
        </w:rPr>
        <w:t xml:space="preserve">Modulator IQ – image = </w:t>
      </w:r>
      <w:r w:rsidR="005A049E" w:rsidRPr="00F9345A">
        <w:rPr>
          <w:rFonts w:cs="v5.0.0"/>
          <w:sz w:val="22"/>
        </w:rPr>
        <w:t>-</w:t>
      </w:r>
      <w:r w:rsidRPr="00F9345A">
        <w:rPr>
          <w:rFonts w:cs="v5.0.0"/>
          <w:sz w:val="22"/>
        </w:rPr>
        <w:t>28 dB</w:t>
      </w:r>
    </w:p>
    <w:p w:rsidR="00B5153D" w:rsidRPr="00F9345A" w:rsidRDefault="00B5153D" w:rsidP="00B5153D">
      <w:pPr>
        <w:numPr>
          <w:ilvl w:val="0"/>
          <w:numId w:val="27"/>
        </w:numPr>
        <w:spacing w:after="200" w:line="276" w:lineRule="auto"/>
        <w:rPr>
          <w:rFonts w:cs="v5.0.0"/>
          <w:sz w:val="22"/>
        </w:rPr>
      </w:pPr>
      <w:r w:rsidRPr="00F9345A">
        <w:rPr>
          <w:rFonts w:cs="v5.0.0"/>
          <w:sz w:val="22"/>
        </w:rPr>
        <w:t xml:space="preserve">Modulator carrier leakage = </w:t>
      </w:r>
      <w:r w:rsidR="005A049E" w:rsidRPr="00F9345A">
        <w:rPr>
          <w:rFonts w:cs="v5.0.0"/>
          <w:sz w:val="22"/>
        </w:rPr>
        <w:t>-</w:t>
      </w:r>
      <w:r w:rsidRPr="00F9345A">
        <w:rPr>
          <w:rFonts w:cs="v5.0.0"/>
          <w:sz w:val="22"/>
        </w:rPr>
        <w:t xml:space="preserve">28 </w:t>
      </w:r>
      <w:proofErr w:type="spellStart"/>
      <w:r w:rsidRPr="00F9345A">
        <w:rPr>
          <w:rFonts w:cs="v5.0.0"/>
          <w:sz w:val="22"/>
        </w:rPr>
        <w:t>dBc</w:t>
      </w:r>
      <w:proofErr w:type="spellEnd"/>
    </w:p>
    <w:p w:rsidR="00B5153D" w:rsidRPr="00F9345A" w:rsidRDefault="00B5153D" w:rsidP="00B5153D">
      <w:pPr>
        <w:numPr>
          <w:ilvl w:val="0"/>
          <w:numId w:val="27"/>
        </w:numPr>
        <w:spacing w:after="200" w:line="276" w:lineRule="auto"/>
        <w:rPr>
          <w:rFonts w:cs="v5.0.0"/>
          <w:sz w:val="22"/>
        </w:rPr>
      </w:pPr>
      <w:r w:rsidRPr="00F9345A">
        <w:rPr>
          <w:rFonts w:cs="v5.0.0"/>
          <w:sz w:val="22"/>
        </w:rPr>
        <w:t xml:space="preserve">Modulator C_IM3 = </w:t>
      </w:r>
      <w:r w:rsidR="005A049E" w:rsidRPr="00F9345A">
        <w:rPr>
          <w:rFonts w:cs="v5.0.0"/>
          <w:sz w:val="22"/>
        </w:rPr>
        <w:t>-</w:t>
      </w:r>
      <w:r w:rsidRPr="00F9345A">
        <w:rPr>
          <w:rFonts w:cs="v5.0.0"/>
          <w:sz w:val="22"/>
        </w:rPr>
        <w:t xml:space="preserve">60 </w:t>
      </w:r>
      <w:proofErr w:type="spellStart"/>
      <w:r w:rsidRPr="00F9345A">
        <w:rPr>
          <w:rFonts w:cs="v5.0.0"/>
          <w:sz w:val="22"/>
        </w:rPr>
        <w:t>dBc</w:t>
      </w:r>
      <w:proofErr w:type="spellEnd"/>
    </w:p>
    <w:p w:rsidR="00B5153D" w:rsidRPr="00F9345A" w:rsidRDefault="00E95DCA" w:rsidP="00762C5F">
      <w:pPr>
        <w:rPr>
          <w:sz w:val="22"/>
        </w:rPr>
      </w:pPr>
      <w:r w:rsidRPr="00F9345A">
        <w:rPr>
          <w:sz w:val="22"/>
        </w:rPr>
        <w:lastRenderedPageBreak/>
        <w:t xml:space="preserve">The operating point of the PA </w:t>
      </w:r>
      <w:r w:rsidR="005411AF" w:rsidRPr="00F9345A">
        <w:rPr>
          <w:sz w:val="22"/>
        </w:rPr>
        <w:t xml:space="preserve">is </w:t>
      </w:r>
      <w:r w:rsidR="00D42F74">
        <w:rPr>
          <w:sz w:val="22"/>
        </w:rPr>
        <w:t>set such that the UTRA</w:t>
      </w:r>
      <w:r w:rsidRPr="00D42F74">
        <w:rPr>
          <w:sz w:val="22"/>
          <w:vertAlign w:val="subscript"/>
        </w:rPr>
        <w:t>ACLR</w:t>
      </w:r>
      <w:r w:rsidRPr="00F9345A">
        <w:rPr>
          <w:sz w:val="22"/>
        </w:rPr>
        <w:t xml:space="preserve"> requirement of 33 dB is just met with a 100 RB QPSK allocation.  The output power at which th</w:t>
      </w:r>
      <w:r w:rsidR="005411AF" w:rsidRPr="00F9345A">
        <w:rPr>
          <w:sz w:val="22"/>
        </w:rPr>
        <w:t xml:space="preserve">e requirement is just met is defined to be 22 </w:t>
      </w:r>
      <w:proofErr w:type="spellStart"/>
      <w:r w:rsidR="005411AF" w:rsidRPr="00F9345A">
        <w:rPr>
          <w:sz w:val="22"/>
        </w:rPr>
        <w:t>dBm</w:t>
      </w:r>
      <w:proofErr w:type="spellEnd"/>
      <w:r w:rsidR="005411AF" w:rsidRPr="00F9345A">
        <w:rPr>
          <w:sz w:val="22"/>
        </w:rPr>
        <w:t>.</w:t>
      </w:r>
    </w:p>
    <w:p w:rsidR="00E95DCA" w:rsidRPr="00F9345A" w:rsidRDefault="00E95DCA" w:rsidP="00762C5F">
      <w:pPr>
        <w:rPr>
          <w:sz w:val="22"/>
        </w:rPr>
      </w:pPr>
    </w:p>
    <w:p w:rsidR="005411AF" w:rsidRPr="00F9345A" w:rsidRDefault="00B5153D" w:rsidP="00AA5E5D">
      <w:pPr>
        <w:rPr>
          <w:sz w:val="22"/>
        </w:rPr>
      </w:pPr>
      <w:r w:rsidRPr="00F9345A">
        <w:rPr>
          <w:sz w:val="22"/>
        </w:rPr>
        <w:t xml:space="preserve">It should be noted </w:t>
      </w:r>
      <w:r w:rsidRPr="00D42F74">
        <w:rPr>
          <w:sz w:val="22"/>
        </w:rPr>
        <w:t xml:space="preserve">that </w:t>
      </w:r>
      <w:r w:rsidRPr="00D42F74">
        <w:rPr>
          <w:i/>
          <w:sz w:val="22"/>
        </w:rPr>
        <w:t>a high efficiency PA was not used for these simulations</w:t>
      </w:r>
      <w:r w:rsidR="005411AF" w:rsidRPr="00F9345A">
        <w:rPr>
          <w:sz w:val="22"/>
        </w:rPr>
        <w:t>.</w:t>
      </w:r>
    </w:p>
    <w:p w:rsidR="00534C32" w:rsidRDefault="00534C32" w:rsidP="00534C32">
      <w:pPr>
        <w:pStyle w:val="Heading1"/>
        <w:spacing w:after="120"/>
        <w:jc w:val="both"/>
        <w:rPr>
          <w:b/>
          <w:color w:val="000000"/>
        </w:rPr>
      </w:pPr>
      <w:r>
        <w:rPr>
          <w:b/>
          <w:color w:val="000000"/>
        </w:rPr>
        <w:t>Simulation Results</w:t>
      </w:r>
    </w:p>
    <w:p w:rsidR="00534C32" w:rsidRDefault="0073246A" w:rsidP="00AA5E5D">
      <w:pPr>
        <w:rPr>
          <w:sz w:val="22"/>
        </w:rPr>
      </w:pPr>
      <w:r w:rsidRPr="00F9345A">
        <w:rPr>
          <w:sz w:val="22"/>
        </w:rPr>
        <w:t xml:space="preserve">The MPR required to meet all emissions requirements as a function of the allocation ratio is shown in Figure 1, where the allocation ratio </w:t>
      </w:r>
      <w:r w:rsidR="0066391C" w:rsidRPr="00F9345A">
        <w:rPr>
          <w:sz w:val="22"/>
        </w:rPr>
        <w:t xml:space="preserve">is the ratio of the number of allocated RB’s to the total number of </w:t>
      </w:r>
      <w:proofErr w:type="spellStart"/>
      <w:r w:rsidR="00D42F74">
        <w:rPr>
          <w:sz w:val="22"/>
        </w:rPr>
        <w:t>allocatable</w:t>
      </w:r>
      <w:proofErr w:type="spellEnd"/>
      <w:r w:rsidR="00D42F74">
        <w:rPr>
          <w:sz w:val="22"/>
        </w:rPr>
        <w:t xml:space="preserve"> </w:t>
      </w:r>
      <w:r w:rsidR="0066391C" w:rsidRPr="00F9345A">
        <w:rPr>
          <w:sz w:val="22"/>
        </w:rPr>
        <w:t>RB’s.</w:t>
      </w:r>
      <w:r w:rsidRPr="00F9345A">
        <w:rPr>
          <w:sz w:val="22"/>
        </w:rPr>
        <w:t xml:space="preserve"> </w:t>
      </w:r>
      <w:r w:rsidR="0066391C" w:rsidRPr="00F9345A">
        <w:rPr>
          <w:sz w:val="22"/>
        </w:rPr>
        <w:t xml:space="preserve"> </w:t>
      </w:r>
      <w:r w:rsidR="006C51E8">
        <w:rPr>
          <w:sz w:val="22"/>
        </w:rPr>
        <w:t xml:space="preserve">The proposed multi-cluster MPR mask for a single component carrier from TS 36.101 </w:t>
      </w:r>
      <w:r w:rsidR="0036744D">
        <w:rPr>
          <w:sz w:val="22"/>
        </w:rPr>
        <w:t xml:space="preserve">[2] </w:t>
      </w:r>
      <w:r w:rsidR="006C51E8">
        <w:rPr>
          <w:sz w:val="22"/>
        </w:rPr>
        <w:t xml:space="preserve">is also shown in Figure 1. </w:t>
      </w:r>
      <w:r w:rsidR="0036744D">
        <w:rPr>
          <w:sz w:val="22"/>
        </w:rPr>
        <w:t xml:space="preserve">The MPR required </w:t>
      </w:r>
      <w:r w:rsidR="0066391C" w:rsidRPr="00F9345A">
        <w:rPr>
          <w:sz w:val="22"/>
        </w:rPr>
        <w:t xml:space="preserve">only </w:t>
      </w:r>
      <w:r w:rsidR="0036744D">
        <w:rPr>
          <w:sz w:val="22"/>
        </w:rPr>
        <w:t xml:space="preserve">to meet </w:t>
      </w:r>
      <w:r w:rsidR="0066391C" w:rsidRPr="00F9345A">
        <w:rPr>
          <w:sz w:val="22"/>
        </w:rPr>
        <w:t>the ACLR requirements</w:t>
      </w:r>
      <w:r w:rsidR="0036744D">
        <w:rPr>
          <w:sz w:val="22"/>
        </w:rPr>
        <w:t xml:space="preserve"> is shown in Figure 2</w:t>
      </w:r>
      <w:r w:rsidR="0066391C" w:rsidRPr="00F9345A">
        <w:rPr>
          <w:sz w:val="22"/>
        </w:rPr>
        <w:t xml:space="preserve">.  From these results, it can be seen that it is the </w:t>
      </w:r>
      <w:r w:rsidR="00D42F74">
        <w:rPr>
          <w:sz w:val="22"/>
        </w:rPr>
        <w:t xml:space="preserve">spurious emissions requirements (with some contribution from the outer 5 MHz of the SEM) </w:t>
      </w:r>
      <w:r w:rsidR="0066391C" w:rsidRPr="00F9345A">
        <w:rPr>
          <w:sz w:val="22"/>
        </w:rPr>
        <w:t>that are driving the need for large MPR.</w:t>
      </w:r>
      <w:r w:rsidR="00034629" w:rsidRPr="00F9345A">
        <w:rPr>
          <w:sz w:val="22"/>
        </w:rPr>
        <w:t xml:space="preserve">  As the emissions due to the third order non-linearity do not extend to this region, </w:t>
      </w:r>
      <w:r w:rsidR="00534C32" w:rsidRPr="00F9345A">
        <w:rPr>
          <w:sz w:val="22"/>
        </w:rPr>
        <w:t>we make the general observation that it</w:t>
      </w:r>
      <w:r w:rsidR="00034629" w:rsidRPr="00F9345A">
        <w:rPr>
          <w:sz w:val="22"/>
        </w:rPr>
        <w:t xml:space="preserve"> must be the fifth order term of the PA non-linearity that is driving</w:t>
      </w:r>
      <w:r w:rsidR="00534C32" w:rsidRPr="00F9345A">
        <w:rPr>
          <w:sz w:val="22"/>
        </w:rPr>
        <w:t xml:space="preserve"> the need for large MPR values.</w:t>
      </w:r>
      <w:r w:rsidR="00EB7C7F" w:rsidRPr="00F9345A">
        <w:rPr>
          <w:sz w:val="22"/>
        </w:rPr>
        <w:t xml:space="preserve">  Below, we consider whether it is possible to accurately predict the MPR required to meet ACLR and spurious emissions requirements from the spectra </w:t>
      </w:r>
      <w:r w:rsidR="00A64943" w:rsidRPr="00F9345A">
        <w:rPr>
          <w:position w:val="-12"/>
          <w:sz w:val="22"/>
          <w:szCs w:val="22"/>
        </w:rPr>
        <w:object w:dxaOrig="620" w:dyaOrig="360">
          <v:shape id="_x0000_i1077" type="#_x0000_t75" style="width:31.2pt;height:18pt" o:ole="">
            <v:imagedata r:id="rId25" o:title=""/>
          </v:shape>
          <o:OLEObject Type="Embed" ProgID="Equation.3" ShapeID="_x0000_i1077" DrawAspect="Content" ObjectID="_1413646509" r:id="rId26"/>
        </w:object>
      </w:r>
      <w:r w:rsidR="00EB7C7F" w:rsidRPr="00F9345A">
        <w:rPr>
          <w:sz w:val="22"/>
        </w:rPr>
        <w:t xml:space="preserve">and </w:t>
      </w:r>
      <w:r w:rsidR="00A64943" w:rsidRPr="00F9345A">
        <w:rPr>
          <w:position w:val="-12"/>
          <w:sz w:val="22"/>
          <w:szCs w:val="22"/>
        </w:rPr>
        <w:object w:dxaOrig="620" w:dyaOrig="360">
          <v:shape id="_x0000_i1078" type="#_x0000_t75" style="width:31.2pt;height:18pt" o:ole="">
            <v:imagedata r:id="rId27" o:title=""/>
          </v:shape>
          <o:OLEObject Type="Embed" ProgID="Equation.3" ShapeID="_x0000_i1078" DrawAspect="Content" ObjectID="_1413646510" r:id="rId28"/>
        </w:object>
      </w:r>
      <w:r w:rsidR="00A64943">
        <w:rPr>
          <w:position w:val="-12"/>
          <w:sz w:val="22"/>
          <w:szCs w:val="22"/>
        </w:rPr>
        <w:t xml:space="preserve"> </w:t>
      </w:r>
      <w:r w:rsidR="00EB7C7F" w:rsidRPr="00F9345A">
        <w:rPr>
          <w:sz w:val="22"/>
        </w:rPr>
        <w:t>defined above.</w:t>
      </w:r>
    </w:p>
    <w:p w:rsidR="00DE4990" w:rsidRDefault="00DE4990" w:rsidP="00AA5E5D">
      <w:pPr>
        <w:rPr>
          <w:sz w:val="22"/>
        </w:rPr>
      </w:pPr>
    </w:p>
    <w:p w:rsidR="00077357" w:rsidRPr="00D10DE1" w:rsidRDefault="00D10DE1" w:rsidP="00D10DE1">
      <w:pPr>
        <w:jc w:val="center"/>
        <w:rPr>
          <w:sz w:val="22"/>
        </w:rPr>
      </w:pPr>
      <w:r w:rsidRPr="00D10DE1">
        <w:rPr>
          <w:sz w:val="22"/>
        </w:rPr>
        <w:pict>
          <v:shape id="_x0000_i1087" type="#_x0000_t75" style="width:384pt;height:4in">
            <v:imagedata r:id="rId29" o:title="figure1"/>
          </v:shape>
        </w:pict>
      </w:r>
    </w:p>
    <w:p w:rsidR="00077357" w:rsidRPr="00B10ECF" w:rsidRDefault="00077357" w:rsidP="00D10DE1">
      <w:pPr>
        <w:pStyle w:val="Caption"/>
        <w:jc w:val="center"/>
        <w:rPr>
          <w:sz w:val="22"/>
        </w:rPr>
      </w:pPr>
      <w:r w:rsidRPr="00B10ECF">
        <w:rPr>
          <w:sz w:val="22"/>
        </w:rPr>
        <w:t>Figure 1</w:t>
      </w:r>
      <w:r w:rsidR="00D10DE1" w:rsidRPr="00B10ECF">
        <w:rPr>
          <w:sz w:val="22"/>
        </w:rPr>
        <w:t>: MPR needed to meet ACLR, NS</w:t>
      </w:r>
      <w:r w:rsidR="00D10DE1" w:rsidRPr="00B10ECF">
        <w:rPr>
          <w:sz w:val="22"/>
          <w:vertAlign w:val="subscript"/>
        </w:rPr>
        <w:t>01</w:t>
      </w:r>
      <w:r w:rsidR="00D10DE1" w:rsidRPr="00B10ECF">
        <w:rPr>
          <w:sz w:val="22"/>
        </w:rPr>
        <w:t>, and spurious requirement above 1 GHz as a function of allocation ratio</w:t>
      </w:r>
    </w:p>
    <w:p w:rsidR="00077357" w:rsidRDefault="00077357" w:rsidP="00077357">
      <w:pPr>
        <w:jc w:val="center"/>
        <w:rPr>
          <w:sz w:val="20"/>
        </w:rPr>
      </w:pPr>
    </w:p>
    <w:p w:rsidR="00DE4990" w:rsidRDefault="00D10DE1" w:rsidP="00D10DE1">
      <w:pPr>
        <w:jc w:val="center"/>
        <w:rPr>
          <w:sz w:val="20"/>
        </w:rPr>
      </w:pPr>
      <w:r w:rsidRPr="00D10DE1">
        <w:rPr>
          <w:sz w:val="20"/>
        </w:rPr>
        <w:lastRenderedPageBreak/>
        <w:pict>
          <v:shape id="_x0000_i1084" type="#_x0000_t75" style="width:384pt;height:4in">
            <v:imagedata r:id="rId30" o:title="figure2"/>
          </v:shape>
        </w:pict>
      </w:r>
    </w:p>
    <w:p w:rsidR="00D10DE1" w:rsidRPr="00B10ECF" w:rsidRDefault="00D10DE1" w:rsidP="00D10DE1">
      <w:pPr>
        <w:pStyle w:val="Caption"/>
        <w:jc w:val="center"/>
        <w:rPr>
          <w:sz w:val="22"/>
        </w:rPr>
      </w:pPr>
      <w:r w:rsidRPr="00B10ECF">
        <w:rPr>
          <w:sz w:val="22"/>
        </w:rPr>
        <w:t>Figure 2: MPR needed to meet all ACLR requirements as a function of allocation ratio</w:t>
      </w:r>
    </w:p>
    <w:p w:rsidR="00DE4990" w:rsidRDefault="00DE4990" w:rsidP="00077357">
      <w:pPr>
        <w:jc w:val="center"/>
        <w:rPr>
          <w:sz w:val="20"/>
        </w:rPr>
      </w:pPr>
    </w:p>
    <w:p w:rsidR="00EB7C7F" w:rsidRDefault="000F54C9" w:rsidP="00EB7C7F">
      <w:pPr>
        <w:pStyle w:val="Heading2"/>
      </w:pPr>
      <w:r>
        <w:t>MPR needed to meet ACLR emissions requirements</w:t>
      </w:r>
    </w:p>
    <w:p w:rsidR="00AC4C7C" w:rsidRPr="00F9345A" w:rsidRDefault="00AC4C7C" w:rsidP="00AA5E5D">
      <w:pPr>
        <w:rPr>
          <w:sz w:val="22"/>
          <w:szCs w:val="22"/>
        </w:rPr>
      </w:pPr>
      <w:r w:rsidRPr="00F9345A">
        <w:rPr>
          <w:sz w:val="22"/>
          <w:szCs w:val="22"/>
        </w:rPr>
        <w:t>As noted above, the dominant contribution to the ACLR region is the third order term of the PA non-linearity, the spectrum of which was defined above as</w:t>
      </w:r>
    </w:p>
    <w:p w:rsidR="00AC4C7C" w:rsidRPr="00F9345A" w:rsidRDefault="000F54C9" w:rsidP="00AC4C7C">
      <w:pPr>
        <w:jc w:val="center"/>
        <w:rPr>
          <w:sz w:val="22"/>
          <w:szCs w:val="22"/>
        </w:rPr>
      </w:pPr>
      <w:r w:rsidRPr="00F9345A">
        <w:rPr>
          <w:position w:val="-12"/>
          <w:sz w:val="22"/>
          <w:szCs w:val="22"/>
        </w:rPr>
        <w:object w:dxaOrig="3440" w:dyaOrig="360">
          <v:shape id="_x0000_i1035" type="#_x0000_t75" style="width:172.2pt;height:18pt" o:ole="">
            <v:imagedata r:id="rId31" o:title=""/>
          </v:shape>
          <o:OLEObject Type="Embed" ProgID="Equation.3" ShapeID="_x0000_i1035" DrawAspect="Content" ObjectID="_1413646511" r:id="rId32"/>
        </w:object>
      </w:r>
    </w:p>
    <w:p w:rsidR="00A2140E" w:rsidRPr="00F9345A" w:rsidRDefault="00AC4C7C" w:rsidP="00AC4C7C">
      <w:pPr>
        <w:rPr>
          <w:sz w:val="22"/>
          <w:szCs w:val="22"/>
        </w:rPr>
      </w:pPr>
      <w:proofErr w:type="gramStart"/>
      <w:r w:rsidRPr="00F9345A">
        <w:rPr>
          <w:sz w:val="22"/>
          <w:szCs w:val="22"/>
        </w:rPr>
        <w:t>where</w:t>
      </w:r>
      <w:proofErr w:type="gramEnd"/>
      <w:r w:rsidRPr="00F9345A">
        <w:rPr>
          <w:sz w:val="22"/>
          <w:szCs w:val="22"/>
        </w:rPr>
        <w:t xml:space="preserve"> </w:t>
      </w:r>
      <w:r w:rsidRPr="00F9345A">
        <w:rPr>
          <w:position w:val="-10"/>
          <w:sz w:val="22"/>
          <w:szCs w:val="22"/>
        </w:rPr>
        <w:object w:dxaOrig="540" w:dyaOrig="340">
          <v:shape id="_x0000_i1036" type="#_x0000_t75" style="width:27pt;height:16.8pt" o:ole="">
            <v:imagedata r:id="rId15" o:title=""/>
          </v:shape>
          <o:OLEObject Type="Embed" ProgID="Equation.3" ShapeID="_x0000_i1036" DrawAspect="Content" ObjectID="_1413646512" r:id="rId33"/>
        </w:object>
      </w:r>
      <w:r w:rsidRPr="00F9345A">
        <w:rPr>
          <w:sz w:val="22"/>
          <w:szCs w:val="22"/>
        </w:rPr>
        <w:t xml:space="preserve"> is the power spectrum at the output of the modulator</w:t>
      </w:r>
      <w:r w:rsidR="000D640D" w:rsidRPr="00F9345A">
        <w:rPr>
          <w:sz w:val="22"/>
          <w:szCs w:val="22"/>
        </w:rPr>
        <w:t>.  We define the following</w:t>
      </w:r>
      <w:r w:rsidR="00003B22" w:rsidRPr="00F9345A">
        <w:rPr>
          <w:sz w:val="22"/>
          <w:szCs w:val="22"/>
        </w:rPr>
        <w:t xml:space="preserve"> ACLR metrics for each allocation:</w:t>
      </w:r>
    </w:p>
    <w:p w:rsidR="000D640D" w:rsidRPr="00F9345A" w:rsidRDefault="00FE194C" w:rsidP="004E7AE4">
      <w:pPr>
        <w:jc w:val="center"/>
        <w:rPr>
          <w:sz w:val="22"/>
          <w:szCs w:val="22"/>
        </w:rPr>
      </w:pPr>
      <w:r w:rsidRPr="00F9345A">
        <w:rPr>
          <w:position w:val="-26"/>
          <w:sz w:val="22"/>
          <w:szCs w:val="22"/>
        </w:rPr>
        <w:object w:dxaOrig="5640" w:dyaOrig="639">
          <v:shape id="_x0000_i1037" type="#_x0000_t75" style="width:282pt;height:31.8pt" o:ole="">
            <v:imagedata r:id="rId34" o:title=""/>
          </v:shape>
          <o:OLEObject Type="Embed" ProgID="Equation.3" ShapeID="_x0000_i1037" DrawAspect="Content" ObjectID="_1413646513" r:id="rId35"/>
        </w:object>
      </w:r>
    </w:p>
    <w:p w:rsidR="004E7AE4" w:rsidRPr="00F9345A" w:rsidRDefault="00FE194C" w:rsidP="004E7AE4">
      <w:pPr>
        <w:jc w:val="center"/>
        <w:rPr>
          <w:sz w:val="22"/>
          <w:szCs w:val="22"/>
        </w:rPr>
      </w:pPr>
      <w:r w:rsidRPr="00F9345A">
        <w:rPr>
          <w:position w:val="-26"/>
          <w:sz w:val="22"/>
          <w:szCs w:val="22"/>
        </w:rPr>
        <w:object w:dxaOrig="5700" w:dyaOrig="639">
          <v:shape id="_x0000_i1038" type="#_x0000_t75" style="width:285pt;height:31.8pt" o:ole="">
            <v:imagedata r:id="rId36" o:title=""/>
          </v:shape>
          <o:OLEObject Type="Embed" ProgID="Equation.3" ShapeID="_x0000_i1038" DrawAspect="Content" ObjectID="_1413646514" r:id="rId37"/>
        </w:object>
      </w:r>
    </w:p>
    <w:p w:rsidR="000D640D" w:rsidRPr="00F9345A" w:rsidRDefault="00FE194C" w:rsidP="00A2140E">
      <w:pPr>
        <w:jc w:val="center"/>
        <w:rPr>
          <w:sz w:val="22"/>
          <w:szCs w:val="22"/>
        </w:rPr>
      </w:pPr>
      <w:r w:rsidRPr="00F9345A">
        <w:rPr>
          <w:position w:val="-26"/>
          <w:sz w:val="22"/>
          <w:szCs w:val="22"/>
        </w:rPr>
        <w:object w:dxaOrig="6060" w:dyaOrig="639">
          <v:shape id="_x0000_i1039" type="#_x0000_t75" style="width:303pt;height:31.8pt" o:ole="">
            <v:imagedata r:id="rId38" o:title=""/>
          </v:shape>
          <o:OLEObject Type="Embed" ProgID="Equation.3" ShapeID="_x0000_i1039" DrawAspect="Content" ObjectID="_1413646515" r:id="rId39"/>
        </w:object>
      </w:r>
      <w:r w:rsidR="00A2140E" w:rsidRPr="00F9345A">
        <w:rPr>
          <w:sz w:val="22"/>
          <w:szCs w:val="22"/>
        </w:rPr>
        <w:t>.</w:t>
      </w:r>
    </w:p>
    <w:p w:rsidR="00003B22" w:rsidRPr="00F9345A" w:rsidRDefault="00003B22" w:rsidP="00A2140E">
      <w:pPr>
        <w:rPr>
          <w:sz w:val="22"/>
          <w:szCs w:val="22"/>
        </w:rPr>
      </w:pPr>
    </w:p>
    <w:p w:rsidR="00003B22" w:rsidRPr="00F9345A" w:rsidRDefault="00003B22" w:rsidP="00A2140E">
      <w:pPr>
        <w:rPr>
          <w:sz w:val="22"/>
          <w:szCs w:val="22"/>
        </w:rPr>
      </w:pPr>
      <w:r w:rsidRPr="00F9345A">
        <w:rPr>
          <w:sz w:val="22"/>
          <w:szCs w:val="22"/>
        </w:rPr>
        <w:t>The above ACLR metrics can be combined into a single ACLR metric as follows</w:t>
      </w:r>
    </w:p>
    <w:p w:rsidR="00003B22" w:rsidRPr="00F9345A" w:rsidRDefault="00003B22" w:rsidP="00A2140E">
      <w:pPr>
        <w:rPr>
          <w:sz w:val="22"/>
          <w:szCs w:val="22"/>
        </w:rPr>
      </w:pPr>
    </w:p>
    <w:p w:rsidR="00003B22" w:rsidRPr="00F9345A" w:rsidRDefault="000F54C9" w:rsidP="00003B22">
      <w:pPr>
        <w:jc w:val="center"/>
        <w:rPr>
          <w:sz w:val="22"/>
          <w:szCs w:val="22"/>
        </w:rPr>
      </w:pPr>
      <w:r w:rsidRPr="00F9345A">
        <w:rPr>
          <w:position w:val="-14"/>
          <w:sz w:val="22"/>
          <w:szCs w:val="22"/>
        </w:rPr>
        <w:object w:dxaOrig="4620" w:dyaOrig="380">
          <v:shape id="_x0000_i1040" type="#_x0000_t75" style="width:231pt;height:19.2pt" o:ole="">
            <v:imagedata r:id="rId40" o:title=""/>
          </v:shape>
          <o:OLEObject Type="Embed" ProgID="Equation.3" ShapeID="_x0000_i1040" DrawAspect="Content" ObjectID="_1413646516" r:id="rId41"/>
        </w:object>
      </w:r>
      <w:r w:rsidR="00003B22" w:rsidRPr="00F9345A">
        <w:rPr>
          <w:sz w:val="22"/>
          <w:szCs w:val="22"/>
        </w:rPr>
        <w:t>,</w:t>
      </w:r>
    </w:p>
    <w:p w:rsidR="00126C04" w:rsidRPr="00F9345A" w:rsidRDefault="00126C04" w:rsidP="00003B22">
      <w:pPr>
        <w:jc w:val="both"/>
        <w:rPr>
          <w:sz w:val="22"/>
          <w:szCs w:val="22"/>
        </w:rPr>
      </w:pPr>
    </w:p>
    <w:p w:rsidR="00003B22" w:rsidRPr="00F9345A" w:rsidRDefault="00003B22" w:rsidP="00003B22">
      <w:pPr>
        <w:jc w:val="both"/>
        <w:rPr>
          <w:sz w:val="22"/>
          <w:szCs w:val="22"/>
        </w:rPr>
      </w:pPr>
      <w:proofErr w:type="gramStart"/>
      <w:r w:rsidRPr="00F9345A">
        <w:rPr>
          <w:sz w:val="22"/>
          <w:szCs w:val="22"/>
        </w:rPr>
        <w:t>where</w:t>
      </w:r>
      <w:proofErr w:type="gramEnd"/>
      <w:r w:rsidRPr="00F9345A">
        <w:rPr>
          <w:sz w:val="22"/>
          <w:szCs w:val="22"/>
        </w:rPr>
        <w:t xml:space="preserve"> </w:t>
      </w:r>
      <w:r w:rsidR="00126C04" w:rsidRPr="00F9345A">
        <w:rPr>
          <w:sz w:val="22"/>
          <w:szCs w:val="22"/>
        </w:rPr>
        <w:t>the weightings of 2 and 4 are used to account for the fact that the UTRA</w:t>
      </w:r>
      <w:r w:rsidR="00126C04" w:rsidRPr="00F9345A">
        <w:rPr>
          <w:sz w:val="22"/>
          <w:szCs w:val="22"/>
          <w:vertAlign w:val="subscript"/>
        </w:rPr>
        <w:t>ACLR1</w:t>
      </w:r>
      <w:r w:rsidR="00126C04" w:rsidRPr="00F9345A">
        <w:rPr>
          <w:sz w:val="22"/>
          <w:szCs w:val="22"/>
        </w:rPr>
        <w:t xml:space="preserve"> and UTRA</w:t>
      </w:r>
      <w:r w:rsidR="00126C04" w:rsidRPr="00F9345A">
        <w:rPr>
          <w:sz w:val="22"/>
          <w:szCs w:val="22"/>
          <w:vertAlign w:val="subscript"/>
        </w:rPr>
        <w:t>ACLR2</w:t>
      </w:r>
      <w:r w:rsidR="00126C04" w:rsidRPr="00F9345A">
        <w:rPr>
          <w:sz w:val="22"/>
          <w:szCs w:val="22"/>
        </w:rPr>
        <w:t xml:space="preserve">, requirements are 3 and 6 dB tighter, respectively, than the </w:t>
      </w:r>
      <w:r w:rsidR="00575652" w:rsidRPr="00F9345A">
        <w:rPr>
          <w:sz w:val="22"/>
          <w:szCs w:val="22"/>
        </w:rPr>
        <w:t>E-UTRA</w:t>
      </w:r>
      <w:r w:rsidR="00575652" w:rsidRPr="00F9345A">
        <w:rPr>
          <w:sz w:val="22"/>
          <w:szCs w:val="22"/>
          <w:vertAlign w:val="subscript"/>
        </w:rPr>
        <w:t>ACLR1</w:t>
      </w:r>
      <w:r w:rsidR="00A64943">
        <w:rPr>
          <w:sz w:val="22"/>
          <w:szCs w:val="22"/>
        </w:rPr>
        <w:t xml:space="preserve"> requirement.</w:t>
      </w:r>
    </w:p>
    <w:p w:rsidR="00A43B8E" w:rsidRPr="00F9345A" w:rsidRDefault="00A43B8E" w:rsidP="00003B22">
      <w:pPr>
        <w:jc w:val="both"/>
        <w:rPr>
          <w:sz w:val="22"/>
          <w:szCs w:val="22"/>
        </w:rPr>
      </w:pPr>
    </w:p>
    <w:p w:rsidR="00A43B8E" w:rsidRPr="00F9345A" w:rsidRDefault="00A43B8E" w:rsidP="00003B22">
      <w:pPr>
        <w:jc w:val="both"/>
        <w:rPr>
          <w:sz w:val="22"/>
          <w:szCs w:val="22"/>
        </w:rPr>
      </w:pPr>
      <w:r w:rsidRPr="00F9345A">
        <w:rPr>
          <w:sz w:val="22"/>
          <w:szCs w:val="22"/>
        </w:rPr>
        <w:t xml:space="preserve">The MPR needed to meet all ACLR requirements as a function of </w:t>
      </w:r>
      <w:r w:rsidRPr="00F9345A">
        <w:rPr>
          <w:position w:val="-12"/>
          <w:sz w:val="22"/>
          <w:szCs w:val="22"/>
        </w:rPr>
        <w:object w:dxaOrig="560" w:dyaOrig="360">
          <v:shape id="_x0000_i1041" type="#_x0000_t75" style="width:28.2pt;height:18pt" o:ole="">
            <v:imagedata r:id="rId42" o:title=""/>
          </v:shape>
          <o:OLEObject Type="Embed" ProgID="Equation.3" ShapeID="_x0000_i1041" DrawAspect="Content" ObjectID="_1413646517" r:id="rId43"/>
        </w:object>
      </w:r>
      <w:r w:rsidRPr="00F9345A">
        <w:rPr>
          <w:sz w:val="22"/>
          <w:szCs w:val="22"/>
        </w:rPr>
        <w:t xml:space="preserve"> is shown in Figure </w:t>
      </w:r>
      <w:r w:rsidR="00361689">
        <w:rPr>
          <w:sz w:val="22"/>
          <w:szCs w:val="22"/>
        </w:rPr>
        <w:t>3</w:t>
      </w:r>
      <w:r w:rsidRPr="00F9345A">
        <w:rPr>
          <w:sz w:val="22"/>
          <w:szCs w:val="22"/>
        </w:rPr>
        <w:t xml:space="preserve">.  A few observations can be made with respect to Figure </w:t>
      </w:r>
      <w:r w:rsidR="00361689">
        <w:rPr>
          <w:sz w:val="22"/>
          <w:szCs w:val="22"/>
        </w:rPr>
        <w:t>3</w:t>
      </w:r>
      <w:r w:rsidRPr="00F9345A">
        <w:rPr>
          <w:sz w:val="22"/>
          <w:szCs w:val="22"/>
        </w:rPr>
        <w:t>:</w:t>
      </w:r>
    </w:p>
    <w:p w:rsidR="00A43B8E" w:rsidRPr="00F9345A" w:rsidRDefault="00A43B8E" w:rsidP="00003B22">
      <w:pPr>
        <w:jc w:val="both"/>
        <w:rPr>
          <w:sz w:val="22"/>
          <w:szCs w:val="22"/>
        </w:rPr>
      </w:pPr>
    </w:p>
    <w:p w:rsidR="00A43B8E" w:rsidRPr="00F9345A" w:rsidRDefault="00A43B8E" w:rsidP="00A43B8E">
      <w:pPr>
        <w:numPr>
          <w:ilvl w:val="0"/>
          <w:numId w:val="28"/>
        </w:numPr>
        <w:jc w:val="both"/>
        <w:rPr>
          <w:sz w:val="22"/>
          <w:szCs w:val="22"/>
        </w:rPr>
      </w:pPr>
      <w:r w:rsidRPr="00F9345A">
        <w:rPr>
          <w:sz w:val="22"/>
          <w:szCs w:val="22"/>
        </w:rPr>
        <w:lastRenderedPageBreak/>
        <w:t xml:space="preserve">Even for allocations for which </w:t>
      </w:r>
      <w:r w:rsidR="000F54C9" w:rsidRPr="00F9345A">
        <w:rPr>
          <w:position w:val="-12"/>
          <w:sz w:val="22"/>
          <w:szCs w:val="22"/>
        </w:rPr>
        <w:object w:dxaOrig="560" w:dyaOrig="360">
          <v:shape id="_x0000_i1042" type="#_x0000_t75" style="width:28.2pt;height:18pt" o:ole="">
            <v:imagedata r:id="rId42" o:title=""/>
          </v:shape>
          <o:OLEObject Type="Embed" ProgID="Equation.3" ShapeID="_x0000_i1042" DrawAspect="Content" ObjectID="_1413646518" r:id="rId44"/>
        </w:object>
      </w:r>
      <w:r w:rsidR="000F54C9" w:rsidRPr="00F9345A">
        <w:rPr>
          <w:sz w:val="22"/>
          <w:szCs w:val="22"/>
        </w:rPr>
        <w:t xml:space="preserve"> is 0, as much as 1.5 dB of M</w:t>
      </w:r>
      <w:r w:rsidR="006C51E8">
        <w:rPr>
          <w:sz w:val="22"/>
          <w:szCs w:val="22"/>
        </w:rPr>
        <w:t xml:space="preserve">PR may be required to meet the </w:t>
      </w:r>
      <w:r w:rsidR="000F54C9" w:rsidRPr="00F9345A">
        <w:rPr>
          <w:sz w:val="22"/>
          <w:szCs w:val="22"/>
        </w:rPr>
        <w:t xml:space="preserve">ACLR requirements.  Presumably </w:t>
      </w:r>
      <w:r w:rsidR="003C28F4" w:rsidRPr="00F9345A">
        <w:rPr>
          <w:sz w:val="22"/>
          <w:szCs w:val="22"/>
        </w:rPr>
        <w:t xml:space="preserve">the need for MPR when </w:t>
      </w:r>
      <w:r w:rsidR="003C28F4" w:rsidRPr="00F9345A">
        <w:rPr>
          <w:position w:val="-12"/>
          <w:sz w:val="22"/>
          <w:szCs w:val="22"/>
        </w:rPr>
        <w:object w:dxaOrig="560" w:dyaOrig="360">
          <v:shape id="_x0000_i1043" type="#_x0000_t75" style="width:28.2pt;height:18pt" o:ole="">
            <v:imagedata r:id="rId42" o:title=""/>
          </v:shape>
          <o:OLEObject Type="Embed" ProgID="Equation.3" ShapeID="_x0000_i1043" DrawAspect="Content" ObjectID="_1413646519" r:id="rId45"/>
        </w:object>
      </w:r>
      <w:r w:rsidR="006C51E8">
        <w:rPr>
          <w:sz w:val="22"/>
          <w:szCs w:val="22"/>
        </w:rPr>
        <w:t xml:space="preserve"> is 0 </w:t>
      </w:r>
      <w:r w:rsidR="000F54C9" w:rsidRPr="00F9345A">
        <w:rPr>
          <w:sz w:val="22"/>
          <w:szCs w:val="22"/>
        </w:rPr>
        <w:t xml:space="preserve">is </w:t>
      </w:r>
      <w:r w:rsidR="006C51E8">
        <w:rPr>
          <w:sz w:val="22"/>
          <w:szCs w:val="22"/>
        </w:rPr>
        <w:t>the result</w:t>
      </w:r>
      <w:r w:rsidR="000F54C9" w:rsidRPr="00F9345A">
        <w:rPr>
          <w:sz w:val="22"/>
          <w:szCs w:val="22"/>
        </w:rPr>
        <w:t xml:space="preserve"> of </w:t>
      </w:r>
      <w:r w:rsidR="003C28F4" w:rsidRPr="00F9345A">
        <w:rPr>
          <w:sz w:val="22"/>
          <w:szCs w:val="22"/>
        </w:rPr>
        <w:t xml:space="preserve">spectral </w:t>
      </w:r>
      <w:r w:rsidR="006C51E8">
        <w:rPr>
          <w:sz w:val="22"/>
          <w:szCs w:val="22"/>
        </w:rPr>
        <w:t>elements</w:t>
      </w:r>
      <w:r w:rsidR="003C28F4" w:rsidRPr="00F9345A">
        <w:rPr>
          <w:sz w:val="22"/>
          <w:szCs w:val="22"/>
        </w:rPr>
        <w:t xml:space="preserve"> </w:t>
      </w:r>
      <w:r w:rsidR="006C51E8">
        <w:rPr>
          <w:sz w:val="22"/>
          <w:szCs w:val="22"/>
        </w:rPr>
        <w:t>associated with</w:t>
      </w:r>
      <w:r w:rsidR="003C28F4" w:rsidRPr="00F9345A">
        <w:rPr>
          <w:sz w:val="22"/>
          <w:szCs w:val="22"/>
        </w:rPr>
        <w:t xml:space="preserve"> </w:t>
      </w:r>
      <w:r w:rsidR="000F54C9" w:rsidRPr="00F9345A">
        <w:rPr>
          <w:sz w:val="22"/>
          <w:szCs w:val="22"/>
        </w:rPr>
        <w:t xml:space="preserve">higher order odd terms of the PA nonlinearity, such </w:t>
      </w:r>
      <w:proofErr w:type="gramStart"/>
      <w:r w:rsidR="000F54C9" w:rsidRPr="00F9345A">
        <w:rPr>
          <w:sz w:val="22"/>
          <w:szCs w:val="22"/>
        </w:rPr>
        <w:t xml:space="preserve">as </w:t>
      </w:r>
      <w:proofErr w:type="gramEnd"/>
      <w:r w:rsidR="000F54C9" w:rsidRPr="00F9345A">
        <w:rPr>
          <w:position w:val="-12"/>
          <w:sz w:val="22"/>
          <w:szCs w:val="22"/>
        </w:rPr>
        <w:object w:dxaOrig="620" w:dyaOrig="360">
          <v:shape id="_x0000_i1044" type="#_x0000_t75" style="width:31.2pt;height:18pt" o:ole="">
            <v:imagedata r:id="rId46" o:title=""/>
          </v:shape>
          <o:OLEObject Type="Embed" ProgID="Equation.3" ShapeID="_x0000_i1044" DrawAspect="Content" ObjectID="_1413646520" r:id="rId47"/>
        </w:object>
      </w:r>
      <w:r w:rsidR="000F54C9" w:rsidRPr="00F9345A">
        <w:rPr>
          <w:sz w:val="22"/>
          <w:szCs w:val="22"/>
        </w:rPr>
        <w:t>.</w:t>
      </w:r>
    </w:p>
    <w:p w:rsidR="000F54C9" w:rsidRDefault="006C51E8" w:rsidP="00A43B8E">
      <w:pPr>
        <w:numPr>
          <w:ilvl w:val="0"/>
          <w:numId w:val="28"/>
        </w:numPr>
        <w:jc w:val="both"/>
        <w:rPr>
          <w:sz w:val="22"/>
          <w:szCs w:val="22"/>
        </w:rPr>
      </w:pPr>
      <w:r>
        <w:rPr>
          <w:sz w:val="22"/>
          <w:szCs w:val="22"/>
        </w:rPr>
        <w:t>In these simulations, the</w:t>
      </w:r>
      <w:r w:rsidR="000F54C9" w:rsidRPr="00F9345A">
        <w:rPr>
          <w:sz w:val="22"/>
          <w:szCs w:val="22"/>
        </w:rPr>
        <w:t xml:space="preserve"> MPR needed to meet all ACLR requirements never exceeded ~3.6 dB.</w:t>
      </w:r>
    </w:p>
    <w:p w:rsidR="00D10DE1" w:rsidRPr="00F9345A" w:rsidRDefault="00D10DE1" w:rsidP="00D10DE1">
      <w:pPr>
        <w:ind w:left="720"/>
        <w:jc w:val="both"/>
        <w:rPr>
          <w:sz w:val="22"/>
          <w:szCs w:val="22"/>
        </w:rPr>
      </w:pPr>
    </w:p>
    <w:p w:rsidR="00534C32" w:rsidRDefault="00885F31" w:rsidP="00DE4990">
      <w:pPr>
        <w:jc w:val="center"/>
        <w:rPr>
          <w:sz w:val="22"/>
          <w:szCs w:val="22"/>
        </w:rPr>
      </w:pPr>
      <w:r w:rsidRPr="00885F31">
        <w:rPr>
          <w:sz w:val="22"/>
          <w:szCs w:val="22"/>
        </w:rPr>
        <w:pict>
          <v:shape id="_x0000_i1089" type="#_x0000_t75" style="width:384pt;height:4in">
            <v:imagedata r:id="rId48" o:title="figure3"/>
          </v:shape>
        </w:pict>
      </w:r>
    </w:p>
    <w:p w:rsidR="00D10DE1" w:rsidRPr="00B10ECF" w:rsidRDefault="00D10DE1" w:rsidP="00D10DE1">
      <w:pPr>
        <w:pStyle w:val="Caption"/>
        <w:jc w:val="center"/>
        <w:rPr>
          <w:sz w:val="22"/>
        </w:rPr>
      </w:pPr>
      <w:r w:rsidRPr="00B10ECF">
        <w:rPr>
          <w:sz w:val="22"/>
        </w:rPr>
        <w:t xml:space="preserve">Figure </w:t>
      </w:r>
      <w:r w:rsidR="00C14B71" w:rsidRPr="00B10ECF">
        <w:rPr>
          <w:sz w:val="22"/>
        </w:rPr>
        <w:t>3</w:t>
      </w:r>
      <w:r w:rsidRPr="00B10ECF">
        <w:rPr>
          <w:sz w:val="22"/>
        </w:rPr>
        <w:t xml:space="preserve">: MPR needed to meet all ACLR requirements as a function of </w:t>
      </w:r>
      <w:r w:rsidRPr="00B10ECF">
        <w:rPr>
          <w:rFonts w:ascii="Symbol" w:hAnsi="Symbol"/>
          <w:sz w:val="22"/>
        </w:rPr>
        <w:t></w:t>
      </w:r>
      <w:r w:rsidRPr="00B10ECF">
        <w:rPr>
          <w:sz w:val="22"/>
          <w:vertAlign w:val="subscript"/>
        </w:rPr>
        <w:t>ACLR</w:t>
      </w:r>
    </w:p>
    <w:p w:rsidR="00682BF9" w:rsidRDefault="00682BF9" w:rsidP="00034629">
      <w:pPr>
        <w:rPr>
          <w:sz w:val="22"/>
          <w:szCs w:val="22"/>
        </w:rPr>
      </w:pPr>
    </w:p>
    <w:p w:rsidR="008B220B" w:rsidRPr="00F9345A" w:rsidRDefault="000D3580" w:rsidP="00034629">
      <w:pPr>
        <w:rPr>
          <w:sz w:val="22"/>
          <w:szCs w:val="22"/>
        </w:rPr>
      </w:pPr>
      <w:r w:rsidRPr="00F9345A">
        <w:rPr>
          <w:sz w:val="22"/>
          <w:szCs w:val="22"/>
        </w:rPr>
        <w:t xml:space="preserve">For the results in Figure </w:t>
      </w:r>
      <w:r w:rsidR="00361689">
        <w:rPr>
          <w:sz w:val="22"/>
          <w:szCs w:val="22"/>
        </w:rPr>
        <w:t>3</w:t>
      </w:r>
      <w:r w:rsidRPr="00F9345A">
        <w:rPr>
          <w:sz w:val="22"/>
          <w:szCs w:val="22"/>
        </w:rPr>
        <w:t xml:space="preserve">, the parameter </w:t>
      </w:r>
      <w:r w:rsidRPr="00F9345A">
        <w:rPr>
          <w:position w:val="-12"/>
          <w:sz w:val="22"/>
          <w:szCs w:val="22"/>
        </w:rPr>
        <w:object w:dxaOrig="560" w:dyaOrig="360">
          <v:shape id="_x0000_i1045" type="#_x0000_t75" style="width:28.2pt;height:18pt" o:ole="">
            <v:imagedata r:id="rId42" o:title=""/>
          </v:shape>
          <o:OLEObject Type="Embed" ProgID="Equation.3" ShapeID="_x0000_i1045" DrawAspect="Content" ObjectID="_1413646521" r:id="rId49"/>
        </w:object>
      </w:r>
      <w:r w:rsidR="002863D2" w:rsidRPr="00F9345A">
        <w:rPr>
          <w:sz w:val="22"/>
          <w:szCs w:val="22"/>
        </w:rPr>
        <w:t xml:space="preserve"> was computed using an approximation method in which each multi-cluster uplink allocation was </w:t>
      </w:r>
      <w:r w:rsidR="008B220B" w:rsidRPr="00F9345A">
        <w:rPr>
          <w:sz w:val="22"/>
          <w:szCs w:val="22"/>
        </w:rPr>
        <w:t xml:space="preserve">represented as a </w:t>
      </w:r>
      <w:r w:rsidR="00682BF9">
        <w:rPr>
          <w:sz w:val="22"/>
          <w:szCs w:val="22"/>
        </w:rPr>
        <w:t>vector</w:t>
      </w:r>
      <w:r w:rsidR="008B220B" w:rsidRPr="00F9345A">
        <w:rPr>
          <w:sz w:val="22"/>
          <w:szCs w:val="22"/>
        </w:rPr>
        <w:t xml:space="preserve"> of length </w:t>
      </w:r>
      <w:r w:rsidR="00682BF9">
        <w:rPr>
          <w:sz w:val="22"/>
          <w:szCs w:val="22"/>
        </w:rPr>
        <w:t>N</w:t>
      </w:r>
      <w:r w:rsidR="00682BF9" w:rsidRPr="00682BF9">
        <w:rPr>
          <w:sz w:val="22"/>
          <w:szCs w:val="22"/>
          <w:vertAlign w:val="subscript"/>
        </w:rPr>
        <w:t>RB</w:t>
      </w:r>
      <w:r w:rsidR="00682BF9">
        <w:rPr>
          <w:sz w:val="22"/>
          <w:szCs w:val="22"/>
        </w:rPr>
        <w:t xml:space="preserve"> (where N</w:t>
      </w:r>
      <w:r w:rsidR="00682BF9" w:rsidRPr="00682BF9">
        <w:rPr>
          <w:sz w:val="22"/>
          <w:szCs w:val="22"/>
          <w:vertAlign w:val="subscript"/>
        </w:rPr>
        <w:t>RB</w:t>
      </w:r>
      <w:r w:rsidR="00682BF9">
        <w:rPr>
          <w:sz w:val="22"/>
          <w:szCs w:val="22"/>
        </w:rPr>
        <w:t xml:space="preserve"> is the  number of </w:t>
      </w:r>
      <w:proofErr w:type="spellStart"/>
      <w:r w:rsidR="00682BF9">
        <w:rPr>
          <w:sz w:val="22"/>
          <w:szCs w:val="22"/>
        </w:rPr>
        <w:t>allocatable</w:t>
      </w:r>
      <w:proofErr w:type="spellEnd"/>
      <w:r w:rsidR="00682BF9">
        <w:rPr>
          <w:sz w:val="22"/>
          <w:szCs w:val="22"/>
        </w:rPr>
        <w:t xml:space="preserve"> RB’s for the given bandwidth – in this example, N</w:t>
      </w:r>
      <w:r w:rsidR="00682BF9" w:rsidRPr="00682BF9">
        <w:rPr>
          <w:sz w:val="22"/>
          <w:szCs w:val="22"/>
          <w:vertAlign w:val="subscript"/>
        </w:rPr>
        <w:t>RB</w:t>
      </w:r>
      <w:r w:rsidR="00682BF9">
        <w:rPr>
          <w:sz w:val="22"/>
          <w:szCs w:val="22"/>
        </w:rPr>
        <w:t xml:space="preserve"> = 100)</w:t>
      </w:r>
      <w:r w:rsidR="008B220B" w:rsidRPr="00F9345A">
        <w:rPr>
          <w:sz w:val="22"/>
          <w:szCs w:val="22"/>
        </w:rPr>
        <w:t xml:space="preserve"> in which the</w:t>
      </w:r>
      <w:r w:rsidR="00361689">
        <w:rPr>
          <w:sz w:val="22"/>
          <w:szCs w:val="22"/>
        </w:rPr>
        <w:t xml:space="preserve"> </w:t>
      </w:r>
      <w:proofErr w:type="spellStart"/>
      <w:r w:rsidR="002863D2" w:rsidRPr="00A04B43">
        <w:rPr>
          <w:i/>
          <w:sz w:val="22"/>
          <w:szCs w:val="22"/>
        </w:rPr>
        <w:t>i</w:t>
      </w:r>
      <w:r w:rsidR="002863D2" w:rsidRPr="00F9345A">
        <w:rPr>
          <w:sz w:val="22"/>
          <w:szCs w:val="22"/>
        </w:rPr>
        <w:t>-th</w:t>
      </w:r>
      <w:proofErr w:type="spellEnd"/>
      <w:r w:rsidR="002863D2" w:rsidRPr="00F9345A">
        <w:rPr>
          <w:sz w:val="22"/>
          <w:szCs w:val="22"/>
        </w:rPr>
        <w:t xml:space="preserve"> element of the </w:t>
      </w:r>
      <w:r w:rsidR="00682BF9">
        <w:rPr>
          <w:sz w:val="22"/>
          <w:szCs w:val="22"/>
        </w:rPr>
        <w:t>vector</w:t>
      </w:r>
      <w:r w:rsidR="002863D2" w:rsidRPr="00F9345A">
        <w:rPr>
          <w:sz w:val="22"/>
          <w:szCs w:val="22"/>
        </w:rPr>
        <w:t xml:space="preserve"> corresponds to the </w:t>
      </w:r>
      <w:proofErr w:type="spellStart"/>
      <w:r w:rsidR="002863D2" w:rsidRPr="00F9345A">
        <w:rPr>
          <w:i/>
          <w:sz w:val="22"/>
          <w:szCs w:val="22"/>
        </w:rPr>
        <w:t>i</w:t>
      </w:r>
      <w:r w:rsidR="002863D2" w:rsidRPr="00F9345A">
        <w:rPr>
          <w:sz w:val="22"/>
          <w:szCs w:val="22"/>
        </w:rPr>
        <w:t>-th</w:t>
      </w:r>
      <w:proofErr w:type="spellEnd"/>
      <w:r w:rsidR="002863D2" w:rsidRPr="00F9345A">
        <w:rPr>
          <w:sz w:val="22"/>
          <w:szCs w:val="22"/>
        </w:rPr>
        <w:t xml:space="preserve"> RB.  If </w:t>
      </w:r>
      <w:proofErr w:type="gramStart"/>
      <w:r w:rsidR="002863D2" w:rsidRPr="00F9345A">
        <w:rPr>
          <w:sz w:val="22"/>
          <w:szCs w:val="22"/>
        </w:rPr>
        <w:t xml:space="preserve">the </w:t>
      </w:r>
      <w:proofErr w:type="spellStart"/>
      <w:r w:rsidR="002863D2" w:rsidRPr="00F9345A">
        <w:rPr>
          <w:i/>
          <w:sz w:val="22"/>
          <w:szCs w:val="22"/>
        </w:rPr>
        <w:t>i</w:t>
      </w:r>
      <w:proofErr w:type="gramEnd"/>
      <w:r w:rsidR="002863D2" w:rsidRPr="00F9345A">
        <w:rPr>
          <w:sz w:val="22"/>
          <w:szCs w:val="22"/>
        </w:rPr>
        <w:t>-th</w:t>
      </w:r>
      <w:proofErr w:type="spellEnd"/>
      <w:r w:rsidR="002863D2" w:rsidRPr="00F9345A">
        <w:rPr>
          <w:sz w:val="22"/>
          <w:szCs w:val="22"/>
        </w:rPr>
        <w:t xml:space="preserve"> RB is not allocated, </w:t>
      </w:r>
      <w:r w:rsidR="00682BF9">
        <w:rPr>
          <w:sz w:val="22"/>
          <w:szCs w:val="22"/>
        </w:rPr>
        <w:t xml:space="preserve">the </w:t>
      </w:r>
      <w:proofErr w:type="spellStart"/>
      <w:r w:rsidR="002863D2" w:rsidRPr="00F9345A">
        <w:rPr>
          <w:i/>
          <w:sz w:val="22"/>
          <w:szCs w:val="22"/>
        </w:rPr>
        <w:t>i</w:t>
      </w:r>
      <w:r w:rsidR="00F9345A" w:rsidRPr="00F9345A">
        <w:rPr>
          <w:sz w:val="22"/>
          <w:szCs w:val="22"/>
        </w:rPr>
        <w:t>-th</w:t>
      </w:r>
      <w:proofErr w:type="spellEnd"/>
      <w:r w:rsidR="00F9345A" w:rsidRPr="00F9345A">
        <w:rPr>
          <w:sz w:val="22"/>
          <w:szCs w:val="22"/>
        </w:rPr>
        <w:t xml:space="preserve"> element</w:t>
      </w:r>
      <w:r w:rsidR="008B220B" w:rsidRPr="00F9345A">
        <w:rPr>
          <w:sz w:val="22"/>
          <w:szCs w:val="22"/>
        </w:rPr>
        <w:t xml:space="preserve"> of the </w:t>
      </w:r>
      <w:r w:rsidR="00682BF9">
        <w:rPr>
          <w:sz w:val="22"/>
          <w:szCs w:val="22"/>
        </w:rPr>
        <w:t>vector</w:t>
      </w:r>
      <w:r w:rsidR="008B220B" w:rsidRPr="00F9345A">
        <w:rPr>
          <w:sz w:val="22"/>
          <w:szCs w:val="22"/>
        </w:rPr>
        <w:t xml:space="preserve"> is set to 0</w:t>
      </w:r>
      <w:r w:rsidR="002863D2" w:rsidRPr="00F9345A">
        <w:rPr>
          <w:sz w:val="22"/>
          <w:szCs w:val="22"/>
        </w:rPr>
        <w:t xml:space="preserve">.   If </w:t>
      </w:r>
      <w:proofErr w:type="gramStart"/>
      <w:r w:rsidR="002863D2" w:rsidRPr="00F9345A">
        <w:rPr>
          <w:sz w:val="22"/>
          <w:szCs w:val="22"/>
        </w:rPr>
        <w:t xml:space="preserve">the </w:t>
      </w:r>
      <w:proofErr w:type="spellStart"/>
      <w:r w:rsidR="002863D2" w:rsidRPr="00F9345A">
        <w:rPr>
          <w:i/>
          <w:sz w:val="22"/>
          <w:szCs w:val="22"/>
        </w:rPr>
        <w:t>i</w:t>
      </w:r>
      <w:proofErr w:type="gramEnd"/>
      <w:r w:rsidR="002863D2" w:rsidRPr="00F9345A">
        <w:rPr>
          <w:sz w:val="22"/>
          <w:szCs w:val="22"/>
        </w:rPr>
        <w:t>-th</w:t>
      </w:r>
      <w:proofErr w:type="spellEnd"/>
      <w:r w:rsidR="002863D2" w:rsidRPr="00F9345A">
        <w:rPr>
          <w:sz w:val="22"/>
          <w:szCs w:val="22"/>
        </w:rPr>
        <w:t xml:space="preserve"> element of the RB is allocated, then the value of the </w:t>
      </w:r>
      <w:proofErr w:type="spellStart"/>
      <w:r w:rsidR="002863D2" w:rsidRPr="00F9345A">
        <w:rPr>
          <w:i/>
          <w:sz w:val="22"/>
          <w:szCs w:val="22"/>
        </w:rPr>
        <w:t>i</w:t>
      </w:r>
      <w:r w:rsidR="002863D2" w:rsidRPr="00F9345A">
        <w:rPr>
          <w:sz w:val="22"/>
          <w:szCs w:val="22"/>
        </w:rPr>
        <w:t>-th</w:t>
      </w:r>
      <w:proofErr w:type="spellEnd"/>
      <w:r w:rsidR="002863D2" w:rsidRPr="00F9345A">
        <w:rPr>
          <w:sz w:val="22"/>
          <w:szCs w:val="22"/>
        </w:rPr>
        <w:t xml:space="preserve"> element is set to 1/</w:t>
      </w:r>
      <w:proofErr w:type="spellStart"/>
      <w:r w:rsidR="002863D2" w:rsidRPr="00F9345A">
        <w:rPr>
          <w:sz w:val="22"/>
          <w:szCs w:val="22"/>
        </w:rPr>
        <w:t>N</w:t>
      </w:r>
      <w:r w:rsidR="002863D2" w:rsidRPr="00F9345A">
        <w:rPr>
          <w:sz w:val="22"/>
          <w:szCs w:val="22"/>
          <w:vertAlign w:val="subscript"/>
        </w:rPr>
        <w:t>RB_alloc</w:t>
      </w:r>
      <w:proofErr w:type="spellEnd"/>
      <w:r w:rsidR="002863D2" w:rsidRPr="00F9345A">
        <w:rPr>
          <w:sz w:val="22"/>
          <w:szCs w:val="22"/>
        </w:rPr>
        <w:t xml:space="preserve"> where </w:t>
      </w:r>
      <w:proofErr w:type="spellStart"/>
      <w:r w:rsidR="002863D2" w:rsidRPr="00F9345A">
        <w:rPr>
          <w:sz w:val="22"/>
          <w:szCs w:val="22"/>
        </w:rPr>
        <w:t>N</w:t>
      </w:r>
      <w:r w:rsidR="002863D2" w:rsidRPr="00F9345A">
        <w:rPr>
          <w:sz w:val="22"/>
          <w:szCs w:val="22"/>
          <w:vertAlign w:val="subscript"/>
        </w:rPr>
        <w:t>RB_alloc</w:t>
      </w:r>
      <w:proofErr w:type="spellEnd"/>
      <w:r w:rsidR="002863D2" w:rsidRPr="00F9345A">
        <w:rPr>
          <w:sz w:val="22"/>
          <w:szCs w:val="22"/>
        </w:rPr>
        <w:t xml:space="preserve"> is the number of</w:t>
      </w:r>
      <w:r w:rsidR="008B220B" w:rsidRPr="00F9345A">
        <w:rPr>
          <w:sz w:val="22"/>
          <w:szCs w:val="22"/>
        </w:rPr>
        <w:t xml:space="preserve"> allocated</w:t>
      </w:r>
      <w:r w:rsidR="002863D2" w:rsidRPr="00F9345A">
        <w:rPr>
          <w:sz w:val="22"/>
          <w:szCs w:val="22"/>
        </w:rPr>
        <w:t xml:space="preserve"> RB’</w:t>
      </w:r>
      <w:r w:rsidR="008B220B" w:rsidRPr="00F9345A">
        <w:rPr>
          <w:sz w:val="22"/>
          <w:szCs w:val="22"/>
        </w:rPr>
        <w:t>s.  With this representation, the power of each multi-cluster allocation is unity regardless of the number of allocated RB’s.</w:t>
      </w:r>
    </w:p>
    <w:p w:rsidR="008B220B" w:rsidRPr="00F9345A" w:rsidRDefault="008B220B" w:rsidP="00034629">
      <w:pPr>
        <w:rPr>
          <w:sz w:val="22"/>
          <w:szCs w:val="22"/>
        </w:rPr>
      </w:pPr>
    </w:p>
    <w:p w:rsidR="008B220B" w:rsidRPr="00FE194C" w:rsidRDefault="00F9345A" w:rsidP="008B220B">
      <w:pPr>
        <w:tabs>
          <w:tab w:val="left" w:pos="2352"/>
        </w:tabs>
        <w:rPr>
          <w:sz w:val="22"/>
          <w:szCs w:val="22"/>
        </w:rPr>
      </w:pPr>
      <w:r w:rsidRPr="00FE194C">
        <w:rPr>
          <w:sz w:val="22"/>
          <w:szCs w:val="22"/>
        </w:rPr>
        <w:t xml:space="preserve">Discrete frequency-domain convolutions starting with the above normalized allocation vector are used to </w:t>
      </w:r>
      <w:proofErr w:type="gramStart"/>
      <w:r w:rsidRPr="00FE194C">
        <w:rPr>
          <w:sz w:val="22"/>
          <w:szCs w:val="22"/>
        </w:rPr>
        <w:t xml:space="preserve">compute </w:t>
      </w:r>
      <w:proofErr w:type="gramEnd"/>
      <w:r w:rsidRPr="00FE194C">
        <w:rPr>
          <w:position w:val="-12"/>
          <w:sz w:val="22"/>
          <w:szCs w:val="22"/>
        </w:rPr>
        <w:object w:dxaOrig="620" w:dyaOrig="360">
          <v:shape id="_x0000_i1046" type="#_x0000_t75" style="width:31.2pt;height:18pt" o:ole="">
            <v:imagedata r:id="rId25" o:title=""/>
          </v:shape>
          <o:OLEObject Type="Embed" ProgID="Equation.3" ShapeID="_x0000_i1046" DrawAspect="Content" ObjectID="_1413646522" r:id="rId50"/>
        </w:object>
      </w:r>
      <w:r w:rsidR="00FE194C" w:rsidRPr="00FE194C">
        <w:rPr>
          <w:sz w:val="22"/>
          <w:szCs w:val="22"/>
        </w:rPr>
        <w:t xml:space="preserve">, </w:t>
      </w:r>
      <w:r w:rsidR="00A04B43">
        <w:rPr>
          <w:sz w:val="22"/>
          <w:szCs w:val="22"/>
        </w:rPr>
        <w:t>which is then used to evaluate the integrals for</w:t>
      </w:r>
      <w:r w:rsidR="00FE194C" w:rsidRPr="00FE194C">
        <w:rPr>
          <w:sz w:val="22"/>
          <w:szCs w:val="22"/>
        </w:rPr>
        <w:t xml:space="preserve"> </w:t>
      </w:r>
      <w:r w:rsidRPr="00FE194C">
        <w:rPr>
          <w:position w:val="-14"/>
          <w:sz w:val="22"/>
          <w:szCs w:val="22"/>
        </w:rPr>
        <w:object w:dxaOrig="840" w:dyaOrig="380">
          <v:shape id="_x0000_i1047" type="#_x0000_t75" style="width:42pt;height:19.2pt" o:ole="">
            <v:imagedata r:id="rId51" o:title=""/>
          </v:shape>
          <o:OLEObject Type="Embed" ProgID="Equation.3" ShapeID="_x0000_i1047" DrawAspect="Content" ObjectID="_1413646523" r:id="rId52"/>
        </w:object>
      </w:r>
      <w:r w:rsidRPr="00FE194C">
        <w:rPr>
          <w:sz w:val="22"/>
          <w:szCs w:val="22"/>
        </w:rPr>
        <w:t xml:space="preserve">, </w:t>
      </w:r>
      <w:r w:rsidRPr="00FE194C">
        <w:rPr>
          <w:position w:val="-14"/>
          <w:sz w:val="22"/>
          <w:szCs w:val="22"/>
        </w:rPr>
        <w:object w:dxaOrig="859" w:dyaOrig="380">
          <v:shape id="_x0000_i1048" type="#_x0000_t75" style="width:43.2pt;height:19.2pt" o:ole="">
            <v:imagedata r:id="rId53" o:title=""/>
          </v:shape>
          <o:OLEObject Type="Embed" ProgID="Equation.3" ShapeID="_x0000_i1048" DrawAspect="Content" ObjectID="_1413646524" r:id="rId54"/>
        </w:object>
      </w:r>
      <w:r w:rsidRPr="00FE194C">
        <w:rPr>
          <w:sz w:val="22"/>
          <w:szCs w:val="22"/>
        </w:rPr>
        <w:t xml:space="preserve">, and </w:t>
      </w:r>
      <w:r w:rsidRPr="00FE194C">
        <w:rPr>
          <w:position w:val="-14"/>
          <w:sz w:val="22"/>
          <w:szCs w:val="22"/>
        </w:rPr>
        <w:object w:dxaOrig="980" w:dyaOrig="380">
          <v:shape id="_x0000_i1049" type="#_x0000_t75" style="width:49.2pt;height:19.2pt" o:ole="">
            <v:imagedata r:id="rId55" o:title=""/>
          </v:shape>
          <o:OLEObject Type="Embed" ProgID="Equation.3" ShapeID="_x0000_i1049" DrawAspect="Content" ObjectID="_1413646525" r:id="rId56"/>
        </w:object>
      </w:r>
      <w:r w:rsidRPr="00FE194C">
        <w:rPr>
          <w:sz w:val="22"/>
          <w:szCs w:val="22"/>
        </w:rPr>
        <w:t>.</w:t>
      </w:r>
      <w:r w:rsidR="00B04EEF">
        <w:rPr>
          <w:sz w:val="22"/>
          <w:szCs w:val="22"/>
        </w:rPr>
        <w:t xml:space="preserve">  </w:t>
      </w:r>
      <w:r w:rsidR="00A04B43">
        <w:rPr>
          <w:sz w:val="22"/>
          <w:szCs w:val="22"/>
        </w:rPr>
        <w:t xml:space="preserve">The resulting values </w:t>
      </w:r>
      <w:proofErr w:type="gramStart"/>
      <w:r w:rsidR="00A04B43">
        <w:rPr>
          <w:sz w:val="22"/>
          <w:szCs w:val="22"/>
        </w:rPr>
        <w:t xml:space="preserve">for </w:t>
      </w:r>
      <w:proofErr w:type="gramEnd"/>
      <w:r w:rsidR="00A04B43" w:rsidRPr="00FE194C">
        <w:rPr>
          <w:position w:val="-14"/>
          <w:sz w:val="22"/>
          <w:szCs w:val="22"/>
        </w:rPr>
        <w:object w:dxaOrig="840" w:dyaOrig="380">
          <v:shape id="_x0000_i1050" type="#_x0000_t75" style="width:42pt;height:19.2pt" o:ole="">
            <v:imagedata r:id="rId51" o:title=""/>
          </v:shape>
          <o:OLEObject Type="Embed" ProgID="Equation.3" ShapeID="_x0000_i1050" DrawAspect="Content" ObjectID="_1413646526" r:id="rId57"/>
        </w:object>
      </w:r>
      <w:r w:rsidR="00A04B43" w:rsidRPr="00FE194C">
        <w:rPr>
          <w:sz w:val="22"/>
          <w:szCs w:val="22"/>
        </w:rPr>
        <w:t xml:space="preserve">, </w:t>
      </w:r>
      <w:r w:rsidR="00A04B43" w:rsidRPr="00FE194C">
        <w:rPr>
          <w:position w:val="-14"/>
          <w:sz w:val="22"/>
          <w:szCs w:val="22"/>
        </w:rPr>
        <w:object w:dxaOrig="859" w:dyaOrig="380">
          <v:shape id="_x0000_i1051" type="#_x0000_t75" style="width:43.2pt;height:19.2pt" o:ole="">
            <v:imagedata r:id="rId53" o:title=""/>
          </v:shape>
          <o:OLEObject Type="Embed" ProgID="Equation.3" ShapeID="_x0000_i1051" DrawAspect="Content" ObjectID="_1413646527" r:id="rId58"/>
        </w:object>
      </w:r>
      <w:r w:rsidR="00A04B43" w:rsidRPr="00FE194C">
        <w:rPr>
          <w:sz w:val="22"/>
          <w:szCs w:val="22"/>
        </w:rPr>
        <w:t xml:space="preserve">, and </w:t>
      </w:r>
      <w:r w:rsidR="00A04B43" w:rsidRPr="00FE194C">
        <w:rPr>
          <w:position w:val="-14"/>
          <w:sz w:val="22"/>
          <w:szCs w:val="22"/>
        </w:rPr>
        <w:object w:dxaOrig="980" w:dyaOrig="380">
          <v:shape id="_x0000_i1052" type="#_x0000_t75" style="width:49.2pt;height:19.2pt" o:ole="">
            <v:imagedata r:id="rId55" o:title=""/>
          </v:shape>
          <o:OLEObject Type="Embed" ProgID="Equation.3" ShapeID="_x0000_i1052" DrawAspect="Content" ObjectID="_1413646528" r:id="rId59"/>
        </w:object>
      </w:r>
      <w:r w:rsidR="00A04B43">
        <w:rPr>
          <w:sz w:val="22"/>
          <w:szCs w:val="22"/>
        </w:rPr>
        <w:t xml:space="preserve">are approximations, but </w:t>
      </w:r>
      <w:r w:rsidR="00682BF9">
        <w:rPr>
          <w:sz w:val="22"/>
          <w:szCs w:val="22"/>
        </w:rPr>
        <w:t xml:space="preserve">this </w:t>
      </w:r>
      <w:r w:rsidR="00364B57">
        <w:rPr>
          <w:sz w:val="22"/>
          <w:szCs w:val="22"/>
        </w:rPr>
        <w:t xml:space="preserve">method is much simpler than </w:t>
      </w:r>
      <w:r w:rsidR="00495C15">
        <w:rPr>
          <w:sz w:val="22"/>
          <w:szCs w:val="22"/>
        </w:rPr>
        <w:t xml:space="preserve">that which would be required to compute these values </w:t>
      </w:r>
      <w:r w:rsidR="006C51E8">
        <w:rPr>
          <w:sz w:val="22"/>
          <w:szCs w:val="22"/>
        </w:rPr>
        <w:t>more precisely</w:t>
      </w:r>
      <w:r w:rsidR="00364B57">
        <w:rPr>
          <w:sz w:val="22"/>
          <w:szCs w:val="22"/>
        </w:rPr>
        <w:t>.</w:t>
      </w:r>
    </w:p>
    <w:p w:rsidR="002863D2" w:rsidRPr="00FE194C" w:rsidRDefault="008B220B" w:rsidP="00FE194C">
      <w:pPr>
        <w:tabs>
          <w:tab w:val="left" w:pos="2352"/>
        </w:tabs>
        <w:rPr>
          <w:sz w:val="22"/>
          <w:szCs w:val="22"/>
        </w:rPr>
      </w:pPr>
      <w:r w:rsidRPr="00F9345A">
        <w:rPr>
          <w:sz w:val="22"/>
          <w:szCs w:val="22"/>
        </w:rPr>
        <w:tab/>
      </w:r>
    </w:p>
    <w:p w:rsidR="00EB7C7F" w:rsidRDefault="000F54C9" w:rsidP="00EB7C7F">
      <w:pPr>
        <w:pStyle w:val="Heading2"/>
      </w:pPr>
      <w:r>
        <w:t>MPR needed to meet spurious emissions and SEM requirements</w:t>
      </w:r>
    </w:p>
    <w:p w:rsidR="006D5E76" w:rsidRDefault="000F54C9" w:rsidP="00034629">
      <w:pPr>
        <w:rPr>
          <w:sz w:val="22"/>
          <w:szCs w:val="22"/>
        </w:rPr>
      </w:pPr>
      <w:r w:rsidRPr="00F9345A">
        <w:rPr>
          <w:sz w:val="22"/>
          <w:szCs w:val="22"/>
        </w:rPr>
        <w:t>As noted above, the</w:t>
      </w:r>
      <w:r w:rsidR="00F84434" w:rsidRPr="00F9345A">
        <w:rPr>
          <w:sz w:val="22"/>
          <w:szCs w:val="22"/>
        </w:rPr>
        <w:t xml:space="preserve"> third order term of the PA non-linearity does not contribute to the spurious domain, nor does it contribute to the spectral region covered by the </w:t>
      </w:r>
      <w:r w:rsidR="000D3580" w:rsidRPr="00F9345A">
        <w:rPr>
          <w:sz w:val="22"/>
          <w:szCs w:val="22"/>
        </w:rPr>
        <w:t>outer</w:t>
      </w:r>
      <w:r w:rsidR="00F84434" w:rsidRPr="00F9345A">
        <w:rPr>
          <w:sz w:val="22"/>
          <w:szCs w:val="22"/>
        </w:rPr>
        <w:t xml:space="preserve"> 5 MHz of the </w:t>
      </w:r>
      <w:r w:rsidR="00FE194C">
        <w:rPr>
          <w:sz w:val="22"/>
          <w:szCs w:val="22"/>
        </w:rPr>
        <w:t xml:space="preserve">general E-UTRA </w:t>
      </w:r>
      <w:r w:rsidR="00F84434" w:rsidRPr="00F9345A">
        <w:rPr>
          <w:sz w:val="22"/>
          <w:szCs w:val="22"/>
        </w:rPr>
        <w:t>spectral emissions mask.</w:t>
      </w:r>
      <w:r w:rsidR="003C28F4" w:rsidRPr="00F9345A">
        <w:rPr>
          <w:sz w:val="22"/>
          <w:szCs w:val="22"/>
        </w:rPr>
        <w:t xml:space="preserve">  The dominant contribution</w:t>
      </w:r>
      <w:r w:rsidR="000D3580" w:rsidRPr="00F9345A">
        <w:rPr>
          <w:sz w:val="22"/>
          <w:szCs w:val="22"/>
        </w:rPr>
        <w:t xml:space="preserve"> in </w:t>
      </w:r>
      <w:r w:rsidR="006D5E76">
        <w:rPr>
          <w:sz w:val="22"/>
          <w:szCs w:val="22"/>
        </w:rPr>
        <w:t>this region is due to the 5</w:t>
      </w:r>
      <w:r w:rsidR="006D5E76" w:rsidRPr="006D5E76">
        <w:rPr>
          <w:sz w:val="22"/>
          <w:szCs w:val="22"/>
          <w:vertAlign w:val="superscript"/>
        </w:rPr>
        <w:t>th</w:t>
      </w:r>
      <w:r w:rsidR="006D5E76">
        <w:rPr>
          <w:sz w:val="22"/>
          <w:szCs w:val="22"/>
        </w:rPr>
        <w:t xml:space="preserve"> order term of the PA non-linearity, for which the spectral response is proportional to</w:t>
      </w:r>
    </w:p>
    <w:p w:rsidR="006D5E76" w:rsidRDefault="006D5E76" w:rsidP="00034629">
      <w:pPr>
        <w:jc w:val="center"/>
        <w:rPr>
          <w:sz w:val="22"/>
          <w:szCs w:val="22"/>
        </w:rPr>
      </w:pPr>
    </w:p>
    <w:p w:rsidR="00034629" w:rsidRPr="00F9345A" w:rsidRDefault="00680C36" w:rsidP="00034629">
      <w:pPr>
        <w:jc w:val="center"/>
        <w:rPr>
          <w:sz w:val="22"/>
          <w:szCs w:val="22"/>
        </w:rPr>
      </w:pPr>
      <w:r w:rsidRPr="00F9345A">
        <w:rPr>
          <w:position w:val="-12"/>
          <w:sz w:val="22"/>
          <w:szCs w:val="22"/>
        </w:rPr>
        <w:object w:dxaOrig="5080" w:dyaOrig="360">
          <v:shape id="_x0000_i1053" type="#_x0000_t75" style="width:253.8pt;height:18pt" o:ole="">
            <v:imagedata r:id="rId60" o:title=""/>
          </v:shape>
          <o:OLEObject Type="Embed" ProgID="Equation.3" ShapeID="_x0000_i1053" DrawAspect="Content" ObjectID="_1413646529" r:id="rId61"/>
        </w:object>
      </w:r>
    </w:p>
    <w:p w:rsidR="00FE194C" w:rsidRDefault="00FE194C" w:rsidP="00AA5E5D">
      <w:pPr>
        <w:rPr>
          <w:sz w:val="22"/>
          <w:szCs w:val="22"/>
        </w:rPr>
      </w:pPr>
    </w:p>
    <w:p w:rsidR="000644A6" w:rsidRDefault="00D17353" w:rsidP="00AA5E5D">
      <w:pPr>
        <w:rPr>
          <w:sz w:val="22"/>
          <w:szCs w:val="22"/>
        </w:rPr>
      </w:pPr>
      <w:r>
        <w:rPr>
          <w:sz w:val="22"/>
          <w:szCs w:val="22"/>
        </w:rPr>
        <w:t>We define the</w:t>
      </w:r>
      <w:r w:rsidR="000644A6">
        <w:rPr>
          <w:sz w:val="22"/>
          <w:szCs w:val="22"/>
        </w:rPr>
        <w:t xml:space="preserve"> following metrics for the spurious domain</w:t>
      </w:r>
    </w:p>
    <w:p w:rsidR="000644A6" w:rsidRDefault="000644A6" w:rsidP="00AA5E5D">
      <w:pPr>
        <w:rPr>
          <w:sz w:val="22"/>
          <w:szCs w:val="22"/>
        </w:rPr>
      </w:pPr>
    </w:p>
    <w:p w:rsidR="000644A6" w:rsidRDefault="00AE0C5B" w:rsidP="000644A6">
      <w:pPr>
        <w:ind w:left="360"/>
        <w:jc w:val="center"/>
        <w:rPr>
          <w:position w:val="-42"/>
        </w:rPr>
      </w:pPr>
      <w:r w:rsidRPr="000644A6">
        <w:rPr>
          <w:position w:val="-22"/>
        </w:rPr>
        <w:object w:dxaOrig="8240" w:dyaOrig="560">
          <v:shape id="_x0000_i1054" type="#_x0000_t75" style="width:412.2pt;height:27.6pt" o:ole="">
            <v:imagedata r:id="rId62" o:title=""/>
          </v:shape>
          <o:OLEObject Type="Embed" ProgID="Equation.3" ShapeID="_x0000_i1054" DrawAspect="Content" ObjectID="_1413646530" r:id="rId63"/>
        </w:object>
      </w:r>
    </w:p>
    <w:p w:rsidR="00D17353" w:rsidRDefault="00D17353" w:rsidP="000644A6">
      <w:pPr>
        <w:ind w:left="360"/>
        <w:jc w:val="center"/>
      </w:pPr>
    </w:p>
    <w:p w:rsidR="00034629" w:rsidRDefault="00AE0C5B" w:rsidP="000644A6">
      <w:pPr>
        <w:jc w:val="center"/>
        <w:rPr>
          <w:position w:val="-42"/>
        </w:rPr>
      </w:pPr>
      <w:r w:rsidRPr="000644A6">
        <w:rPr>
          <w:position w:val="-22"/>
        </w:rPr>
        <w:object w:dxaOrig="8580" w:dyaOrig="560">
          <v:shape id="_x0000_i1055" type="#_x0000_t75" style="width:429.6pt;height:27.6pt" o:ole="">
            <v:imagedata r:id="rId64" o:title=""/>
          </v:shape>
          <o:OLEObject Type="Embed" ProgID="Equation.3" ShapeID="_x0000_i1055" DrawAspect="Content" ObjectID="_1413646531" r:id="rId65"/>
        </w:object>
      </w:r>
    </w:p>
    <w:p w:rsidR="00D17353" w:rsidRPr="00F9345A" w:rsidRDefault="00D17353" w:rsidP="000644A6">
      <w:pPr>
        <w:jc w:val="center"/>
        <w:rPr>
          <w:sz w:val="22"/>
          <w:szCs w:val="22"/>
        </w:rPr>
      </w:pPr>
    </w:p>
    <w:p w:rsidR="00034629" w:rsidRPr="00AE0C5B" w:rsidRDefault="00C166F9" w:rsidP="00AA5E5D">
      <w:pPr>
        <w:rPr>
          <w:sz w:val="22"/>
          <w:szCs w:val="22"/>
        </w:rPr>
      </w:pPr>
      <w:proofErr w:type="gramStart"/>
      <w:r>
        <w:rPr>
          <w:sz w:val="22"/>
          <w:szCs w:val="22"/>
        </w:rPr>
        <w:t>w</w:t>
      </w:r>
      <w:r w:rsidR="00AE0C5B" w:rsidRPr="00AE0C5B">
        <w:rPr>
          <w:sz w:val="22"/>
          <w:szCs w:val="22"/>
        </w:rPr>
        <w:t>here</w:t>
      </w:r>
      <w:proofErr w:type="gramEnd"/>
      <w:r w:rsidR="00AE0C5B" w:rsidRPr="00AE0C5B">
        <w:rPr>
          <w:sz w:val="22"/>
          <w:szCs w:val="22"/>
        </w:rPr>
        <w:t xml:space="preserve"> </w:t>
      </w:r>
      <w:r w:rsidR="00AE0C5B" w:rsidRPr="00AE0C5B">
        <w:rPr>
          <w:position w:val="-14"/>
          <w:sz w:val="22"/>
          <w:szCs w:val="22"/>
        </w:rPr>
        <w:object w:dxaOrig="800" w:dyaOrig="380">
          <v:shape id="_x0000_i1056" type="#_x0000_t75" style="width:40.2pt;height:19.2pt" o:ole="">
            <v:imagedata r:id="rId66" o:title=""/>
          </v:shape>
          <o:OLEObject Type="Embed" ProgID="Equation.3" ShapeID="_x0000_i1056" DrawAspect="Content" ObjectID="_1413646532" r:id="rId67"/>
        </w:object>
      </w:r>
      <w:r w:rsidR="00AE0C5B" w:rsidRPr="00AE0C5B">
        <w:rPr>
          <w:sz w:val="22"/>
          <w:szCs w:val="22"/>
        </w:rPr>
        <w:t xml:space="preserve"> </w:t>
      </w:r>
      <w:r w:rsidR="00682BF9">
        <w:rPr>
          <w:sz w:val="22"/>
          <w:szCs w:val="22"/>
        </w:rPr>
        <w:t>applies</w:t>
      </w:r>
      <w:r w:rsidR="00AE0C5B" w:rsidRPr="00AE0C5B">
        <w:rPr>
          <w:sz w:val="22"/>
          <w:szCs w:val="22"/>
        </w:rPr>
        <w:t xml:space="preserve"> below 1 GHz and </w:t>
      </w:r>
      <w:r w:rsidR="00AE0C5B" w:rsidRPr="00AE0C5B">
        <w:rPr>
          <w:position w:val="-14"/>
          <w:sz w:val="22"/>
          <w:szCs w:val="22"/>
        </w:rPr>
        <w:object w:dxaOrig="820" w:dyaOrig="380">
          <v:shape id="_x0000_i1057" type="#_x0000_t75" style="width:40.8pt;height:19.2pt" o:ole="">
            <v:imagedata r:id="rId68" o:title=""/>
          </v:shape>
          <o:OLEObject Type="Embed" ProgID="Equation.3" ShapeID="_x0000_i1057" DrawAspect="Content" ObjectID="_1413646533" r:id="rId69"/>
        </w:object>
      </w:r>
      <w:r w:rsidR="00682BF9">
        <w:rPr>
          <w:sz w:val="22"/>
          <w:szCs w:val="22"/>
        </w:rPr>
        <w:t>applies above</w:t>
      </w:r>
      <w:r w:rsidR="00AE0C5B" w:rsidRPr="00AE0C5B">
        <w:rPr>
          <w:sz w:val="22"/>
          <w:szCs w:val="22"/>
        </w:rPr>
        <w:t xml:space="preserve"> 1 GHz.  The f</w:t>
      </w:r>
      <w:r w:rsidR="00D17353" w:rsidRPr="00AE0C5B">
        <w:rPr>
          <w:sz w:val="22"/>
          <w:szCs w:val="22"/>
        </w:rPr>
        <w:t xml:space="preserve">ollowing metric </w:t>
      </w:r>
      <w:r w:rsidR="00AE0C5B" w:rsidRPr="00AE0C5B">
        <w:rPr>
          <w:sz w:val="22"/>
          <w:szCs w:val="22"/>
        </w:rPr>
        <w:t xml:space="preserve">is defined </w:t>
      </w:r>
      <w:r w:rsidR="00D17353" w:rsidRPr="00AE0C5B">
        <w:rPr>
          <w:sz w:val="22"/>
          <w:szCs w:val="22"/>
        </w:rPr>
        <w:t xml:space="preserve">for the </w:t>
      </w:r>
      <w:r w:rsidR="00D17353" w:rsidRPr="00AE0C5B">
        <w:rPr>
          <w:i/>
          <w:sz w:val="22"/>
          <w:szCs w:val="22"/>
        </w:rPr>
        <w:t>outer 5 MHz</w:t>
      </w:r>
      <w:r w:rsidR="00D17353" w:rsidRPr="00AE0C5B">
        <w:rPr>
          <w:sz w:val="22"/>
          <w:szCs w:val="22"/>
        </w:rPr>
        <w:t xml:space="preserve"> of </w:t>
      </w:r>
      <w:r>
        <w:rPr>
          <w:sz w:val="22"/>
          <w:szCs w:val="22"/>
        </w:rPr>
        <w:t xml:space="preserve">the </w:t>
      </w:r>
      <w:r w:rsidR="00D17353" w:rsidRPr="00AE0C5B">
        <w:rPr>
          <w:sz w:val="22"/>
          <w:szCs w:val="22"/>
        </w:rPr>
        <w:t>region covered by the general E-UTRA SEM</w:t>
      </w:r>
    </w:p>
    <w:p w:rsidR="00D17353" w:rsidRPr="00F9345A" w:rsidRDefault="00D17353" w:rsidP="00AA5E5D">
      <w:pPr>
        <w:rPr>
          <w:sz w:val="22"/>
          <w:szCs w:val="22"/>
        </w:rPr>
      </w:pPr>
    </w:p>
    <w:p w:rsidR="00034629" w:rsidRDefault="00AE0C5B" w:rsidP="00D17353">
      <w:pPr>
        <w:jc w:val="center"/>
        <w:rPr>
          <w:sz w:val="22"/>
          <w:szCs w:val="22"/>
        </w:rPr>
      </w:pPr>
      <w:r w:rsidRPr="000644A6">
        <w:rPr>
          <w:position w:val="-22"/>
        </w:rPr>
        <w:object w:dxaOrig="8400" w:dyaOrig="560">
          <v:shape id="_x0000_i1058" type="#_x0000_t75" style="width:420.6pt;height:27.6pt" o:ole="">
            <v:imagedata r:id="rId70" o:title=""/>
          </v:shape>
          <o:OLEObject Type="Embed" ProgID="Equation.3" ShapeID="_x0000_i1058" DrawAspect="Content" ObjectID="_1413646534" r:id="rId71"/>
        </w:object>
      </w:r>
    </w:p>
    <w:p w:rsidR="00AE0C5B" w:rsidRDefault="00AE0C5B" w:rsidP="006D5E76">
      <w:pPr>
        <w:rPr>
          <w:sz w:val="22"/>
        </w:rPr>
      </w:pPr>
    </w:p>
    <w:p w:rsidR="00AE0C5B" w:rsidRDefault="00AE0C5B" w:rsidP="006D5E76">
      <w:pPr>
        <w:rPr>
          <w:sz w:val="22"/>
        </w:rPr>
      </w:pPr>
      <w:r>
        <w:rPr>
          <w:sz w:val="22"/>
        </w:rPr>
        <w:t xml:space="preserve">The above metrics can be combined into single metrics </w:t>
      </w:r>
      <w:r w:rsidR="0045732D">
        <w:rPr>
          <w:sz w:val="22"/>
        </w:rPr>
        <w:t xml:space="preserve">covering the spurious domain and the outer 5 MHz of the general E-UTRA spectral emissions mask.  Below </w:t>
      </w:r>
      <w:r w:rsidR="00682BF9">
        <w:rPr>
          <w:sz w:val="22"/>
        </w:rPr>
        <w:t>1 GHz</w:t>
      </w:r>
      <w:r w:rsidR="0045732D">
        <w:rPr>
          <w:sz w:val="22"/>
        </w:rPr>
        <w:t>, we have</w:t>
      </w:r>
    </w:p>
    <w:p w:rsidR="00AE0C5B" w:rsidRDefault="00AE0C5B" w:rsidP="006D5E76">
      <w:pPr>
        <w:rPr>
          <w:sz w:val="22"/>
        </w:rPr>
      </w:pPr>
    </w:p>
    <w:p w:rsidR="00AE0C5B" w:rsidRDefault="0087666B" w:rsidP="00AE0C5B">
      <w:pPr>
        <w:jc w:val="center"/>
        <w:rPr>
          <w:sz w:val="22"/>
        </w:rPr>
      </w:pPr>
      <w:r w:rsidRPr="0045732D">
        <w:rPr>
          <w:position w:val="-14"/>
        </w:rPr>
        <w:object w:dxaOrig="3360" w:dyaOrig="380">
          <v:shape id="_x0000_i1059" type="#_x0000_t75" style="width:168pt;height:18.6pt" o:ole="">
            <v:imagedata r:id="rId72" o:title=""/>
          </v:shape>
          <o:OLEObject Type="Embed" ProgID="Equation.3" ShapeID="_x0000_i1059" DrawAspect="Content" ObjectID="_1413646535" r:id="rId73"/>
        </w:object>
      </w:r>
    </w:p>
    <w:p w:rsidR="00953657" w:rsidRDefault="00953657" w:rsidP="006D5E76">
      <w:pPr>
        <w:rPr>
          <w:sz w:val="22"/>
        </w:rPr>
      </w:pPr>
      <w:proofErr w:type="gramStart"/>
      <w:r>
        <w:rPr>
          <w:sz w:val="22"/>
        </w:rPr>
        <w:t>where</w:t>
      </w:r>
      <w:proofErr w:type="gramEnd"/>
      <w:r>
        <w:rPr>
          <w:sz w:val="22"/>
        </w:rPr>
        <w:t xml:space="preserve"> the factor of 1.26 is used to account for the fact that the requirement for the outer 5 MHz of the SEM is 1 dB relaxed relative to the spurious requirement below 1 GHz, when both are referred to </w:t>
      </w:r>
      <w:r w:rsidR="00361689">
        <w:rPr>
          <w:sz w:val="22"/>
        </w:rPr>
        <w:t xml:space="preserve">a </w:t>
      </w:r>
      <w:r>
        <w:rPr>
          <w:sz w:val="22"/>
        </w:rPr>
        <w:t>1 MHz</w:t>
      </w:r>
      <w:r w:rsidR="00361689">
        <w:rPr>
          <w:sz w:val="22"/>
        </w:rPr>
        <w:t xml:space="preserve"> bandwidth</w:t>
      </w:r>
      <w:r>
        <w:rPr>
          <w:sz w:val="22"/>
        </w:rPr>
        <w:t xml:space="preserve">.  Similarly, above 1 GHz, the combined metric is </w:t>
      </w:r>
    </w:p>
    <w:p w:rsidR="00361689" w:rsidRDefault="00361689" w:rsidP="006D5E76">
      <w:pPr>
        <w:rPr>
          <w:sz w:val="22"/>
        </w:rPr>
      </w:pPr>
    </w:p>
    <w:p w:rsidR="00953657" w:rsidRDefault="0087666B" w:rsidP="00953657">
      <w:pPr>
        <w:jc w:val="center"/>
        <w:rPr>
          <w:position w:val="-42"/>
        </w:rPr>
      </w:pPr>
      <w:r w:rsidRPr="0045732D">
        <w:rPr>
          <w:position w:val="-14"/>
        </w:rPr>
        <w:object w:dxaOrig="3000" w:dyaOrig="380">
          <v:shape id="_x0000_i1060" type="#_x0000_t75" style="width:150pt;height:18.6pt" o:ole="">
            <v:imagedata r:id="rId74" o:title=""/>
          </v:shape>
          <o:OLEObject Type="Embed" ProgID="Equation.3" ShapeID="_x0000_i1060" DrawAspect="Content" ObjectID="_1413646536" r:id="rId75"/>
        </w:object>
      </w:r>
    </w:p>
    <w:p w:rsidR="00B4515F" w:rsidRDefault="00B4515F" w:rsidP="00953657">
      <w:pPr>
        <w:jc w:val="center"/>
        <w:rPr>
          <w:sz w:val="22"/>
        </w:rPr>
      </w:pPr>
    </w:p>
    <w:p w:rsidR="000168B4" w:rsidRDefault="00953657" w:rsidP="0087666B">
      <w:pPr>
        <w:jc w:val="both"/>
        <w:rPr>
          <w:sz w:val="22"/>
        </w:rPr>
      </w:pPr>
      <w:proofErr w:type="gramStart"/>
      <w:r>
        <w:rPr>
          <w:sz w:val="22"/>
        </w:rPr>
        <w:t>where</w:t>
      </w:r>
      <w:proofErr w:type="gramEnd"/>
      <w:r>
        <w:rPr>
          <w:sz w:val="22"/>
        </w:rPr>
        <w:t xml:space="preserve"> the factor of 3.16 is used to account for the fact that the requirement for the outer 5 MHz of the SEM is 5 dB relaxed relative to the spurious requirement above 1 GHz.</w:t>
      </w:r>
      <w:r w:rsidR="0087666B">
        <w:rPr>
          <w:sz w:val="22"/>
        </w:rPr>
        <w:t xml:space="preserve"> </w:t>
      </w:r>
    </w:p>
    <w:p w:rsidR="00D10DE1" w:rsidRDefault="00D10DE1" w:rsidP="0087666B">
      <w:pPr>
        <w:jc w:val="both"/>
        <w:rPr>
          <w:sz w:val="22"/>
        </w:rPr>
      </w:pPr>
    </w:p>
    <w:p w:rsidR="006C51E8" w:rsidRPr="00F9345A" w:rsidRDefault="006C51E8" w:rsidP="006C51E8">
      <w:pPr>
        <w:jc w:val="both"/>
        <w:rPr>
          <w:sz w:val="22"/>
          <w:szCs w:val="22"/>
        </w:rPr>
      </w:pPr>
      <w:r w:rsidRPr="00F9345A">
        <w:rPr>
          <w:sz w:val="22"/>
          <w:szCs w:val="22"/>
        </w:rPr>
        <w:t xml:space="preserve">The MPR needed to meet all ACLR requirements as a function of </w:t>
      </w:r>
      <w:r w:rsidRPr="00A754CC">
        <w:rPr>
          <w:position w:val="-10"/>
        </w:rPr>
        <w:object w:dxaOrig="300" w:dyaOrig="340">
          <v:shape id="_x0000_i1091" type="#_x0000_t75" style="width:15pt;height:16.8pt" o:ole="">
            <v:imagedata r:id="rId76" o:title=""/>
          </v:shape>
          <o:OLEObject Type="Embed" ProgID="Equation.3" ShapeID="_x0000_i1091" DrawAspect="Content" ObjectID="_1413646537" r:id="rId77"/>
        </w:object>
      </w:r>
      <w:r w:rsidRPr="00F9345A">
        <w:rPr>
          <w:sz w:val="22"/>
          <w:szCs w:val="22"/>
        </w:rPr>
        <w:t xml:space="preserve"> is shown in Figure </w:t>
      </w:r>
      <w:r>
        <w:rPr>
          <w:sz w:val="22"/>
          <w:szCs w:val="22"/>
        </w:rPr>
        <w:t>4</w:t>
      </w:r>
      <w:r w:rsidRPr="00F9345A">
        <w:rPr>
          <w:sz w:val="22"/>
          <w:szCs w:val="22"/>
        </w:rPr>
        <w:t xml:space="preserve">.  A few observations can be made with respect to Figure </w:t>
      </w:r>
      <w:r>
        <w:rPr>
          <w:sz w:val="22"/>
          <w:szCs w:val="22"/>
        </w:rPr>
        <w:t>4</w:t>
      </w:r>
      <w:r w:rsidRPr="00F9345A">
        <w:rPr>
          <w:sz w:val="22"/>
          <w:szCs w:val="22"/>
        </w:rPr>
        <w:t>:</w:t>
      </w:r>
    </w:p>
    <w:p w:rsidR="006C51E8" w:rsidRPr="00F9345A" w:rsidRDefault="006C51E8" w:rsidP="006C51E8">
      <w:pPr>
        <w:jc w:val="both"/>
        <w:rPr>
          <w:sz w:val="22"/>
          <w:szCs w:val="22"/>
        </w:rPr>
      </w:pPr>
    </w:p>
    <w:p w:rsidR="006C51E8" w:rsidRDefault="006C51E8" w:rsidP="006C51E8">
      <w:pPr>
        <w:numPr>
          <w:ilvl w:val="0"/>
          <w:numId w:val="28"/>
        </w:numPr>
        <w:jc w:val="both"/>
        <w:rPr>
          <w:sz w:val="22"/>
          <w:szCs w:val="22"/>
        </w:rPr>
      </w:pPr>
      <w:r w:rsidRPr="00F9345A">
        <w:rPr>
          <w:sz w:val="22"/>
          <w:szCs w:val="22"/>
        </w:rPr>
        <w:t xml:space="preserve">Even for allocations for which </w:t>
      </w:r>
      <w:r w:rsidRPr="00A754CC">
        <w:rPr>
          <w:position w:val="-10"/>
        </w:rPr>
        <w:object w:dxaOrig="300" w:dyaOrig="340">
          <v:shape id="_x0000_i1092" type="#_x0000_t75" style="width:15pt;height:16.8pt" o:ole="">
            <v:imagedata r:id="rId76" o:title=""/>
          </v:shape>
          <o:OLEObject Type="Embed" ProgID="Equation.3" ShapeID="_x0000_i1092" DrawAspect="Content" ObjectID="_1413646538" r:id="rId78"/>
        </w:object>
      </w:r>
      <w:r w:rsidRPr="00F9345A">
        <w:rPr>
          <w:sz w:val="22"/>
          <w:szCs w:val="22"/>
        </w:rPr>
        <w:t xml:space="preserve"> is 0, as much as </w:t>
      </w:r>
      <w:r>
        <w:rPr>
          <w:sz w:val="22"/>
          <w:szCs w:val="22"/>
        </w:rPr>
        <w:t>2</w:t>
      </w:r>
      <w:r w:rsidRPr="00F9345A">
        <w:rPr>
          <w:sz w:val="22"/>
          <w:szCs w:val="22"/>
        </w:rPr>
        <w:t xml:space="preserve"> dB of MPR may be required to meet the </w:t>
      </w:r>
      <w:r>
        <w:rPr>
          <w:sz w:val="22"/>
          <w:szCs w:val="22"/>
        </w:rPr>
        <w:t>spurious requirement and the outer 5 MHz of the SEM.</w:t>
      </w:r>
      <w:r w:rsidRPr="00F9345A">
        <w:rPr>
          <w:sz w:val="22"/>
          <w:szCs w:val="22"/>
        </w:rPr>
        <w:t xml:space="preserve">  Presumably the need for MPR when </w:t>
      </w:r>
      <w:r w:rsidRPr="00A754CC">
        <w:rPr>
          <w:position w:val="-10"/>
        </w:rPr>
        <w:object w:dxaOrig="300" w:dyaOrig="340">
          <v:shape id="_x0000_i1093" type="#_x0000_t75" style="width:15pt;height:16.8pt" o:ole="">
            <v:imagedata r:id="rId76" o:title=""/>
          </v:shape>
          <o:OLEObject Type="Embed" ProgID="Equation.3" ShapeID="_x0000_i1093" DrawAspect="Content" ObjectID="_1413646539" r:id="rId79"/>
        </w:object>
      </w:r>
      <w:r w:rsidRPr="00F9345A">
        <w:rPr>
          <w:sz w:val="22"/>
          <w:szCs w:val="22"/>
        </w:rPr>
        <w:t xml:space="preserve"> is </w:t>
      </w:r>
      <w:proofErr w:type="gramStart"/>
      <w:r w:rsidRPr="00F9345A">
        <w:rPr>
          <w:sz w:val="22"/>
          <w:szCs w:val="22"/>
        </w:rPr>
        <w:t>0  is</w:t>
      </w:r>
      <w:proofErr w:type="gramEnd"/>
      <w:r w:rsidRPr="00F9345A">
        <w:rPr>
          <w:sz w:val="22"/>
          <w:szCs w:val="22"/>
        </w:rPr>
        <w:t xml:space="preserve"> due to influence of spectral components due to higher order terms of the PA nonlinearity</w:t>
      </w:r>
      <w:r>
        <w:rPr>
          <w:sz w:val="22"/>
          <w:szCs w:val="22"/>
        </w:rPr>
        <w:t>.</w:t>
      </w:r>
    </w:p>
    <w:p w:rsidR="006C51E8" w:rsidRPr="00F9345A" w:rsidRDefault="006C51E8" w:rsidP="006C51E8">
      <w:pPr>
        <w:ind w:left="720"/>
        <w:jc w:val="both"/>
        <w:rPr>
          <w:sz w:val="22"/>
          <w:szCs w:val="22"/>
        </w:rPr>
      </w:pPr>
    </w:p>
    <w:p w:rsidR="006C51E8" w:rsidRDefault="006C51E8" w:rsidP="006C51E8">
      <w:pPr>
        <w:numPr>
          <w:ilvl w:val="0"/>
          <w:numId w:val="28"/>
        </w:numPr>
        <w:jc w:val="both"/>
        <w:rPr>
          <w:sz w:val="22"/>
          <w:szCs w:val="22"/>
        </w:rPr>
      </w:pPr>
      <w:r>
        <w:rPr>
          <w:sz w:val="22"/>
          <w:szCs w:val="22"/>
        </w:rPr>
        <w:t xml:space="preserve">The mapping between </w:t>
      </w:r>
      <w:r w:rsidRPr="00A754CC">
        <w:rPr>
          <w:position w:val="-10"/>
        </w:rPr>
        <w:object w:dxaOrig="300" w:dyaOrig="340">
          <v:shape id="_x0000_i1094" type="#_x0000_t75" style="width:15pt;height:16.8pt" o:ole="">
            <v:imagedata r:id="rId76" o:title=""/>
          </v:shape>
          <o:OLEObject Type="Embed" ProgID="Equation.3" ShapeID="_x0000_i1094" DrawAspect="Content" ObjectID="_1413646540" r:id="rId80"/>
        </w:object>
      </w:r>
      <w:r>
        <w:t xml:space="preserve"> and MPR seems to be very good, so that if such a mapping were to be used for allocations for </w:t>
      </w:r>
      <w:r w:rsidRPr="00A754CC">
        <w:rPr>
          <w:position w:val="-12"/>
        </w:rPr>
        <w:object w:dxaOrig="620" w:dyaOrig="360">
          <v:shape id="_x0000_i1095" type="#_x0000_t75" style="width:31.2pt;height:18pt" o:ole="">
            <v:imagedata r:id="rId81" o:title=""/>
          </v:shape>
          <o:OLEObject Type="Embed" ProgID="Equation.3" ShapeID="_x0000_i1095" DrawAspect="Content" ObjectID="_1413646541" r:id="rId82"/>
        </w:object>
      </w:r>
      <w:r>
        <w:t xml:space="preserve"> reaches the spurious domain, the excess MPR could be significantly reduced for many allocations</w:t>
      </w:r>
    </w:p>
    <w:p w:rsidR="006C51E8" w:rsidRDefault="006C51E8" w:rsidP="006C51E8">
      <w:pPr>
        <w:pStyle w:val="ListParagraph"/>
        <w:rPr>
          <w:sz w:val="22"/>
          <w:szCs w:val="22"/>
        </w:rPr>
      </w:pPr>
    </w:p>
    <w:p w:rsidR="006C51E8" w:rsidRPr="00F9345A" w:rsidRDefault="006C51E8" w:rsidP="006C51E8">
      <w:pPr>
        <w:numPr>
          <w:ilvl w:val="0"/>
          <w:numId w:val="28"/>
        </w:numPr>
        <w:jc w:val="both"/>
        <w:rPr>
          <w:sz w:val="22"/>
          <w:szCs w:val="22"/>
        </w:rPr>
      </w:pPr>
      <w:r w:rsidRPr="00F9345A">
        <w:rPr>
          <w:sz w:val="22"/>
          <w:szCs w:val="22"/>
        </w:rPr>
        <w:t xml:space="preserve">The MPR needed </w:t>
      </w:r>
      <w:r>
        <w:rPr>
          <w:sz w:val="22"/>
          <w:szCs w:val="22"/>
        </w:rPr>
        <w:t>to meet the spurious requirement can far exceed the MPR needed to meet the ACLR requirements.</w:t>
      </w:r>
    </w:p>
    <w:p w:rsidR="006C51E8" w:rsidRDefault="006C51E8" w:rsidP="0087666B">
      <w:pPr>
        <w:jc w:val="both"/>
        <w:rPr>
          <w:sz w:val="22"/>
        </w:rPr>
      </w:pPr>
    </w:p>
    <w:p w:rsidR="00C14B71" w:rsidRDefault="00D57393" w:rsidP="006C51E8">
      <w:pPr>
        <w:jc w:val="center"/>
        <w:rPr>
          <w:sz w:val="22"/>
        </w:rPr>
      </w:pPr>
      <w:r w:rsidRPr="00D57393">
        <w:rPr>
          <w:sz w:val="22"/>
        </w:rPr>
        <w:lastRenderedPageBreak/>
        <w:pict>
          <v:shape id="_x0000_i1090" type="#_x0000_t75" style="width:384pt;height:4in">
            <v:imagedata r:id="rId83" o:title="figure4"/>
          </v:shape>
        </w:pict>
      </w:r>
    </w:p>
    <w:p w:rsidR="00C14B71" w:rsidRPr="00B10ECF" w:rsidRDefault="00C14B71" w:rsidP="00C14B71">
      <w:pPr>
        <w:pStyle w:val="Caption"/>
        <w:jc w:val="center"/>
        <w:rPr>
          <w:sz w:val="22"/>
        </w:rPr>
      </w:pPr>
      <w:r w:rsidRPr="00B10ECF">
        <w:rPr>
          <w:sz w:val="22"/>
        </w:rPr>
        <w:t xml:space="preserve">Figure 4: MPR needed to </w:t>
      </w:r>
      <w:r w:rsidR="001F41CB" w:rsidRPr="00B10ECF">
        <w:rPr>
          <w:sz w:val="22"/>
        </w:rPr>
        <w:t xml:space="preserve">meet </w:t>
      </w:r>
      <w:r w:rsidRPr="00B10ECF">
        <w:rPr>
          <w:sz w:val="22"/>
        </w:rPr>
        <w:t>spurious above 1 GHz and outer 5 MHz of NS</w:t>
      </w:r>
      <w:r w:rsidRPr="00B10ECF">
        <w:rPr>
          <w:sz w:val="22"/>
          <w:vertAlign w:val="subscript"/>
        </w:rPr>
        <w:t>01</w:t>
      </w:r>
      <w:r w:rsidRPr="00B10ECF">
        <w:rPr>
          <w:sz w:val="22"/>
        </w:rPr>
        <w:t xml:space="preserve"> as a function of </w:t>
      </w:r>
      <w:r w:rsidR="00B10ECF" w:rsidRPr="00B10ECF">
        <w:rPr>
          <w:rFonts w:ascii="Symbol" w:hAnsi="Symbol"/>
          <w:sz w:val="22"/>
        </w:rPr>
        <w:t></w:t>
      </w:r>
      <w:r w:rsidRPr="00B10ECF">
        <w:rPr>
          <w:sz w:val="22"/>
          <w:vertAlign w:val="subscript"/>
        </w:rPr>
        <w:t>2</w:t>
      </w:r>
    </w:p>
    <w:p w:rsidR="005411AF" w:rsidRPr="00B10ECF" w:rsidRDefault="005411AF" w:rsidP="0087666B">
      <w:pPr>
        <w:rPr>
          <w:sz w:val="18"/>
        </w:rPr>
      </w:pPr>
    </w:p>
    <w:p w:rsidR="00E87DE1" w:rsidRDefault="00E87DE1" w:rsidP="00E87DE1">
      <w:pPr>
        <w:pStyle w:val="Heading2"/>
      </w:pPr>
      <w:r>
        <w:t xml:space="preserve">MPR needed to meet </w:t>
      </w:r>
      <w:r w:rsidR="00FB0997">
        <w:t xml:space="preserve">spurious, SEM, </w:t>
      </w:r>
      <w:r>
        <w:t>and ACLR requirements</w:t>
      </w:r>
    </w:p>
    <w:p w:rsidR="00E87DE1" w:rsidRPr="0036744D" w:rsidRDefault="00E87DE1" w:rsidP="00E87DE1">
      <w:pPr>
        <w:rPr>
          <w:sz w:val="22"/>
          <w:szCs w:val="22"/>
        </w:rPr>
      </w:pPr>
      <w:r w:rsidRPr="0036744D">
        <w:rPr>
          <w:sz w:val="22"/>
          <w:szCs w:val="22"/>
        </w:rPr>
        <w:t>The MPR needed for a given allocation can be determined using the above mappings in the following manner</w:t>
      </w:r>
    </w:p>
    <w:p w:rsidR="00E87DE1" w:rsidRPr="0036744D" w:rsidRDefault="00E87DE1" w:rsidP="00E87DE1">
      <w:pPr>
        <w:rPr>
          <w:sz w:val="22"/>
          <w:szCs w:val="22"/>
        </w:rPr>
      </w:pPr>
    </w:p>
    <w:p w:rsidR="00E87DE1" w:rsidRPr="0036744D" w:rsidRDefault="00E87DE1" w:rsidP="00E87DE1">
      <w:pPr>
        <w:numPr>
          <w:ilvl w:val="0"/>
          <w:numId w:val="29"/>
        </w:numPr>
        <w:rPr>
          <w:sz w:val="22"/>
          <w:szCs w:val="22"/>
        </w:rPr>
      </w:pPr>
      <w:r w:rsidRPr="0036744D">
        <w:rPr>
          <w:sz w:val="22"/>
          <w:szCs w:val="22"/>
        </w:rPr>
        <w:t xml:space="preserve">Use the mapping of MPR vs. </w:t>
      </w:r>
      <w:r w:rsidRPr="0036744D">
        <w:rPr>
          <w:position w:val="-12"/>
          <w:sz w:val="22"/>
          <w:szCs w:val="22"/>
        </w:rPr>
        <w:object w:dxaOrig="560" w:dyaOrig="360">
          <v:shape id="_x0000_i1061" type="#_x0000_t75" style="width:28.2pt;height:18pt" o:ole="">
            <v:imagedata r:id="rId42" o:title=""/>
          </v:shape>
          <o:OLEObject Type="Embed" ProgID="Equation.3" ShapeID="_x0000_i1061" DrawAspect="Content" ObjectID="_1413646542" r:id="rId84"/>
        </w:object>
      </w:r>
      <w:r w:rsidRPr="0036744D">
        <w:rPr>
          <w:sz w:val="22"/>
          <w:szCs w:val="22"/>
        </w:rPr>
        <w:t xml:space="preserve"> to determine the MPR needed to meet all ACLR constraints</w:t>
      </w:r>
      <w:r w:rsidR="00FB0997" w:rsidRPr="0036744D">
        <w:rPr>
          <w:sz w:val="22"/>
          <w:szCs w:val="22"/>
        </w:rPr>
        <w:t>.</w:t>
      </w:r>
    </w:p>
    <w:p w:rsidR="00FB0997" w:rsidRPr="0036744D" w:rsidRDefault="00FB0997" w:rsidP="00FB0997">
      <w:pPr>
        <w:ind w:left="1080"/>
        <w:rPr>
          <w:sz w:val="22"/>
          <w:szCs w:val="22"/>
        </w:rPr>
      </w:pPr>
    </w:p>
    <w:p w:rsidR="00E87DE1" w:rsidRPr="0036744D" w:rsidRDefault="00E87DE1" w:rsidP="00E87DE1">
      <w:pPr>
        <w:numPr>
          <w:ilvl w:val="0"/>
          <w:numId w:val="29"/>
        </w:numPr>
        <w:rPr>
          <w:sz w:val="22"/>
          <w:szCs w:val="22"/>
        </w:rPr>
      </w:pPr>
      <w:r w:rsidRPr="0036744D">
        <w:rPr>
          <w:sz w:val="22"/>
          <w:szCs w:val="22"/>
        </w:rPr>
        <w:t xml:space="preserve">Use the mapping of MPR vs. </w:t>
      </w:r>
      <w:r w:rsidR="00FB0997" w:rsidRPr="0036744D">
        <w:rPr>
          <w:position w:val="-10"/>
          <w:sz w:val="22"/>
          <w:szCs w:val="22"/>
        </w:rPr>
        <w:object w:dxaOrig="279" w:dyaOrig="340">
          <v:shape id="_x0000_i1062" type="#_x0000_t75" style="width:13.8pt;height:16.8pt" o:ole="">
            <v:imagedata r:id="rId85" o:title=""/>
          </v:shape>
          <o:OLEObject Type="Embed" ProgID="Equation.3" ShapeID="_x0000_i1062" DrawAspect="Content" ObjectID="_1413646543" r:id="rId86"/>
        </w:object>
      </w:r>
      <w:r w:rsidRPr="0036744D">
        <w:rPr>
          <w:sz w:val="22"/>
          <w:szCs w:val="22"/>
        </w:rPr>
        <w:t xml:space="preserve"> or </w:t>
      </w:r>
      <w:r w:rsidRPr="0036744D">
        <w:rPr>
          <w:position w:val="-10"/>
          <w:sz w:val="22"/>
          <w:szCs w:val="22"/>
        </w:rPr>
        <w:object w:dxaOrig="300" w:dyaOrig="340">
          <v:shape id="_x0000_i1063" type="#_x0000_t75" style="width:15pt;height:16.8pt" o:ole="">
            <v:imagedata r:id="rId76" o:title=""/>
          </v:shape>
          <o:OLEObject Type="Embed" ProgID="Equation.3" ShapeID="_x0000_i1063" DrawAspect="Content" ObjectID="_1413646544" r:id="rId87"/>
        </w:object>
      </w:r>
      <w:r w:rsidRPr="0036744D">
        <w:rPr>
          <w:sz w:val="22"/>
          <w:szCs w:val="22"/>
        </w:rPr>
        <w:t xml:space="preserve"> (depending on if above or below 1 GHz) to determine the MPR needed to meet</w:t>
      </w:r>
      <w:r w:rsidR="00FB0997" w:rsidRPr="0036744D">
        <w:rPr>
          <w:sz w:val="22"/>
          <w:szCs w:val="22"/>
        </w:rPr>
        <w:t xml:space="preserve"> spurious and SEM requirements.</w:t>
      </w:r>
    </w:p>
    <w:p w:rsidR="00FB0997" w:rsidRPr="0036744D" w:rsidRDefault="00FB0997" w:rsidP="00FB0997">
      <w:pPr>
        <w:ind w:left="1080"/>
        <w:rPr>
          <w:sz w:val="22"/>
          <w:szCs w:val="22"/>
        </w:rPr>
      </w:pPr>
    </w:p>
    <w:p w:rsidR="00FB0997" w:rsidRPr="0036744D" w:rsidRDefault="00FB0997" w:rsidP="00E87DE1">
      <w:pPr>
        <w:numPr>
          <w:ilvl w:val="0"/>
          <w:numId w:val="29"/>
        </w:numPr>
        <w:rPr>
          <w:sz w:val="22"/>
          <w:szCs w:val="22"/>
        </w:rPr>
      </w:pPr>
      <w:r w:rsidRPr="0036744D">
        <w:rPr>
          <w:sz w:val="22"/>
          <w:szCs w:val="22"/>
        </w:rPr>
        <w:t xml:space="preserve">Take the maximum of the MPR needed to meet the ACLR requirement and the </w:t>
      </w:r>
      <w:r w:rsidR="0036744D" w:rsidRPr="0036744D">
        <w:rPr>
          <w:sz w:val="22"/>
          <w:szCs w:val="22"/>
        </w:rPr>
        <w:t xml:space="preserve">MPR needed to meet </w:t>
      </w:r>
      <w:r w:rsidRPr="0036744D">
        <w:rPr>
          <w:sz w:val="22"/>
          <w:szCs w:val="22"/>
        </w:rPr>
        <w:t>spurious requirement.</w:t>
      </w:r>
    </w:p>
    <w:p w:rsidR="005411AF" w:rsidRDefault="005411AF" w:rsidP="00AA5E5D">
      <w:pPr>
        <w:rPr>
          <w:sz w:val="20"/>
        </w:rPr>
      </w:pPr>
    </w:p>
    <w:p w:rsidR="005411AF" w:rsidRDefault="00FB0997" w:rsidP="00AA5E5D">
      <w:pPr>
        <w:rPr>
          <w:sz w:val="22"/>
          <w:szCs w:val="22"/>
        </w:rPr>
      </w:pPr>
      <w:r w:rsidRPr="00FB0997">
        <w:rPr>
          <w:sz w:val="22"/>
          <w:szCs w:val="22"/>
        </w:rPr>
        <w:t xml:space="preserve">Since the mapping between </w:t>
      </w:r>
      <w:r w:rsidRPr="00FB0997">
        <w:rPr>
          <w:position w:val="-10"/>
          <w:sz w:val="22"/>
          <w:szCs w:val="22"/>
        </w:rPr>
        <w:object w:dxaOrig="240" w:dyaOrig="320">
          <v:shape id="_x0000_i1064" type="#_x0000_t75" style="width:12pt;height:16.2pt" o:ole="">
            <v:imagedata r:id="rId88" o:title=""/>
          </v:shape>
          <o:OLEObject Type="Embed" ProgID="Equation.3" ShapeID="_x0000_i1064" DrawAspect="Content" ObjectID="_1413646545" r:id="rId89"/>
        </w:object>
      </w:r>
      <w:r w:rsidRPr="00FB0997">
        <w:rPr>
          <w:sz w:val="22"/>
          <w:szCs w:val="22"/>
        </w:rPr>
        <w:t xml:space="preserve"> and MPR </w:t>
      </w:r>
      <w:r>
        <w:rPr>
          <w:sz w:val="22"/>
          <w:szCs w:val="22"/>
        </w:rPr>
        <w:t>is very good and it is the spurious and SEM requirement which drives the need for large MPR, it seems that it may be possible to significantly reduce the excess MPR by adopting such a mapping.</w:t>
      </w:r>
    </w:p>
    <w:p w:rsidR="00FB0997" w:rsidRPr="00FB0997" w:rsidRDefault="00FB0997" w:rsidP="00AA5E5D">
      <w:pPr>
        <w:rPr>
          <w:sz w:val="22"/>
          <w:szCs w:val="22"/>
        </w:rPr>
      </w:pPr>
    </w:p>
    <w:p w:rsidR="00DC24E7" w:rsidRDefault="00DC24E7" w:rsidP="00DC24E7">
      <w:pPr>
        <w:pStyle w:val="Heading1"/>
        <w:spacing w:after="120"/>
        <w:jc w:val="both"/>
        <w:rPr>
          <w:b/>
          <w:color w:val="000000"/>
        </w:rPr>
      </w:pPr>
      <w:r>
        <w:rPr>
          <w:b/>
          <w:color w:val="000000"/>
        </w:rPr>
        <w:t>Simple</w:t>
      </w:r>
      <w:r w:rsidR="000B72A6">
        <w:rPr>
          <w:b/>
          <w:color w:val="000000"/>
        </w:rPr>
        <w:t>r</w:t>
      </w:r>
      <w:r>
        <w:rPr>
          <w:b/>
          <w:color w:val="000000"/>
        </w:rPr>
        <w:t xml:space="preserve"> Methods for </w:t>
      </w:r>
      <w:r w:rsidR="00E930E2">
        <w:rPr>
          <w:b/>
          <w:color w:val="000000"/>
        </w:rPr>
        <w:t>r</w:t>
      </w:r>
      <w:r>
        <w:rPr>
          <w:b/>
          <w:color w:val="000000"/>
        </w:rPr>
        <w:t>educing multi-cluster MPR</w:t>
      </w:r>
    </w:p>
    <w:p w:rsidR="00DC24E7" w:rsidRDefault="00DC24E7" w:rsidP="00DC24E7"/>
    <w:p w:rsidR="00144455" w:rsidRDefault="00DC24E7" w:rsidP="00DC24E7">
      <w:pPr>
        <w:rPr>
          <w:sz w:val="22"/>
          <w:szCs w:val="22"/>
        </w:rPr>
      </w:pPr>
      <w:r w:rsidRPr="00680C36">
        <w:rPr>
          <w:sz w:val="22"/>
          <w:szCs w:val="22"/>
        </w:rPr>
        <w:t xml:space="preserve">From the </w:t>
      </w:r>
      <w:r w:rsidR="00144455" w:rsidRPr="00680C36">
        <w:rPr>
          <w:sz w:val="22"/>
          <w:szCs w:val="22"/>
        </w:rPr>
        <w:t>above</w:t>
      </w:r>
      <w:r w:rsidRPr="00680C36">
        <w:rPr>
          <w:sz w:val="22"/>
          <w:szCs w:val="22"/>
        </w:rPr>
        <w:t xml:space="preserve"> results, it is apparent that </w:t>
      </w:r>
      <w:r w:rsidR="00144455" w:rsidRPr="00680C36">
        <w:rPr>
          <w:sz w:val="22"/>
          <w:szCs w:val="22"/>
        </w:rPr>
        <w:t>the</w:t>
      </w:r>
      <w:r w:rsidRPr="00680C36">
        <w:rPr>
          <w:sz w:val="22"/>
          <w:szCs w:val="22"/>
        </w:rPr>
        <w:t xml:space="preserve"> need for </w:t>
      </w:r>
      <w:r w:rsidR="00144455" w:rsidRPr="00680C36">
        <w:rPr>
          <w:sz w:val="22"/>
          <w:szCs w:val="22"/>
        </w:rPr>
        <w:t xml:space="preserve">large MPR values is driven by the spurious requirement.  In particular, it was observed that </w:t>
      </w:r>
      <w:r w:rsidR="00680C36" w:rsidRPr="00680C36">
        <w:rPr>
          <w:sz w:val="22"/>
          <w:szCs w:val="22"/>
        </w:rPr>
        <w:t xml:space="preserve">the MPR needed to meet all ACLR requirements </w:t>
      </w:r>
      <w:r w:rsidR="00144455" w:rsidRPr="00680C36">
        <w:rPr>
          <w:sz w:val="22"/>
          <w:szCs w:val="22"/>
        </w:rPr>
        <w:t>never excee</w:t>
      </w:r>
      <w:r w:rsidR="00680C36" w:rsidRPr="00680C36">
        <w:rPr>
          <w:sz w:val="22"/>
          <w:szCs w:val="22"/>
        </w:rPr>
        <w:t xml:space="preserve">ded ~3.6 dB and that the need for large MPR is driven by the spurious requirement.  Since </w:t>
      </w:r>
      <w:r w:rsidR="00680C36" w:rsidRPr="00680C36">
        <w:rPr>
          <w:position w:val="-12"/>
          <w:sz w:val="22"/>
          <w:szCs w:val="22"/>
        </w:rPr>
        <w:object w:dxaOrig="620" w:dyaOrig="360">
          <v:shape id="_x0000_i1065" type="#_x0000_t75" style="width:31.2pt;height:18pt" o:ole="">
            <v:imagedata r:id="rId90" o:title=""/>
          </v:shape>
          <o:OLEObject Type="Embed" ProgID="Equation.3" ShapeID="_x0000_i1065" DrawAspect="Content" ObjectID="_1413646546" r:id="rId91"/>
        </w:object>
      </w:r>
      <w:r w:rsidR="00680C36" w:rsidRPr="00680C36">
        <w:rPr>
          <w:sz w:val="22"/>
          <w:szCs w:val="22"/>
        </w:rPr>
        <w:t xml:space="preserve"> is the dominant contributor to the </w:t>
      </w:r>
      <w:r w:rsidR="00680C36">
        <w:rPr>
          <w:sz w:val="22"/>
          <w:szCs w:val="22"/>
        </w:rPr>
        <w:t xml:space="preserve">spurious domain, it follows that for allocations for which </w:t>
      </w:r>
      <w:r w:rsidR="00680C36" w:rsidRPr="00680C36">
        <w:rPr>
          <w:position w:val="-12"/>
          <w:sz w:val="22"/>
          <w:szCs w:val="22"/>
        </w:rPr>
        <w:object w:dxaOrig="620" w:dyaOrig="360">
          <v:shape id="_x0000_i1066" type="#_x0000_t75" style="width:31.2pt;height:18pt" o:ole="">
            <v:imagedata r:id="rId90" o:title=""/>
          </v:shape>
          <o:OLEObject Type="Embed" ProgID="Equation.3" ShapeID="_x0000_i1066" DrawAspect="Content" ObjectID="_1413646547" r:id="rId92"/>
        </w:object>
      </w:r>
      <w:r w:rsidR="00680C36">
        <w:rPr>
          <w:sz w:val="22"/>
          <w:szCs w:val="22"/>
        </w:rPr>
        <w:t xml:space="preserve"> does not reach the spurious domain, the required MPR should not exceed 3.6 dB.  </w:t>
      </w:r>
    </w:p>
    <w:p w:rsidR="00680C36" w:rsidRDefault="00680C36" w:rsidP="00DC24E7">
      <w:pPr>
        <w:rPr>
          <w:sz w:val="22"/>
          <w:szCs w:val="22"/>
        </w:rPr>
      </w:pPr>
    </w:p>
    <w:p w:rsidR="00C77F33" w:rsidRDefault="00680C36" w:rsidP="00DC24E7">
      <w:pPr>
        <w:rPr>
          <w:sz w:val="22"/>
          <w:szCs w:val="22"/>
        </w:rPr>
      </w:pPr>
      <w:r>
        <w:rPr>
          <w:sz w:val="22"/>
          <w:szCs w:val="22"/>
        </w:rPr>
        <w:lastRenderedPageBreak/>
        <w:t xml:space="preserve">For any allocation, the span of </w:t>
      </w:r>
      <w:r w:rsidRPr="00144455">
        <w:rPr>
          <w:position w:val="-12"/>
          <w:sz w:val="22"/>
          <w:szCs w:val="22"/>
        </w:rPr>
        <w:object w:dxaOrig="620" w:dyaOrig="360">
          <v:shape id="_x0000_i1067" type="#_x0000_t75" style="width:31.2pt;height:18pt" o:ole="">
            <v:imagedata r:id="rId93" o:title=""/>
          </v:shape>
          <o:OLEObject Type="Embed" ProgID="Equation.3" ShapeID="_x0000_i1067" DrawAspect="Content" ObjectID="_1413646548" r:id="rId94"/>
        </w:object>
      </w:r>
      <w:r>
        <w:rPr>
          <w:sz w:val="22"/>
          <w:szCs w:val="22"/>
        </w:rPr>
        <w:t xml:space="preserve"> can be determined i</w:t>
      </w:r>
      <w:r w:rsidR="00C77F33">
        <w:rPr>
          <w:sz w:val="22"/>
          <w:szCs w:val="22"/>
        </w:rPr>
        <w:t xml:space="preserve">n a straightforward manner.  Let </w:t>
      </w:r>
      <w:proofErr w:type="spellStart"/>
      <w:r w:rsidR="00C77F33" w:rsidRPr="005719C0">
        <w:rPr>
          <w:i/>
          <w:sz w:val="22"/>
          <w:szCs w:val="22"/>
        </w:rPr>
        <w:t>f</w:t>
      </w:r>
      <w:r w:rsidR="00C77F33" w:rsidRPr="00C77F33">
        <w:rPr>
          <w:sz w:val="22"/>
          <w:szCs w:val="22"/>
          <w:vertAlign w:val="subscript"/>
        </w:rPr>
        <w:t>min</w:t>
      </w:r>
      <w:proofErr w:type="spellEnd"/>
      <w:r w:rsidR="00C77F33">
        <w:rPr>
          <w:sz w:val="22"/>
          <w:szCs w:val="22"/>
        </w:rPr>
        <w:t xml:space="preserve"> and </w:t>
      </w:r>
      <w:proofErr w:type="spellStart"/>
      <w:r w:rsidR="00C77F33" w:rsidRPr="005719C0">
        <w:rPr>
          <w:i/>
          <w:sz w:val="22"/>
          <w:szCs w:val="22"/>
        </w:rPr>
        <w:t>f</w:t>
      </w:r>
      <w:r w:rsidR="00C77F33" w:rsidRPr="00C77F33">
        <w:rPr>
          <w:sz w:val="22"/>
          <w:szCs w:val="22"/>
          <w:vertAlign w:val="subscript"/>
        </w:rPr>
        <w:t>max</w:t>
      </w:r>
      <w:proofErr w:type="spellEnd"/>
      <w:r w:rsidR="00C77F33">
        <w:rPr>
          <w:sz w:val="22"/>
          <w:szCs w:val="22"/>
        </w:rPr>
        <w:t xml:space="preserve"> denote the minimum and maxim</w:t>
      </w:r>
      <w:r w:rsidR="005719C0">
        <w:rPr>
          <w:sz w:val="22"/>
          <w:szCs w:val="22"/>
        </w:rPr>
        <w:t>um frequencies of the allocation</w:t>
      </w:r>
      <w:r w:rsidR="00C77F33">
        <w:rPr>
          <w:sz w:val="22"/>
          <w:szCs w:val="22"/>
        </w:rPr>
        <w:t xml:space="preserve">.  The span of </w:t>
      </w:r>
      <w:r w:rsidR="00C77F33" w:rsidRPr="00144455">
        <w:rPr>
          <w:position w:val="-12"/>
          <w:sz w:val="22"/>
          <w:szCs w:val="22"/>
        </w:rPr>
        <w:object w:dxaOrig="620" w:dyaOrig="360">
          <v:shape id="_x0000_i1068" type="#_x0000_t75" style="width:31.2pt;height:18pt" o:ole="">
            <v:imagedata r:id="rId93" o:title=""/>
          </v:shape>
          <o:OLEObject Type="Embed" ProgID="Equation.3" ShapeID="_x0000_i1068" DrawAspect="Content" ObjectID="_1413646549" r:id="rId95"/>
        </w:object>
      </w:r>
      <w:r w:rsidR="00C77F33">
        <w:rPr>
          <w:sz w:val="22"/>
          <w:szCs w:val="22"/>
        </w:rPr>
        <w:t xml:space="preserve"> is then given by the interval</w:t>
      </w:r>
    </w:p>
    <w:p w:rsidR="006C46A5" w:rsidRDefault="006C46A5" w:rsidP="00DC24E7">
      <w:pPr>
        <w:rPr>
          <w:sz w:val="22"/>
          <w:szCs w:val="22"/>
        </w:rPr>
      </w:pPr>
    </w:p>
    <w:p w:rsidR="00C77F33" w:rsidRDefault="005719C0" w:rsidP="00C77F33">
      <w:pPr>
        <w:jc w:val="center"/>
        <w:rPr>
          <w:sz w:val="22"/>
          <w:szCs w:val="22"/>
        </w:rPr>
      </w:pPr>
      <w:r w:rsidRPr="00C77F33">
        <w:rPr>
          <w:position w:val="-12"/>
          <w:sz w:val="22"/>
          <w:szCs w:val="22"/>
        </w:rPr>
        <w:object w:dxaOrig="2799" w:dyaOrig="360">
          <v:shape id="_x0000_i1069" type="#_x0000_t75" style="width:139.8pt;height:18pt" o:ole="">
            <v:imagedata r:id="rId96" o:title=""/>
          </v:shape>
          <o:OLEObject Type="Embed" ProgID="Equation.3" ShapeID="_x0000_i1069" DrawAspect="Content" ObjectID="_1413646550" r:id="rId97"/>
        </w:object>
      </w:r>
      <w:r>
        <w:rPr>
          <w:sz w:val="22"/>
          <w:szCs w:val="22"/>
        </w:rPr>
        <w:t>.</w:t>
      </w:r>
    </w:p>
    <w:p w:rsidR="005719C0" w:rsidRDefault="005719C0" w:rsidP="00C77F33">
      <w:pPr>
        <w:jc w:val="center"/>
        <w:rPr>
          <w:sz w:val="22"/>
          <w:szCs w:val="22"/>
        </w:rPr>
      </w:pPr>
    </w:p>
    <w:p w:rsidR="005719C0" w:rsidRDefault="005719C0" w:rsidP="005719C0">
      <w:pPr>
        <w:rPr>
          <w:sz w:val="22"/>
          <w:szCs w:val="22"/>
        </w:rPr>
      </w:pPr>
      <w:r>
        <w:rPr>
          <w:sz w:val="22"/>
          <w:szCs w:val="22"/>
        </w:rPr>
        <w:t xml:space="preserve">Let </w:t>
      </w:r>
      <w:r w:rsidRPr="005719C0">
        <w:rPr>
          <w:position w:val="-4"/>
          <w:sz w:val="22"/>
          <w:szCs w:val="22"/>
        </w:rPr>
        <w:object w:dxaOrig="220" w:dyaOrig="260">
          <v:shape id="_x0000_i1070" type="#_x0000_t75" style="width:10.8pt;height:13.2pt" o:ole="">
            <v:imagedata r:id="rId98" o:title=""/>
          </v:shape>
          <o:OLEObject Type="Embed" ProgID="Equation.3" ShapeID="_x0000_i1070" DrawAspect="Content" ObjectID="_1413646551" r:id="rId99"/>
        </w:object>
      </w:r>
      <w:r>
        <w:rPr>
          <w:sz w:val="22"/>
          <w:szCs w:val="22"/>
        </w:rPr>
        <w:t xml:space="preserve"> be defined as </w:t>
      </w:r>
    </w:p>
    <w:p w:rsidR="00C77F33" w:rsidRDefault="001F41CB" w:rsidP="005719C0">
      <w:pPr>
        <w:jc w:val="center"/>
        <w:rPr>
          <w:sz w:val="22"/>
          <w:szCs w:val="22"/>
        </w:rPr>
      </w:pPr>
      <w:r w:rsidRPr="00C77F33">
        <w:rPr>
          <w:position w:val="-12"/>
          <w:sz w:val="22"/>
          <w:szCs w:val="22"/>
        </w:rPr>
        <w:object w:dxaOrig="5820" w:dyaOrig="360">
          <v:shape id="_x0000_i1088" type="#_x0000_t75" style="width:291pt;height:18pt" o:ole="">
            <v:imagedata r:id="rId100" o:title=""/>
          </v:shape>
          <o:OLEObject Type="Embed" ProgID="Equation.3" ShapeID="_x0000_i1088" DrawAspect="Content" ObjectID="_1413646552" r:id="rId101"/>
        </w:object>
      </w:r>
      <w:r w:rsidR="005719C0">
        <w:rPr>
          <w:sz w:val="22"/>
          <w:szCs w:val="22"/>
        </w:rPr>
        <w:t>.</w:t>
      </w:r>
    </w:p>
    <w:p w:rsidR="00C77F33" w:rsidRDefault="00C77F33" w:rsidP="00DC24E7">
      <w:pPr>
        <w:rPr>
          <w:sz w:val="22"/>
          <w:szCs w:val="22"/>
        </w:rPr>
      </w:pPr>
    </w:p>
    <w:p w:rsidR="005411AF" w:rsidRDefault="005719C0" w:rsidP="00AA5E5D">
      <w:pPr>
        <w:rPr>
          <w:sz w:val="22"/>
          <w:szCs w:val="22"/>
        </w:rPr>
      </w:pPr>
      <w:r>
        <w:rPr>
          <w:sz w:val="22"/>
          <w:szCs w:val="22"/>
        </w:rPr>
        <w:t xml:space="preserve">If </w:t>
      </w:r>
      <w:r w:rsidRPr="005719C0">
        <w:rPr>
          <w:position w:val="-4"/>
          <w:sz w:val="22"/>
          <w:szCs w:val="22"/>
        </w:rPr>
        <w:object w:dxaOrig="220" w:dyaOrig="260">
          <v:shape id="_x0000_i1071" type="#_x0000_t75" style="width:10.8pt;height:13.2pt" o:ole="">
            <v:imagedata r:id="rId98" o:title=""/>
          </v:shape>
          <o:OLEObject Type="Embed" ProgID="Equation.3" ShapeID="_x0000_i1071" DrawAspect="Content" ObjectID="_1413646553" r:id="rId102"/>
        </w:object>
      </w:r>
      <w:r>
        <w:rPr>
          <w:sz w:val="22"/>
          <w:szCs w:val="22"/>
        </w:rPr>
        <w:t xml:space="preserve"> is less than 25 MHz, then </w:t>
      </w:r>
      <w:r w:rsidRPr="00144455">
        <w:rPr>
          <w:position w:val="-12"/>
          <w:sz w:val="22"/>
          <w:szCs w:val="22"/>
        </w:rPr>
        <w:object w:dxaOrig="620" w:dyaOrig="360">
          <v:shape id="_x0000_i1072" type="#_x0000_t75" style="width:31.2pt;height:18pt" o:ole="">
            <v:imagedata r:id="rId93" o:title=""/>
          </v:shape>
          <o:OLEObject Type="Embed" ProgID="Equation.3" ShapeID="_x0000_i1072" DrawAspect="Content" ObjectID="_1413646554" r:id="rId103"/>
        </w:object>
      </w:r>
      <w:r>
        <w:rPr>
          <w:sz w:val="22"/>
          <w:szCs w:val="22"/>
        </w:rPr>
        <w:t xml:space="preserve"> does not reach the spurious domain.  If </w:t>
      </w:r>
      <w:r w:rsidRPr="005719C0">
        <w:rPr>
          <w:position w:val="-4"/>
          <w:sz w:val="22"/>
          <w:szCs w:val="22"/>
        </w:rPr>
        <w:object w:dxaOrig="220" w:dyaOrig="260">
          <v:shape id="_x0000_i1073" type="#_x0000_t75" style="width:10.8pt;height:13.2pt" o:ole="">
            <v:imagedata r:id="rId98" o:title=""/>
          </v:shape>
          <o:OLEObject Type="Embed" ProgID="Equation.3" ShapeID="_x0000_i1073" DrawAspect="Content" ObjectID="_1413646555" r:id="rId104"/>
        </w:object>
      </w:r>
      <w:r>
        <w:rPr>
          <w:sz w:val="22"/>
          <w:szCs w:val="22"/>
        </w:rPr>
        <w:t xml:space="preserve"> is less than 20 MHz, then </w:t>
      </w:r>
      <w:r w:rsidRPr="00144455">
        <w:rPr>
          <w:position w:val="-12"/>
          <w:sz w:val="22"/>
          <w:szCs w:val="22"/>
        </w:rPr>
        <w:object w:dxaOrig="620" w:dyaOrig="360">
          <v:shape id="_x0000_i1074" type="#_x0000_t75" style="width:31.2pt;height:18pt" o:ole="">
            <v:imagedata r:id="rId93" o:title=""/>
          </v:shape>
          <o:OLEObject Type="Embed" ProgID="Equation.3" ShapeID="_x0000_i1074" DrawAspect="Content" ObjectID="_1413646556" r:id="rId105"/>
        </w:object>
      </w:r>
      <w:r>
        <w:rPr>
          <w:sz w:val="22"/>
          <w:szCs w:val="22"/>
        </w:rPr>
        <w:t xml:space="preserve"> does not </w:t>
      </w:r>
      <w:r w:rsidR="0022679C">
        <w:rPr>
          <w:sz w:val="22"/>
          <w:szCs w:val="22"/>
        </w:rPr>
        <w:t>reach</w:t>
      </w:r>
      <w:r>
        <w:rPr>
          <w:sz w:val="22"/>
          <w:szCs w:val="22"/>
        </w:rPr>
        <w:t xml:space="preserve"> outside the ACLR domain.</w:t>
      </w:r>
      <w:r w:rsidR="0022679C">
        <w:rPr>
          <w:sz w:val="22"/>
          <w:szCs w:val="22"/>
        </w:rPr>
        <w:t xml:space="preserve">  The MPR as a function of allocation ratio is shown i</w:t>
      </w:r>
      <w:r w:rsidR="000168B4">
        <w:rPr>
          <w:sz w:val="22"/>
          <w:szCs w:val="22"/>
        </w:rPr>
        <w:t xml:space="preserve">n Figures 5 and 6 for </w:t>
      </w:r>
      <w:r w:rsidR="000168B4" w:rsidRPr="005719C0">
        <w:rPr>
          <w:position w:val="-4"/>
          <w:sz w:val="22"/>
          <w:szCs w:val="22"/>
        </w:rPr>
        <w:object w:dxaOrig="220" w:dyaOrig="260">
          <v:shape id="_x0000_i1075" type="#_x0000_t75" style="width:10.8pt;height:13.2pt" o:ole="">
            <v:imagedata r:id="rId98" o:title=""/>
          </v:shape>
          <o:OLEObject Type="Embed" ProgID="Equation.3" ShapeID="_x0000_i1075" DrawAspect="Content" ObjectID="_1413646557" r:id="rId106"/>
        </w:object>
      </w:r>
      <w:r w:rsidR="000168B4">
        <w:rPr>
          <w:sz w:val="22"/>
          <w:szCs w:val="22"/>
        </w:rPr>
        <w:t xml:space="preserve"> less than 20 MHz, and </w:t>
      </w:r>
      <w:r w:rsidR="000168B4" w:rsidRPr="005719C0">
        <w:rPr>
          <w:position w:val="-4"/>
          <w:sz w:val="22"/>
          <w:szCs w:val="22"/>
        </w:rPr>
        <w:object w:dxaOrig="220" w:dyaOrig="260">
          <v:shape id="_x0000_i1076" type="#_x0000_t75" style="width:10.8pt;height:13.2pt" o:ole="">
            <v:imagedata r:id="rId98" o:title=""/>
          </v:shape>
          <o:OLEObject Type="Embed" ProgID="Equation.3" ShapeID="_x0000_i1076" DrawAspect="Content" ObjectID="_1413646558" r:id="rId107"/>
        </w:object>
      </w:r>
      <w:r w:rsidR="000168B4">
        <w:rPr>
          <w:sz w:val="22"/>
          <w:szCs w:val="22"/>
        </w:rPr>
        <w:t xml:space="preserve"> is less than 2</w:t>
      </w:r>
      <w:r w:rsidR="0036744D">
        <w:rPr>
          <w:sz w:val="22"/>
          <w:szCs w:val="22"/>
        </w:rPr>
        <w:t>5</w:t>
      </w:r>
      <w:r w:rsidR="000168B4">
        <w:rPr>
          <w:sz w:val="22"/>
          <w:szCs w:val="22"/>
        </w:rPr>
        <w:t xml:space="preserve"> MHz, respectively.  In both cases it can be seen that the required MPR is less than 3.6 dB, regardless of the allocation ratio.</w:t>
      </w:r>
      <w:r w:rsidR="000B72A6">
        <w:rPr>
          <w:sz w:val="22"/>
          <w:szCs w:val="22"/>
        </w:rPr>
        <w:t xml:space="preserve">   Based on these results, the following simple proposal can be considered.</w:t>
      </w:r>
    </w:p>
    <w:p w:rsidR="000B72A6" w:rsidRDefault="000B72A6" w:rsidP="00AA5E5D">
      <w:pPr>
        <w:rPr>
          <w:sz w:val="22"/>
          <w:szCs w:val="22"/>
        </w:rPr>
      </w:pPr>
    </w:p>
    <w:p w:rsidR="000B72A6" w:rsidRDefault="000B72A6" w:rsidP="00AA5E5D">
      <w:pPr>
        <w:rPr>
          <w:sz w:val="22"/>
          <w:szCs w:val="22"/>
        </w:rPr>
      </w:pPr>
      <w:r w:rsidRPr="000B72A6">
        <w:rPr>
          <w:b/>
          <w:sz w:val="22"/>
          <w:szCs w:val="22"/>
        </w:rPr>
        <w:t>Proposal:</w:t>
      </w:r>
      <w:r>
        <w:rPr>
          <w:sz w:val="22"/>
          <w:szCs w:val="22"/>
        </w:rPr>
        <w:t xml:space="preserve">  If the allocation is such that </w:t>
      </w:r>
      <w:r w:rsidRPr="005719C0">
        <w:rPr>
          <w:position w:val="-4"/>
          <w:sz w:val="22"/>
          <w:szCs w:val="22"/>
        </w:rPr>
        <w:object w:dxaOrig="220" w:dyaOrig="260">
          <v:shape id="_x0000_i1079" type="#_x0000_t75" style="width:10.8pt;height:13.2pt" o:ole="">
            <v:imagedata r:id="rId98" o:title=""/>
          </v:shape>
          <o:OLEObject Type="Embed" ProgID="Equation.3" ShapeID="_x0000_i1079" DrawAspect="Content" ObjectID="_1413646559" r:id="rId108"/>
        </w:object>
      </w:r>
      <w:r>
        <w:rPr>
          <w:sz w:val="22"/>
          <w:szCs w:val="22"/>
        </w:rPr>
        <w:t xml:space="preserve"> is less than 25 MHz, limit the MPR to 4 dB regardless of the allocation ratio.  Thus, for a single component carrier, if </w:t>
      </w:r>
      <w:r w:rsidRPr="005719C0">
        <w:rPr>
          <w:position w:val="-4"/>
          <w:sz w:val="22"/>
          <w:szCs w:val="22"/>
        </w:rPr>
        <w:object w:dxaOrig="220" w:dyaOrig="260">
          <v:shape id="_x0000_i1080" type="#_x0000_t75" style="width:10.8pt;height:13.2pt" o:ole="">
            <v:imagedata r:id="rId98" o:title=""/>
          </v:shape>
          <o:OLEObject Type="Embed" ProgID="Equation.3" ShapeID="_x0000_i1080" DrawAspect="Content" ObjectID="_1413646560" r:id="rId109"/>
        </w:object>
      </w:r>
      <w:r>
        <w:rPr>
          <w:position w:val="-4"/>
          <w:sz w:val="22"/>
          <w:szCs w:val="22"/>
        </w:rPr>
        <w:t xml:space="preserve"> </w:t>
      </w:r>
      <w:r>
        <w:rPr>
          <w:sz w:val="22"/>
          <w:szCs w:val="22"/>
        </w:rPr>
        <w:t>is less than 25 MHz, the allowed MPR would be the minimum of the MPR allowed by the MPR mask and 4 dB.</w:t>
      </w:r>
    </w:p>
    <w:p w:rsidR="0036744D" w:rsidRDefault="0036744D" w:rsidP="00AA5E5D">
      <w:pPr>
        <w:rPr>
          <w:sz w:val="22"/>
          <w:szCs w:val="22"/>
        </w:rPr>
      </w:pPr>
    </w:p>
    <w:p w:rsidR="0036744D" w:rsidRDefault="0036744D" w:rsidP="00AA5E5D">
      <w:pPr>
        <w:rPr>
          <w:sz w:val="20"/>
        </w:rPr>
      </w:pPr>
      <w:r>
        <w:rPr>
          <w:sz w:val="22"/>
          <w:szCs w:val="22"/>
        </w:rPr>
        <w:t xml:space="preserve">The resulting MPR mask for allocations for which </w:t>
      </w:r>
      <w:r w:rsidRPr="005719C0">
        <w:rPr>
          <w:position w:val="-4"/>
          <w:sz w:val="22"/>
          <w:szCs w:val="22"/>
        </w:rPr>
        <w:object w:dxaOrig="220" w:dyaOrig="260">
          <v:shape id="_x0000_i1096" type="#_x0000_t75" style="width:10.8pt;height:13.2pt" o:ole="">
            <v:imagedata r:id="rId98" o:title=""/>
          </v:shape>
          <o:OLEObject Type="Embed" ProgID="Equation.3" ShapeID="_x0000_i1096" DrawAspect="Content" ObjectID="_1413646561" r:id="rId110"/>
        </w:object>
      </w:r>
      <w:r>
        <w:rPr>
          <w:position w:val="-4"/>
          <w:sz w:val="22"/>
          <w:szCs w:val="22"/>
        </w:rPr>
        <w:t xml:space="preserve"> </w:t>
      </w:r>
      <w:r>
        <w:rPr>
          <w:sz w:val="22"/>
          <w:szCs w:val="22"/>
        </w:rPr>
        <w:t>is less than 25 MHz is shown in Figure 6.</w:t>
      </w:r>
    </w:p>
    <w:p w:rsidR="005411AF" w:rsidRDefault="005411AF" w:rsidP="00AA5E5D">
      <w:pPr>
        <w:rPr>
          <w:sz w:val="20"/>
        </w:rPr>
      </w:pPr>
    </w:p>
    <w:p w:rsidR="00A904CB" w:rsidRDefault="00D10DE1" w:rsidP="00836560">
      <w:pPr>
        <w:jc w:val="center"/>
        <w:rPr>
          <w:sz w:val="20"/>
        </w:rPr>
      </w:pPr>
      <w:r w:rsidRPr="00D10DE1">
        <w:rPr>
          <w:sz w:val="20"/>
        </w:rPr>
        <w:pict>
          <v:shape id="_x0000_i1085" type="#_x0000_t75" style="width:384pt;height:4in">
            <v:imagedata r:id="rId111" o:title="figure5"/>
          </v:shape>
        </w:pict>
      </w:r>
    </w:p>
    <w:p w:rsidR="001F41CB" w:rsidRPr="00B10ECF" w:rsidRDefault="001F41CB" w:rsidP="001F41CB">
      <w:pPr>
        <w:pStyle w:val="Caption"/>
        <w:jc w:val="center"/>
        <w:rPr>
          <w:sz w:val="22"/>
          <w:szCs w:val="22"/>
        </w:rPr>
      </w:pPr>
      <w:r w:rsidRPr="00B10ECF">
        <w:rPr>
          <w:sz w:val="22"/>
          <w:szCs w:val="22"/>
        </w:rPr>
        <w:t>Figure 5: MPR needed to meet ACLR, NS</w:t>
      </w:r>
      <w:r w:rsidRPr="00B10ECF">
        <w:rPr>
          <w:sz w:val="22"/>
          <w:szCs w:val="22"/>
          <w:vertAlign w:val="subscript"/>
        </w:rPr>
        <w:t>01</w:t>
      </w:r>
      <w:r w:rsidRPr="00B10ECF">
        <w:rPr>
          <w:sz w:val="22"/>
          <w:szCs w:val="22"/>
        </w:rPr>
        <w:t xml:space="preserve">, and spurious requirement above 1 GHz for allocations for which </w:t>
      </w:r>
      <w:r w:rsidRPr="00B10ECF">
        <w:rPr>
          <w:rFonts w:ascii="Symbol" w:hAnsi="Symbol"/>
          <w:sz w:val="22"/>
          <w:szCs w:val="22"/>
        </w:rPr>
        <w:t></w:t>
      </w:r>
      <w:r w:rsidRPr="00B10ECF">
        <w:rPr>
          <w:sz w:val="22"/>
          <w:szCs w:val="22"/>
        </w:rPr>
        <w:t xml:space="preserve"> &lt; 20 MHz</w:t>
      </w:r>
    </w:p>
    <w:p w:rsidR="00836560" w:rsidRPr="00B10ECF" w:rsidRDefault="00D10DE1" w:rsidP="00D10DE1">
      <w:pPr>
        <w:pStyle w:val="Heading1"/>
        <w:numPr>
          <w:ilvl w:val="0"/>
          <w:numId w:val="0"/>
        </w:numPr>
        <w:spacing w:before="0" w:after="120"/>
        <w:jc w:val="center"/>
        <w:rPr>
          <w:b/>
          <w:color w:val="000000"/>
          <w:sz w:val="22"/>
          <w:szCs w:val="22"/>
        </w:rPr>
      </w:pPr>
      <w:r w:rsidRPr="00B10ECF">
        <w:rPr>
          <w:b/>
          <w:color w:val="000000"/>
          <w:sz w:val="22"/>
          <w:szCs w:val="22"/>
        </w:rPr>
        <w:lastRenderedPageBreak/>
        <w:pict>
          <v:shape id="_x0000_i1086" type="#_x0000_t75" style="width:384pt;height:4in">
            <v:imagedata r:id="rId112" o:title="figure6"/>
          </v:shape>
        </w:pict>
      </w:r>
    </w:p>
    <w:p w:rsidR="001F41CB" w:rsidRPr="00B10ECF" w:rsidRDefault="001F41CB" w:rsidP="001F41CB">
      <w:pPr>
        <w:pStyle w:val="Caption"/>
        <w:jc w:val="center"/>
        <w:rPr>
          <w:sz w:val="22"/>
        </w:rPr>
      </w:pPr>
      <w:r w:rsidRPr="00B10ECF">
        <w:rPr>
          <w:sz w:val="22"/>
        </w:rPr>
        <w:t>Figure 6: MPR needed to meet ACLR, NS</w:t>
      </w:r>
      <w:r w:rsidRPr="00B10ECF">
        <w:rPr>
          <w:sz w:val="22"/>
          <w:vertAlign w:val="subscript"/>
        </w:rPr>
        <w:t>01</w:t>
      </w:r>
      <w:r w:rsidRPr="00B10ECF">
        <w:rPr>
          <w:sz w:val="22"/>
        </w:rPr>
        <w:t xml:space="preserve">, and spurious requirement above 1 GHz for allocations for which </w:t>
      </w:r>
      <w:r w:rsidRPr="00B10ECF">
        <w:rPr>
          <w:rFonts w:ascii="Symbol" w:hAnsi="Symbol"/>
          <w:sz w:val="22"/>
        </w:rPr>
        <w:t></w:t>
      </w:r>
      <w:r w:rsidRPr="00B10ECF">
        <w:rPr>
          <w:sz w:val="22"/>
        </w:rPr>
        <w:t xml:space="preserve"> &lt; 25 MHz</w:t>
      </w:r>
    </w:p>
    <w:p w:rsidR="00C47D8C" w:rsidRDefault="00C47D8C" w:rsidP="00C47D8C">
      <w:pPr>
        <w:pStyle w:val="Heading1"/>
        <w:spacing w:after="120"/>
        <w:jc w:val="both"/>
        <w:rPr>
          <w:b/>
          <w:color w:val="000000"/>
        </w:rPr>
      </w:pPr>
      <w:r>
        <w:rPr>
          <w:b/>
          <w:color w:val="000000"/>
        </w:rPr>
        <w:t>Conclusion</w:t>
      </w:r>
    </w:p>
    <w:p w:rsidR="00C47D8C" w:rsidRPr="00246CF2" w:rsidRDefault="00C47D8C" w:rsidP="00C47D8C">
      <w:pPr>
        <w:rPr>
          <w:sz w:val="22"/>
          <w:szCs w:val="22"/>
        </w:rPr>
      </w:pPr>
      <w:r w:rsidRPr="00246CF2">
        <w:rPr>
          <w:sz w:val="22"/>
          <w:szCs w:val="22"/>
        </w:rPr>
        <w:t>In this contribution, we have examined some MPR mappings for multi-cluster allocations that might be used to bett</w:t>
      </w:r>
      <w:r w:rsidR="00246CF2">
        <w:rPr>
          <w:sz w:val="22"/>
          <w:szCs w:val="22"/>
        </w:rPr>
        <w:t xml:space="preserve">er predict the MPR for a given allocation </w:t>
      </w:r>
      <w:r w:rsidRPr="00246CF2">
        <w:rPr>
          <w:sz w:val="22"/>
          <w:szCs w:val="22"/>
        </w:rPr>
        <w:t>and thus reduce the excess MPR relative to that which results with the current specification.  More specifically, metrics based on the spectra resulting from the third order and fifth order terms of the PA non-linearity were mapped to the MPR required to meet the ACLR and spurious requirements, respectively.  It may be possible to</w:t>
      </w:r>
      <w:r w:rsidR="00246CF2">
        <w:rPr>
          <w:sz w:val="22"/>
          <w:szCs w:val="22"/>
        </w:rPr>
        <w:t xml:space="preserve"> use such</w:t>
      </w:r>
      <w:r w:rsidR="004D2E9A" w:rsidRPr="00246CF2">
        <w:rPr>
          <w:sz w:val="22"/>
          <w:szCs w:val="22"/>
        </w:rPr>
        <w:t xml:space="preserve"> mappings to reduce the excess MPR for multi-cluster transmission.</w:t>
      </w:r>
    </w:p>
    <w:p w:rsidR="004D2E9A" w:rsidRPr="00246CF2" w:rsidRDefault="004D2E9A" w:rsidP="00C47D8C">
      <w:pPr>
        <w:rPr>
          <w:sz w:val="22"/>
          <w:szCs w:val="22"/>
        </w:rPr>
      </w:pPr>
    </w:p>
    <w:p w:rsidR="00E930E2" w:rsidRPr="0036744D" w:rsidRDefault="004D2E9A" w:rsidP="0036744D">
      <w:pPr>
        <w:rPr>
          <w:sz w:val="22"/>
          <w:szCs w:val="22"/>
        </w:rPr>
      </w:pPr>
      <w:r w:rsidRPr="00246CF2">
        <w:rPr>
          <w:sz w:val="22"/>
          <w:szCs w:val="22"/>
        </w:rPr>
        <w:t xml:space="preserve">Because the large MPR values are driven by the spurious emissions requirements, it may be </w:t>
      </w:r>
      <w:r w:rsidR="0036744D">
        <w:rPr>
          <w:sz w:val="22"/>
          <w:szCs w:val="22"/>
        </w:rPr>
        <w:t>simpler</w:t>
      </w:r>
      <w:r w:rsidRPr="00246CF2">
        <w:rPr>
          <w:sz w:val="22"/>
          <w:szCs w:val="22"/>
        </w:rPr>
        <w:t xml:space="preserve"> to limit the allowed MPR for allocations for which the spectra </w:t>
      </w:r>
      <w:r w:rsidRPr="00246CF2">
        <w:rPr>
          <w:position w:val="-12"/>
          <w:sz w:val="22"/>
          <w:szCs w:val="22"/>
        </w:rPr>
        <w:object w:dxaOrig="620" w:dyaOrig="360">
          <v:shape id="_x0000_i1081" type="#_x0000_t75" style="width:31.2pt;height:18pt" o:ole="">
            <v:imagedata r:id="rId93" o:title=""/>
          </v:shape>
          <o:OLEObject Type="Embed" ProgID="Equation.3" ShapeID="_x0000_i1081" DrawAspect="Content" ObjectID="_1413646562" r:id="rId113"/>
        </w:object>
      </w:r>
      <w:r w:rsidRPr="00246CF2">
        <w:rPr>
          <w:sz w:val="22"/>
          <w:szCs w:val="22"/>
        </w:rPr>
        <w:t xml:space="preserve"> due not reach the spurious domain.  In particular, for allocations for which </w:t>
      </w:r>
      <w:r w:rsidRPr="00246CF2">
        <w:rPr>
          <w:position w:val="-4"/>
          <w:sz w:val="22"/>
          <w:szCs w:val="22"/>
        </w:rPr>
        <w:object w:dxaOrig="220" w:dyaOrig="260">
          <v:shape id="_x0000_i1082" type="#_x0000_t75" style="width:10.8pt;height:13.2pt" o:ole="">
            <v:imagedata r:id="rId98" o:title=""/>
          </v:shape>
          <o:OLEObject Type="Embed" ProgID="Equation.3" ShapeID="_x0000_i1082" DrawAspect="Content" ObjectID="_1413646563" r:id="rId114"/>
        </w:object>
      </w:r>
      <w:r w:rsidRPr="00246CF2">
        <w:rPr>
          <w:sz w:val="22"/>
          <w:szCs w:val="22"/>
        </w:rPr>
        <w:t xml:space="preserve"> is less than 25 MHz, it may be possible to limit the allowed</w:t>
      </w:r>
      <w:r w:rsidR="00246CF2">
        <w:rPr>
          <w:sz w:val="22"/>
          <w:szCs w:val="22"/>
        </w:rPr>
        <w:t xml:space="preserve"> MPR, regardless of </w:t>
      </w:r>
      <w:proofErr w:type="gramStart"/>
      <w:r w:rsidR="00246CF2">
        <w:rPr>
          <w:sz w:val="22"/>
          <w:szCs w:val="22"/>
        </w:rPr>
        <w:t>the  allocation</w:t>
      </w:r>
      <w:proofErr w:type="gramEnd"/>
      <w:r w:rsidR="00246CF2">
        <w:rPr>
          <w:sz w:val="22"/>
          <w:szCs w:val="22"/>
        </w:rPr>
        <w:t xml:space="preserve">.  Furthermore, for the specific case of multi-cluster transmission with a single component carrier, it should be possible to limit the </w:t>
      </w:r>
      <w:r w:rsidR="00510665">
        <w:rPr>
          <w:sz w:val="22"/>
          <w:szCs w:val="22"/>
        </w:rPr>
        <w:t xml:space="preserve">allowed </w:t>
      </w:r>
      <w:r w:rsidR="00246CF2">
        <w:rPr>
          <w:sz w:val="22"/>
          <w:szCs w:val="22"/>
        </w:rPr>
        <w:t xml:space="preserve">MPR to 4 dB for multi-cluster </w:t>
      </w:r>
      <w:r w:rsidR="00510665">
        <w:rPr>
          <w:sz w:val="22"/>
          <w:szCs w:val="22"/>
        </w:rPr>
        <w:t xml:space="preserve">allocations for which </w:t>
      </w:r>
      <w:r w:rsidR="00510665" w:rsidRPr="00246CF2">
        <w:rPr>
          <w:position w:val="-12"/>
          <w:sz w:val="22"/>
          <w:szCs w:val="22"/>
        </w:rPr>
        <w:object w:dxaOrig="620" w:dyaOrig="360">
          <v:shape id="_x0000_i1083" type="#_x0000_t75" style="width:31.2pt;height:18pt" o:ole="">
            <v:imagedata r:id="rId93" o:title=""/>
          </v:shape>
          <o:OLEObject Type="Embed" ProgID="Equation.3" ShapeID="_x0000_i1083" DrawAspect="Content" ObjectID="_1413646564" r:id="rId115"/>
        </w:object>
      </w:r>
      <w:r w:rsidR="00510665">
        <w:rPr>
          <w:sz w:val="22"/>
          <w:szCs w:val="22"/>
        </w:rPr>
        <w:t xml:space="preserve"> does not reach the spurious domain.</w:t>
      </w:r>
    </w:p>
    <w:p w:rsidR="00E930E2" w:rsidRDefault="00E930E2" w:rsidP="00AA5E5D">
      <w:pPr>
        <w:pStyle w:val="Heading1"/>
        <w:numPr>
          <w:ilvl w:val="0"/>
          <w:numId w:val="0"/>
        </w:numPr>
        <w:spacing w:before="0" w:after="120"/>
        <w:jc w:val="both"/>
        <w:rPr>
          <w:b/>
          <w:color w:val="000000"/>
        </w:rPr>
      </w:pPr>
    </w:p>
    <w:p w:rsidR="00AA5E5D" w:rsidRPr="003D1980" w:rsidRDefault="00AA5E5D" w:rsidP="00AA5E5D">
      <w:pPr>
        <w:pStyle w:val="Heading1"/>
        <w:numPr>
          <w:ilvl w:val="0"/>
          <w:numId w:val="0"/>
        </w:numPr>
        <w:spacing w:before="0" w:after="120"/>
        <w:jc w:val="both"/>
        <w:rPr>
          <w:b/>
          <w:color w:val="000000"/>
        </w:rPr>
      </w:pPr>
      <w:r w:rsidRPr="003D1980">
        <w:rPr>
          <w:b/>
          <w:color w:val="000000"/>
        </w:rPr>
        <w:t>References</w:t>
      </w:r>
    </w:p>
    <w:p w:rsidR="00534C32" w:rsidRDefault="005A049E" w:rsidP="00534C32">
      <w:pPr>
        <w:pStyle w:val="11BodyText"/>
        <w:numPr>
          <w:ilvl w:val="0"/>
          <w:numId w:val="5"/>
        </w:numPr>
        <w:rPr>
          <w:rFonts w:ascii="Times New Roman" w:hAnsi="Times New Roman"/>
          <w:bCs/>
          <w:lang w:val="en-US"/>
        </w:rPr>
      </w:pPr>
      <w:bookmarkStart w:id="1" w:name="_Ref314747495"/>
      <w:r>
        <w:rPr>
          <w:rFonts w:ascii="Times New Roman" w:hAnsi="Times New Roman"/>
          <w:bCs/>
          <w:lang w:val="en-US"/>
        </w:rPr>
        <w:t xml:space="preserve">K. </w:t>
      </w:r>
      <w:proofErr w:type="spellStart"/>
      <w:r>
        <w:rPr>
          <w:rFonts w:ascii="Times New Roman" w:hAnsi="Times New Roman"/>
          <w:bCs/>
          <w:lang w:val="en-US"/>
        </w:rPr>
        <w:t>Gard</w:t>
      </w:r>
      <w:proofErr w:type="spellEnd"/>
      <w:r>
        <w:rPr>
          <w:rFonts w:ascii="Times New Roman" w:hAnsi="Times New Roman"/>
          <w:bCs/>
          <w:lang w:val="en-US"/>
        </w:rPr>
        <w:t xml:space="preserve">, L. Larson, M Steer, “The Impact of RF Front-End Characteristics on the Spectral </w:t>
      </w:r>
      <w:proofErr w:type="spellStart"/>
      <w:r>
        <w:rPr>
          <w:rFonts w:ascii="Times New Roman" w:hAnsi="Times New Roman"/>
          <w:bCs/>
          <w:lang w:val="en-US"/>
        </w:rPr>
        <w:t>Regrowth</w:t>
      </w:r>
      <w:proofErr w:type="spellEnd"/>
      <w:r>
        <w:rPr>
          <w:rFonts w:ascii="Times New Roman" w:hAnsi="Times New Roman"/>
          <w:bCs/>
          <w:lang w:val="en-US"/>
        </w:rPr>
        <w:t xml:space="preserve"> of Communication Signals,” IEEE Transactions on</w:t>
      </w:r>
      <w:r w:rsidR="00534C32">
        <w:rPr>
          <w:rFonts w:ascii="Times New Roman" w:hAnsi="Times New Roman"/>
          <w:bCs/>
          <w:lang w:val="en-US"/>
        </w:rPr>
        <w:t xml:space="preserve"> Microwave Theory and Techniques, Vol. 53, No. 6, 2005.</w:t>
      </w:r>
      <w:r>
        <w:rPr>
          <w:rFonts w:ascii="Times New Roman" w:hAnsi="Times New Roman"/>
          <w:bCs/>
          <w:lang w:val="en-US"/>
        </w:rPr>
        <w:t xml:space="preserve"> </w:t>
      </w:r>
    </w:p>
    <w:p w:rsidR="00571E20" w:rsidRDefault="0036744D" w:rsidP="00534C32">
      <w:pPr>
        <w:pStyle w:val="11BodyText"/>
        <w:numPr>
          <w:ilvl w:val="0"/>
          <w:numId w:val="5"/>
        </w:numPr>
        <w:rPr>
          <w:rFonts w:ascii="Times New Roman" w:hAnsi="Times New Roman"/>
          <w:bCs/>
          <w:lang w:val="en-US"/>
        </w:rPr>
      </w:pPr>
      <w:r>
        <w:rPr>
          <w:rFonts w:ascii="Times New Roman" w:hAnsi="Times New Roman"/>
          <w:bCs/>
          <w:lang w:val="en-US"/>
        </w:rPr>
        <w:t>3GPP TS 36.101V11.2.0</w:t>
      </w:r>
    </w:p>
    <w:bookmarkEnd w:id="1"/>
    <w:p w:rsidR="0083013B" w:rsidRDefault="0083013B" w:rsidP="00DD512E"/>
    <w:p w:rsidR="00215650" w:rsidRPr="0083013B" w:rsidRDefault="00215650" w:rsidP="00E83083">
      <w:pPr>
        <w:ind w:firstLine="720"/>
      </w:pPr>
    </w:p>
    <w:p w:rsidR="00F30A87" w:rsidRPr="00F30A87" w:rsidRDefault="00F30A87" w:rsidP="00453ACB">
      <w:pPr>
        <w:spacing w:after="120"/>
        <w:jc w:val="center"/>
        <w:rPr>
          <w:bCs/>
          <w:sz w:val="20"/>
        </w:rPr>
      </w:pPr>
    </w:p>
    <w:sectPr w:rsidR="00F30A87" w:rsidRPr="00F30A87" w:rsidSect="00CA686D">
      <w:footerReference w:type="default" r:id="rId116"/>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FB8" w:rsidRDefault="007C5FB8">
      <w:r>
        <w:separator/>
      </w:r>
    </w:p>
  </w:endnote>
  <w:endnote w:type="continuationSeparator" w:id="0">
    <w:p w:rsidR="007C5FB8" w:rsidRDefault="007C5F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E9A" w:rsidRDefault="004D2E9A">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6687C">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6687C">
      <w:rPr>
        <w:rStyle w:val="PageNumber"/>
        <w:rFonts w:eastAsia="MS Gothic"/>
        <w:noProof/>
      </w:rPr>
      <w:t>9</w:t>
    </w:r>
    <w:r>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FB8" w:rsidRDefault="007C5FB8">
      <w:r>
        <w:separator/>
      </w:r>
    </w:p>
  </w:footnote>
  <w:footnote w:type="continuationSeparator" w:id="0">
    <w:p w:rsidR="007C5FB8" w:rsidRDefault="007C5F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16127C"/>
    <w:multiLevelType w:val="hybridMultilevel"/>
    <w:tmpl w:val="9FA05A64"/>
    <w:lvl w:ilvl="0" w:tplc="EC76E8C6">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63D6"/>
    <w:multiLevelType w:val="hybridMultilevel"/>
    <w:tmpl w:val="B3484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5373C8"/>
    <w:multiLevelType w:val="hybridMultilevel"/>
    <w:tmpl w:val="2FFE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6">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3">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224228F"/>
    <w:multiLevelType w:val="hybridMultilevel"/>
    <w:tmpl w:val="085CF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387"/>
        </w:tabs>
        <w:ind w:left="387" w:hanging="567"/>
      </w:pPr>
    </w:lvl>
    <w:lvl w:ilvl="2">
      <w:start w:val="1"/>
      <w:numFmt w:val="decimal"/>
      <w:pStyle w:val="Heading3"/>
      <w:lvlText w:val="%1.%2.%3."/>
      <w:lvlJc w:val="left"/>
      <w:pPr>
        <w:tabs>
          <w:tab w:val="num" w:pos="529"/>
        </w:tabs>
        <w:ind w:left="529" w:hanging="709"/>
      </w:pPr>
    </w:lvl>
    <w:lvl w:ilvl="3">
      <w:start w:val="1"/>
      <w:numFmt w:val="decimal"/>
      <w:pStyle w:val="Heading4"/>
      <w:lvlText w:val="%1.%2.%3.%4."/>
      <w:lvlJc w:val="left"/>
      <w:pPr>
        <w:tabs>
          <w:tab w:val="num" w:pos="671"/>
        </w:tabs>
        <w:ind w:left="671" w:hanging="851"/>
      </w:pPr>
    </w:lvl>
    <w:lvl w:ilvl="4">
      <w:start w:val="1"/>
      <w:numFmt w:val="decimal"/>
      <w:lvlText w:val="%1.%2.%3.%4.%5."/>
      <w:lvlJc w:val="left"/>
      <w:pPr>
        <w:tabs>
          <w:tab w:val="num" w:pos="812"/>
        </w:tabs>
        <w:ind w:left="812" w:hanging="992"/>
      </w:pPr>
    </w:lvl>
    <w:lvl w:ilvl="5">
      <w:start w:val="1"/>
      <w:numFmt w:val="decimal"/>
      <w:lvlText w:val="%1.%2.%3.%4.%5.%6."/>
      <w:lvlJc w:val="left"/>
      <w:pPr>
        <w:tabs>
          <w:tab w:val="num" w:pos="954"/>
        </w:tabs>
        <w:ind w:left="954" w:hanging="1134"/>
      </w:pPr>
    </w:lvl>
    <w:lvl w:ilvl="6">
      <w:start w:val="1"/>
      <w:numFmt w:val="decimal"/>
      <w:lvlText w:val="%1.%2.%3.%4.%5.%6.%7."/>
      <w:lvlJc w:val="left"/>
      <w:pPr>
        <w:tabs>
          <w:tab w:val="num" w:pos="1096"/>
        </w:tabs>
        <w:ind w:left="1096" w:hanging="1276"/>
      </w:pPr>
    </w:lvl>
    <w:lvl w:ilvl="7">
      <w:start w:val="1"/>
      <w:numFmt w:val="decimal"/>
      <w:lvlText w:val="%1.%2.%3.%4.%5.%6.%7.%8."/>
      <w:lvlJc w:val="left"/>
      <w:pPr>
        <w:tabs>
          <w:tab w:val="num" w:pos="1238"/>
        </w:tabs>
        <w:ind w:left="1238" w:hanging="1418"/>
      </w:pPr>
    </w:lvl>
    <w:lvl w:ilvl="8">
      <w:start w:val="1"/>
      <w:numFmt w:val="decimal"/>
      <w:lvlText w:val="%1.%2.%3.%4.%5.%6.%7.%8.%9."/>
      <w:lvlJc w:val="left"/>
      <w:pPr>
        <w:tabs>
          <w:tab w:val="num" w:pos="1379"/>
        </w:tabs>
        <w:ind w:left="1379" w:hanging="1559"/>
      </w:pPr>
    </w:lvl>
  </w:abstractNum>
  <w:abstractNum w:abstractNumId="25">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24"/>
  </w:num>
  <w:num w:numId="4">
    <w:abstractNumId w:val="11"/>
  </w:num>
  <w:num w:numId="5">
    <w:abstractNumId w:val="8"/>
  </w:num>
  <w:num w:numId="6">
    <w:abstractNumId w:val="27"/>
  </w:num>
  <w:num w:numId="7">
    <w:abstractNumId w:val="5"/>
  </w:num>
  <w:num w:numId="8">
    <w:abstractNumId w:val="23"/>
  </w:num>
  <w:num w:numId="9">
    <w:abstractNumId w:val="12"/>
  </w:num>
  <w:num w:numId="10">
    <w:abstractNumId w:val="19"/>
  </w:num>
  <w:num w:numId="11">
    <w:abstractNumId w:val="24"/>
  </w:num>
  <w:num w:numId="12">
    <w:abstractNumId w:val="13"/>
  </w:num>
  <w:num w:numId="13">
    <w:abstractNumId w:val="18"/>
  </w:num>
  <w:num w:numId="14">
    <w:abstractNumId w:val="7"/>
  </w:num>
  <w:num w:numId="15">
    <w:abstractNumId w:val="4"/>
  </w:num>
  <w:num w:numId="16">
    <w:abstractNumId w:val="20"/>
  </w:num>
  <w:num w:numId="17">
    <w:abstractNumId w:val="25"/>
  </w:num>
  <w:num w:numId="18">
    <w:abstractNumId w:val="26"/>
  </w:num>
  <w:num w:numId="19">
    <w:abstractNumId w:val="10"/>
  </w:num>
  <w:num w:numId="20">
    <w:abstractNumId w:val="9"/>
  </w:num>
  <w:num w:numId="21">
    <w:abstractNumId w:val="17"/>
  </w:num>
  <w:num w:numId="22">
    <w:abstractNumId w:val="6"/>
  </w:num>
  <w:num w:numId="23">
    <w:abstractNumId w:val="21"/>
  </w:num>
  <w:num w:numId="24">
    <w:abstractNumId w:val="16"/>
  </w:num>
  <w:num w:numId="25">
    <w:abstractNumId w:val="2"/>
  </w:num>
  <w:num w:numId="26">
    <w:abstractNumId w:val="14"/>
  </w:num>
  <w:num w:numId="27">
    <w:abstractNumId w:val="15"/>
  </w:num>
  <w:num w:numId="28">
    <w:abstractNumId w:val="3"/>
  </w:num>
  <w:num w:numId="29">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47106">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3B22"/>
    <w:rsid w:val="0000422B"/>
    <w:rsid w:val="0000530F"/>
    <w:rsid w:val="00005C60"/>
    <w:rsid w:val="0000600D"/>
    <w:rsid w:val="000065F7"/>
    <w:rsid w:val="00011941"/>
    <w:rsid w:val="0001251B"/>
    <w:rsid w:val="0001297C"/>
    <w:rsid w:val="00012DFF"/>
    <w:rsid w:val="00012E98"/>
    <w:rsid w:val="000131E4"/>
    <w:rsid w:val="000139A9"/>
    <w:rsid w:val="000153FF"/>
    <w:rsid w:val="00016846"/>
    <w:rsid w:val="000168B4"/>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629"/>
    <w:rsid w:val="00034A93"/>
    <w:rsid w:val="00034E72"/>
    <w:rsid w:val="00035038"/>
    <w:rsid w:val="00035722"/>
    <w:rsid w:val="00036917"/>
    <w:rsid w:val="000373FB"/>
    <w:rsid w:val="00037D20"/>
    <w:rsid w:val="000404A6"/>
    <w:rsid w:val="00040ACA"/>
    <w:rsid w:val="00041699"/>
    <w:rsid w:val="00041715"/>
    <w:rsid w:val="00043CE6"/>
    <w:rsid w:val="000445C0"/>
    <w:rsid w:val="0004558E"/>
    <w:rsid w:val="0004620F"/>
    <w:rsid w:val="00046C36"/>
    <w:rsid w:val="000473AF"/>
    <w:rsid w:val="000474F1"/>
    <w:rsid w:val="000478E7"/>
    <w:rsid w:val="00047C54"/>
    <w:rsid w:val="00047E01"/>
    <w:rsid w:val="00047EB1"/>
    <w:rsid w:val="000501EB"/>
    <w:rsid w:val="00050BAA"/>
    <w:rsid w:val="000514EA"/>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44A6"/>
    <w:rsid w:val="00066EA6"/>
    <w:rsid w:val="00066FAF"/>
    <w:rsid w:val="00067AD3"/>
    <w:rsid w:val="00070323"/>
    <w:rsid w:val="00070BD1"/>
    <w:rsid w:val="00071382"/>
    <w:rsid w:val="00071987"/>
    <w:rsid w:val="00072998"/>
    <w:rsid w:val="00073891"/>
    <w:rsid w:val="0007585B"/>
    <w:rsid w:val="000761E9"/>
    <w:rsid w:val="00077357"/>
    <w:rsid w:val="0007776E"/>
    <w:rsid w:val="00081697"/>
    <w:rsid w:val="00081C3F"/>
    <w:rsid w:val="0008201A"/>
    <w:rsid w:val="00082A22"/>
    <w:rsid w:val="0008390F"/>
    <w:rsid w:val="000840C3"/>
    <w:rsid w:val="000850E1"/>
    <w:rsid w:val="0008577F"/>
    <w:rsid w:val="00086246"/>
    <w:rsid w:val="00086C10"/>
    <w:rsid w:val="00086D89"/>
    <w:rsid w:val="0008771A"/>
    <w:rsid w:val="000900C9"/>
    <w:rsid w:val="00092BE4"/>
    <w:rsid w:val="00092D77"/>
    <w:rsid w:val="00093F84"/>
    <w:rsid w:val="00094631"/>
    <w:rsid w:val="0009490A"/>
    <w:rsid w:val="00095181"/>
    <w:rsid w:val="0009643A"/>
    <w:rsid w:val="000966A3"/>
    <w:rsid w:val="00096728"/>
    <w:rsid w:val="00096805"/>
    <w:rsid w:val="00096C08"/>
    <w:rsid w:val="00097021"/>
    <w:rsid w:val="00097E0F"/>
    <w:rsid w:val="000A0315"/>
    <w:rsid w:val="000A053B"/>
    <w:rsid w:val="000A0C59"/>
    <w:rsid w:val="000A0D64"/>
    <w:rsid w:val="000A0D90"/>
    <w:rsid w:val="000A0DC6"/>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737"/>
    <w:rsid w:val="000B72A6"/>
    <w:rsid w:val="000B7BFE"/>
    <w:rsid w:val="000C0010"/>
    <w:rsid w:val="000C0B19"/>
    <w:rsid w:val="000C0F4D"/>
    <w:rsid w:val="000C2058"/>
    <w:rsid w:val="000C21A2"/>
    <w:rsid w:val="000C259D"/>
    <w:rsid w:val="000C2B5C"/>
    <w:rsid w:val="000C2D27"/>
    <w:rsid w:val="000C2E07"/>
    <w:rsid w:val="000C2EB2"/>
    <w:rsid w:val="000C3236"/>
    <w:rsid w:val="000C3DF3"/>
    <w:rsid w:val="000C49BD"/>
    <w:rsid w:val="000C54DC"/>
    <w:rsid w:val="000C58B9"/>
    <w:rsid w:val="000C664F"/>
    <w:rsid w:val="000C735F"/>
    <w:rsid w:val="000C76AD"/>
    <w:rsid w:val="000D0184"/>
    <w:rsid w:val="000D0461"/>
    <w:rsid w:val="000D0465"/>
    <w:rsid w:val="000D0F6A"/>
    <w:rsid w:val="000D26B1"/>
    <w:rsid w:val="000D2BBB"/>
    <w:rsid w:val="000D3567"/>
    <w:rsid w:val="000D3580"/>
    <w:rsid w:val="000D41B8"/>
    <w:rsid w:val="000D4E5A"/>
    <w:rsid w:val="000D54AA"/>
    <w:rsid w:val="000D571C"/>
    <w:rsid w:val="000D640D"/>
    <w:rsid w:val="000D6509"/>
    <w:rsid w:val="000D6548"/>
    <w:rsid w:val="000D6B81"/>
    <w:rsid w:val="000D6FD8"/>
    <w:rsid w:val="000D7D6C"/>
    <w:rsid w:val="000D7E41"/>
    <w:rsid w:val="000E0145"/>
    <w:rsid w:val="000E0529"/>
    <w:rsid w:val="000E070C"/>
    <w:rsid w:val="000E2243"/>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54C9"/>
    <w:rsid w:val="000F613C"/>
    <w:rsid w:val="000F64C4"/>
    <w:rsid w:val="000F72F0"/>
    <w:rsid w:val="0010015A"/>
    <w:rsid w:val="00100728"/>
    <w:rsid w:val="00101465"/>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E0"/>
    <w:rsid w:val="00120A55"/>
    <w:rsid w:val="00122527"/>
    <w:rsid w:val="00122BFC"/>
    <w:rsid w:val="00123696"/>
    <w:rsid w:val="00123AFF"/>
    <w:rsid w:val="0012467C"/>
    <w:rsid w:val="00124B11"/>
    <w:rsid w:val="00126C04"/>
    <w:rsid w:val="00130086"/>
    <w:rsid w:val="001301F9"/>
    <w:rsid w:val="00131429"/>
    <w:rsid w:val="00131D85"/>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455"/>
    <w:rsid w:val="00144613"/>
    <w:rsid w:val="0014491B"/>
    <w:rsid w:val="00144EE2"/>
    <w:rsid w:val="00145094"/>
    <w:rsid w:val="001450AD"/>
    <w:rsid w:val="00146823"/>
    <w:rsid w:val="00146F5C"/>
    <w:rsid w:val="00147200"/>
    <w:rsid w:val="00150C74"/>
    <w:rsid w:val="00151A8D"/>
    <w:rsid w:val="00151FC5"/>
    <w:rsid w:val="0015215C"/>
    <w:rsid w:val="00152249"/>
    <w:rsid w:val="001532DD"/>
    <w:rsid w:val="00153490"/>
    <w:rsid w:val="0015365F"/>
    <w:rsid w:val="0015439F"/>
    <w:rsid w:val="001545B1"/>
    <w:rsid w:val="00154C6A"/>
    <w:rsid w:val="001551D0"/>
    <w:rsid w:val="00155549"/>
    <w:rsid w:val="00155694"/>
    <w:rsid w:val="00156214"/>
    <w:rsid w:val="0015737C"/>
    <w:rsid w:val="00157421"/>
    <w:rsid w:val="001606A8"/>
    <w:rsid w:val="00160971"/>
    <w:rsid w:val="00160E1D"/>
    <w:rsid w:val="001633BE"/>
    <w:rsid w:val="00163495"/>
    <w:rsid w:val="00164694"/>
    <w:rsid w:val="00165DE5"/>
    <w:rsid w:val="00165DE9"/>
    <w:rsid w:val="0016687C"/>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771"/>
    <w:rsid w:val="001839EE"/>
    <w:rsid w:val="00183CEA"/>
    <w:rsid w:val="001840F4"/>
    <w:rsid w:val="00184388"/>
    <w:rsid w:val="00184392"/>
    <w:rsid w:val="00185456"/>
    <w:rsid w:val="001857AC"/>
    <w:rsid w:val="00185D80"/>
    <w:rsid w:val="001875EA"/>
    <w:rsid w:val="00187C19"/>
    <w:rsid w:val="00187ED4"/>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9DB"/>
    <w:rsid w:val="001A2590"/>
    <w:rsid w:val="001A2F38"/>
    <w:rsid w:val="001A3C40"/>
    <w:rsid w:val="001A3D54"/>
    <w:rsid w:val="001A3E2A"/>
    <w:rsid w:val="001A4B90"/>
    <w:rsid w:val="001A5D96"/>
    <w:rsid w:val="001A65A8"/>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6AE"/>
    <w:rsid w:val="001C12BD"/>
    <w:rsid w:val="001C16FD"/>
    <w:rsid w:val="001C2D37"/>
    <w:rsid w:val="001C4595"/>
    <w:rsid w:val="001C4835"/>
    <w:rsid w:val="001C48FB"/>
    <w:rsid w:val="001C49E4"/>
    <w:rsid w:val="001C524F"/>
    <w:rsid w:val="001C558B"/>
    <w:rsid w:val="001C5CC8"/>
    <w:rsid w:val="001C5DD2"/>
    <w:rsid w:val="001C5F83"/>
    <w:rsid w:val="001C654B"/>
    <w:rsid w:val="001C68C7"/>
    <w:rsid w:val="001C6F5A"/>
    <w:rsid w:val="001C722B"/>
    <w:rsid w:val="001D02E1"/>
    <w:rsid w:val="001D0316"/>
    <w:rsid w:val="001D1A10"/>
    <w:rsid w:val="001D1B2D"/>
    <w:rsid w:val="001D1D55"/>
    <w:rsid w:val="001D33EB"/>
    <w:rsid w:val="001D3BFB"/>
    <w:rsid w:val="001D4097"/>
    <w:rsid w:val="001D491E"/>
    <w:rsid w:val="001D5150"/>
    <w:rsid w:val="001D59AA"/>
    <w:rsid w:val="001D5A30"/>
    <w:rsid w:val="001D6C5A"/>
    <w:rsid w:val="001E1A59"/>
    <w:rsid w:val="001E1B1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1CB"/>
    <w:rsid w:val="001F42F2"/>
    <w:rsid w:val="001F442F"/>
    <w:rsid w:val="001F5374"/>
    <w:rsid w:val="001F55BE"/>
    <w:rsid w:val="001F59AC"/>
    <w:rsid w:val="001F67E2"/>
    <w:rsid w:val="001F694E"/>
    <w:rsid w:val="001F6E76"/>
    <w:rsid w:val="001F7468"/>
    <w:rsid w:val="001F74C1"/>
    <w:rsid w:val="001F75A0"/>
    <w:rsid w:val="00200717"/>
    <w:rsid w:val="00200AFA"/>
    <w:rsid w:val="00200BCA"/>
    <w:rsid w:val="00200EA2"/>
    <w:rsid w:val="0020144E"/>
    <w:rsid w:val="00202090"/>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5650"/>
    <w:rsid w:val="0021680A"/>
    <w:rsid w:val="0021681A"/>
    <w:rsid w:val="00217D09"/>
    <w:rsid w:val="0022207C"/>
    <w:rsid w:val="00222A2D"/>
    <w:rsid w:val="0022379D"/>
    <w:rsid w:val="00224402"/>
    <w:rsid w:val="0022589B"/>
    <w:rsid w:val="0022678C"/>
    <w:rsid w:val="0022679C"/>
    <w:rsid w:val="00226B0D"/>
    <w:rsid w:val="00226BF4"/>
    <w:rsid w:val="002273D4"/>
    <w:rsid w:val="00227736"/>
    <w:rsid w:val="002279F2"/>
    <w:rsid w:val="00227FDC"/>
    <w:rsid w:val="0023003F"/>
    <w:rsid w:val="002318EF"/>
    <w:rsid w:val="00231BE1"/>
    <w:rsid w:val="00231D85"/>
    <w:rsid w:val="00231E77"/>
    <w:rsid w:val="00233553"/>
    <w:rsid w:val="00233E8A"/>
    <w:rsid w:val="002343D8"/>
    <w:rsid w:val="00234D14"/>
    <w:rsid w:val="00235EA3"/>
    <w:rsid w:val="00236316"/>
    <w:rsid w:val="0023703D"/>
    <w:rsid w:val="002373B8"/>
    <w:rsid w:val="00237821"/>
    <w:rsid w:val="0024052C"/>
    <w:rsid w:val="00240BBC"/>
    <w:rsid w:val="002413D3"/>
    <w:rsid w:val="00241AD3"/>
    <w:rsid w:val="002422AB"/>
    <w:rsid w:val="00242873"/>
    <w:rsid w:val="00242B8D"/>
    <w:rsid w:val="00242BD8"/>
    <w:rsid w:val="0024327B"/>
    <w:rsid w:val="002435B9"/>
    <w:rsid w:val="00243F6B"/>
    <w:rsid w:val="00246630"/>
    <w:rsid w:val="00246BC3"/>
    <w:rsid w:val="00246CF2"/>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38F"/>
    <w:rsid w:val="0026498A"/>
    <w:rsid w:val="002653A3"/>
    <w:rsid w:val="0026556D"/>
    <w:rsid w:val="00265F6D"/>
    <w:rsid w:val="00266F8C"/>
    <w:rsid w:val="00270271"/>
    <w:rsid w:val="0027082D"/>
    <w:rsid w:val="002718B4"/>
    <w:rsid w:val="002732FF"/>
    <w:rsid w:val="00273760"/>
    <w:rsid w:val="00274746"/>
    <w:rsid w:val="00275D61"/>
    <w:rsid w:val="002775FC"/>
    <w:rsid w:val="00280600"/>
    <w:rsid w:val="0028122E"/>
    <w:rsid w:val="00283873"/>
    <w:rsid w:val="00284134"/>
    <w:rsid w:val="002842D2"/>
    <w:rsid w:val="00284580"/>
    <w:rsid w:val="002845F9"/>
    <w:rsid w:val="00285976"/>
    <w:rsid w:val="00285C5E"/>
    <w:rsid w:val="002863D2"/>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7FA3"/>
    <w:rsid w:val="002B1321"/>
    <w:rsid w:val="002B1DCF"/>
    <w:rsid w:val="002B2F10"/>
    <w:rsid w:val="002B34C5"/>
    <w:rsid w:val="002B3502"/>
    <w:rsid w:val="002B3B75"/>
    <w:rsid w:val="002B3C18"/>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52E2"/>
    <w:rsid w:val="002C570C"/>
    <w:rsid w:val="002C579F"/>
    <w:rsid w:val="002C6836"/>
    <w:rsid w:val="002D0CAF"/>
    <w:rsid w:val="002D217F"/>
    <w:rsid w:val="002D2D99"/>
    <w:rsid w:val="002D3C3B"/>
    <w:rsid w:val="002D3C6C"/>
    <w:rsid w:val="002D4040"/>
    <w:rsid w:val="002D4A75"/>
    <w:rsid w:val="002D4FD6"/>
    <w:rsid w:val="002D5FE1"/>
    <w:rsid w:val="002D7510"/>
    <w:rsid w:val="002D7916"/>
    <w:rsid w:val="002D7E37"/>
    <w:rsid w:val="002E018D"/>
    <w:rsid w:val="002E20A1"/>
    <w:rsid w:val="002E2813"/>
    <w:rsid w:val="002E337D"/>
    <w:rsid w:val="002E3480"/>
    <w:rsid w:val="002E3AF8"/>
    <w:rsid w:val="002E4C5E"/>
    <w:rsid w:val="002E56E8"/>
    <w:rsid w:val="002E5758"/>
    <w:rsid w:val="002E648C"/>
    <w:rsid w:val="002E66A6"/>
    <w:rsid w:val="002E6A65"/>
    <w:rsid w:val="002E6F91"/>
    <w:rsid w:val="002F0253"/>
    <w:rsid w:val="002F1069"/>
    <w:rsid w:val="002F113A"/>
    <w:rsid w:val="002F1796"/>
    <w:rsid w:val="002F1DEE"/>
    <w:rsid w:val="002F1FB1"/>
    <w:rsid w:val="002F2C7E"/>
    <w:rsid w:val="002F2E22"/>
    <w:rsid w:val="002F33D1"/>
    <w:rsid w:val="002F4F8C"/>
    <w:rsid w:val="002F591D"/>
    <w:rsid w:val="002F6B38"/>
    <w:rsid w:val="002F7955"/>
    <w:rsid w:val="00301BB3"/>
    <w:rsid w:val="00302254"/>
    <w:rsid w:val="00302595"/>
    <w:rsid w:val="003025DE"/>
    <w:rsid w:val="00302BA1"/>
    <w:rsid w:val="00303010"/>
    <w:rsid w:val="00303298"/>
    <w:rsid w:val="00303765"/>
    <w:rsid w:val="00303E7C"/>
    <w:rsid w:val="00304149"/>
    <w:rsid w:val="00305C70"/>
    <w:rsid w:val="003072BE"/>
    <w:rsid w:val="003073D5"/>
    <w:rsid w:val="003122E5"/>
    <w:rsid w:val="00312C11"/>
    <w:rsid w:val="00315E15"/>
    <w:rsid w:val="00315E54"/>
    <w:rsid w:val="00317174"/>
    <w:rsid w:val="00317A1C"/>
    <w:rsid w:val="00321949"/>
    <w:rsid w:val="003220AE"/>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A5"/>
    <w:rsid w:val="0035037F"/>
    <w:rsid w:val="00350480"/>
    <w:rsid w:val="003518D6"/>
    <w:rsid w:val="00351FD6"/>
    <w:rsid w:val="00354D50"/>
    <w:rsid w:val="003557A2"/>
    <w:rsid w:val="00355D4C"/>
    <w:rsid w:val="00356823"/>
    <w:rsid w:val="003568E5"/>
    <w:rsid w:val="00356E3D"/>
    <w:rsid w:val="003575AA"/>
    <w:rsid w:val="00361689"/>
    <w:rsid w:val="00361E5F"/>
    <w:rsid w:val="00364414"/>
    <w:rsid w:val="0036482F"/>
    <w:rsid w:val="00364B57"/>
    <w:rsid w:val="0036506C"/>
    <w:rsid w:val="00365CAB"/>
    <w:rsid w:val="003666A0"/>
    <w:rsid w:val="0036744D"/>
    <w:rsid w:val="00367495"/>
    <w:rsid w:val="00367A35"/>
    <w:rsid w:val="003708F8"/>
    <w:rsid w:val="00371998"/>
    <w:rsid w:val="00371FFA"/>
    <w:rsid w:val="003726B8"/>
    <w:rsid w:val="00372A29"/>
    <w:rsid w:val="00373B32"/>
    <w:rsid w:val="00374A8B"/>
    <w:rsid w:val="003755A6"/>
    <w:rsid w:val="00375707"/>
    <w:rsid w:val="00375872"/>
    <w:rsid w:val="00376123"/>
    <w:rsid w:val="0037676D"/>
    <w:rsid w:val="00376A26"/>
    <w:rsid w:val="0037742E"/>
    <w:rsid w:val="003807EE"/>
    <w:rsid w:val="0038105E"/>
    <w:rsid w:val="0038128B"/>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A2B"/>
    <w:rsid w:val="00394DE8"/>
    <w:rsid w:val="0039530E"/>
    <w:rsid w:val="0039566C"/>
    <w:rsid w:val="00395793"/>
    <w:rsid w:val="00396AAD"/>
    <w:rsid w:val="003A09AA"/>
    <w:rsid w:val="003A0BD9"/>
    <w:rsid w:val="003A0E65"/>
    <w:rsid w:val="003A0F1E"/>
    <w:rsid w:val="003A3DE2"/>
    <w:rsid w:val="003A4469"/>
    <w:rsid w:val="003A4670"/>
    <w:rsid w:val="003A4A4E"/>
    <w:rsid w:val="003A6356"/>
    <w:rsid w:val="003A674A"/>
    <w:rsid w:val="003A6A75"/>
    <w:rsid w:val="003A7D09"/>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19CE"/>
    <w:rsid w:val="003C28F4"/>
    <w:rsid w:val="003C301F"/>
    <w:rsid w:val="003C3070"/>
    <w:rsid w:val="003C314B"/>
    <w:rsid w:val="003C327F"/>
    <w:rsid w:val="003C42F9"/>
    <w:rsid w:val="003C4A75"/>
    <w:rsid w:val="003C4F71"/>
    <w:rsid w:val="003C5339"/>
    <w:rsid w:val="003C7B58"/>
    <w:rsid w:val="003D015C"/>
    <w:rsid w:val="003D08FC"/>
    <w:rsid w:val="003D1166"/>
    <w:rsid w:val="003D1980"/>
    <w:rsid w:val="003D1B92"/>
    <w:rsid w:val="003D1C8F"/>
    <w:rsid w:val="003D20FB"/>
    <w:rsid w:val="003D297D"/>
    <w:rsid w:val="003D2E3C"/>
    <w:rsid w:val="003D31E6"/>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88D"/>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58F8"/>
    <w:rsid w:val="00416F24"/>
    <w:rsid w:val="004173AB"/>
    <w:rsid w:val="004173DE"/>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262"/>
    <w:rsid w:val="004355AD"/>
    <w:rsid w:val="0043587F"/>
    <w:rsid w:val="004359AC"/>
    <w:rsid w:val="0043612E"/>
    <w:rsid w:val="004363D6"/>
    <w:rsid w:val="00436561"/>
    <w:rsid w:val="00436572"/>
    <w:rsid w:val="004365AB"/>
    <w:rsid w:val="004369DD"/>
    <w:rsid w:val="0043785F"/>
    <w:rsid w:val="004405CB"/>
    <w:rsid w:val="00441324"/>
    <w:rsid w:val="0044313B"/>
    <w:rsid w:val="00443356"/>
    <w:rsid w:val="00443AED"/>
    <w:rsid w:val="00443B32"/>
    <w:rsid w:val="0044406B"/>
    <w:rsid w:val="0044450B"/>
    <w:rsid w:val="00445846"/>
    <w:rsid w:val="004474E5"/>
    <w:rsid w:val="00450146"/>
    <w:rsid w:val="00450542"/>
    <w:rsid w:val="00450EA8"/>
    <w:rsid w:val="00451147"/>
    <w:rsid w:val="00452041"/>
    <w:rsid w:val="00452209"/>
    <w:rsid w:val="00452316"/>
    <w:rsid w:val="00452613"/>
    <w:rsid w:val="0045275E"/>
    <w:rsid w:val="004537F5"/>
    <w:rsid w:val="00453ACB"/>
    <w:rsid w:val="00453C0B"/>
    <w:rsid w:val="004542D3"/>
    <w:rsid w:val="004544FD"/>
    <w:rsid w:val="00454865"/>
    <w:rsid w:val="00454A22"/>
    <w:rsid w:val="00454C24"/>
    <w:rsid w:val="00455D96"/>
    <w:rsid w:val="0045645A"/>
    <w:rsid w:val="00456C32"/>
    <w:rsid w:val="0045732D"/>
    <w:rsid w:val="00460997"/>
    <w:rsid w:val="00461EA3"/>
    <w:rsid w:val="00461FD2"/>
    <w:rsid w:val="00462594"/>
    <w:rsid w:val="00462803"/>
    <w:rsid w:val="00464554"/>
    <w:rsid w:val="00464D57"/>
    <w:rsid w:val="00464FAA"/>
    <w:rsid w:val="00464FE3"/>
    <w:rsid w:val="00465EF8"/>
    <w:rsid w:val="00465F0A"/>
    <w:rsid w:val="00467AB5"/>
    <w:rsid w:val="00470C44"/>
    <w:rsid w:val="00472E74"/>
    <w:rsid w:val="004730D0"/>
    <w:rsid w:val="00473370"/>
    <w:rsid w:val="00473E46"/>
    <w:rsid w:val="00474979"/>
    <w:rsid w:val="00474A99"/>
    <w:rsid w:val="00474CF1"/>
    <w:rsid w:val="00475023"/>
    <w:rsid w:val="004776C5"/>
    <w:rsid w:val="004804AF"/>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6C7"/>
    <w:rsid w:val="00493C92"/>
    <w:rsid w:val="00494C2B"/>
    <w:rsid w:val="00494E3E"/>
    <w:rsid w:val="004955B4"/>
    <w:rsid w:val="00495C15"/>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5B08"/>
    <w:rsid w:val="004A6999"/>
    <w:rsid w:val="004A6D88"/>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2E9A"/>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381"/>
    <w:rsid w:val="004E2D82"/>
    <w:rsid w:val="004E33DC"/>
    <w:rsid w:val="004E3645"/>
    <w:rsid w:val="004E3A6E"/>
    <w:rsid w:val="004E3E77"/>
    <w:rsid w:val="004E3EB9"/>
    <w:rsid w:val="004E551B"/>
    <w:rsid w:val="004E57C2"/>
    <w:rsid w:val="004E5B0C"/>
    <w:rsid w:val="004E63DF"/>
    <w:rsid w:val="004E6A7C"/>
    <w:rsid w:val="004E724C"/>
    <w:rsid w:val="004E7AE4"/>
    <w:rsid w:val="004E7DA8"/>
    <w:rsid w:val="004F0424"/>
    <w:rsid w:val="004F1A80"/>
    <w:rsid w:val="004F1C1A"/>
    <w:rsid w:val="004F1DF0"/>
    <w:rsid w:val="004F1EA5"/>
    <w:rsid w:val="004F1FA7"/>
    <w:rsid w:val="004F2C45"/>
    <w:rsid w:val="004F2CB5"/>
    <w:rsid w:val="004F30F9"/>
    <w:rsid w:val="004F3CFB"/>
    <w:rsid w:val="004F407A"/>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775"/>
    <w:rsid w:val="00503849"/>
    <w:rsid w:val="00503E22"/>
    <w:rsid w:val="00504151"/>
    <w:rsid w:val="0050438F"/>
    <w:rsid w:val="00504B4E"/>
    <w:rsid w:val="00504E35"/>
    <w:rsid w:val="00506C22"/>
    <w:rsid w:val="00507430"/>
    <w:rsid w:val="0050789B"/>
    <w:rsid w:val="00507CC5"/>
    <w:rsid w:val="00507DDA"/>
    <w:rsid w:val="00510665"/>
    <w:rsid w:val="00512685"/>
    <w:rsid w:val="00513BC6"/>
    <w:rsid w:val="005157CC"/>
    <w:rsid w:val="005157F9"/>
    <w:rsid w:val="00516077"/>
    <w:rsid w:val="0051661A"/>
    <w:rsid w:val="00517278"/>
    <w:rsid w:val="00517900"/>
    <w:rsid w:val="00520736"/>
    <w:rsid w:val="00522951"/>
    <w:rsid w:val="0052387E"/>
    <w:rsid w:val="00524D60"/>
    <w:rsid w:val="005253B3"/>
    <w:rsid w:val="00526FCF"/>
    <w:rsid w:val="005272A2"/>
    <w:rsid w:val="00527B3D"/>
    <w:rsid w:val="00530EBC"/>
    <w:rsid w:val="00530F38"/>
    <w:rsid w:val="005312C7"/>
    <w:rsid w:val="00531B64"/>
    <w:rsid w:val="005320E2"/>
    <w:rsid w:val="005322EC"/>
    <w:rsid w:val="0053270E"/>
    <w:rsid w:val="00532FD0"/>
    <w:rsid w:val="00533587"/>
    <w:rsid w:val="00534351"/>
    <w:rsid w:val="00534C32"/>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1AF"/>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F7"/>
    <w:rsid w:val="00563630"/>
    <w:rsid w:val="00563C53"/>
    <w:rsid w:val="00563EE7"/>
    <w:rsid w:val="00564459"/>
    <w:rsid w:val="00565E39"/>
    <w:rsid w:val="00566BE3"/>
    <w:rsid w:val="00566CF4"/>
    <w:rsid w:val="00566E85"/>
    <w:rsid w:val="00566F84"/>
    <w:rsid w:val="0056703E"/>
    <w:rsid w:val="005672C5"/>
    <w:rsid w:val="0056749A"/>
    <w:rsid w:val="005719C0"/>
    <w:rsid w:val="00571E20"/>
    <w:rsid w:val="005724F3"/>
    <w:rsid w:val="00572984"/>
    <w:rsid w:val="00572B2A"/>
    <w:rsid w:val="00572BCE"/>
    <w:rsid w:val="00572C9F"/>
    <w:rsid w:val="005736B8"/>
    <w:rsid w:val="00573DA3"/>
    <w:rsid w:val="00574306"/>
    <w:rsid w:val="005748C5"/>
    <w:rsid w:val="00574B0F"/>
    <w:rsid w:val="005755D5"/>
    <w:rsid w:val="00575652"/>
    <w:rsid w:val="00576AB1"/>
    <w:rsid w:val="00580674"/>
    <w:rsid w:val="00581B22"/>
    <w:rsid w:val="00581C17"/>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E86"/>
    <w:rsid w:val="00595AC8"/>
    <w:rsid w:val="00595B7C"/>
    <w:rsid w:val="00595EA4"/>
    <w:rsid w:val="00596038"/>
    <w:rsid w:val="00596526"/>
    <w:rsid w:val="00596D90"/>
    <w:rsid w:val="005A044F"/>
    <w:rsid w:val="005A049E"/>
    <w:rsid w:val="005A0C92"/>
    <w:rsid w:val="005A1AB5"/>
    <w:rsid w:val="005A205A"/>
    <w:rsid w:val="005A2099"/>
    <w:rsid w:val="005A33F3"/>
    <w:rsid w:val="005A38CE"/>
    <w:rsid w:val="005A3A4B"/>
    <w:rsid w:val="005A3E9E"/>
    <w:rsid w:val="005A4B91"/>
    <w:rsid w:val="005A52B7"/>
    <w:rsid w:val="005A542D"/>
    <w:rsid w:val="005A5671"/>
    <w:rsid w:val="005A58E7"/>
    <w:rsid w:val="005A5A76"/>
    <w:rsid w:val="005A5AC7"/>
    <w:rsid w:val="005A5B5E"/>
    <w:rsid w:val="005A5D06"/>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0ED2"/>
    <w:rsid w:val="005D114D"/>
    <w:rsid w:val="005D1597"/>
    <w:rsid w:val="005D17A3"/>
    <w:rsid w:val="005D271D"/>
    <w:rsid w:val="005D5C74"/>
    <w:rsid w:val="005E09B0"/>
    <w:rsid w:val="005E0B50"/>
    <w:rsid w:val="005E0F70"/>
    <w:rsid w:val="005E16FF"/>
    <w:rsid w:val="005E1D1F"/>
    <w:rsid w:val="005E2517"/>
    <w:rsid w:val="005E299F"/>
    <w:rsid w:val="005E36D0"/>
    <w:rsid w:val="005E3CAA"/>
    <w:rsid w:val="005E4192"/>
    <w:rsid w:val="005E42A2"/>
    <w:rsid w:val="005E4E3F"/>
    <w:rsid w:val="005E5ACE"/>
    <w:rsid w:val="005E5C36"/>
    <w:rsid w:val="005E5CB1"/>
    <w:rsid w:val="005E5EBB"/>
    <w:rsid w:val="005E5EEB"/>
    <w:rsid w:val="005E6947"/>
    <w:rsid w:val="005E6B4F"/>
    <w:rsid w:val="005E6FB9"/>
    <w:rsid w:val="005F07DA"/>
    <w:rsid w:val="005F194B"/>
    <w:rsid w:val="005F1A0E"/>
    <w:rsid w:val="005F1E27"/>
    <w:rsid w:val="005F293D"/>
    <w:rsid w:val="005F2942"/>
    <w:rsid w:val="005F2E08"/>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24D6"/>
    <w:rsid w:val="0060264F"/>
    <w:rsid w:val="00602AC2"/>
    <w:rsid w:val="00602AC6"/>
    <w:rsid w:val="0060440F"/>
    <w:rsid w:val="00605760"/>
    <w:rsid w:val="006067F8"/>
    <w:rsid w:val="00607C44"/>
    <w:rsid w:val="00610E8C"/>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6"/>
    <w:rsid w:val="00622823"/>
    <w:rsid w:val="006230FA"/>
    <w:rsid w:val="00624129"/>
    <w:rsid w:val="0062432F"/>
    <w:rsid w:val="006244E4"/>
    <w:rsid w:val="006251ED"/>
    <w:rsid w:val="006253C7"/>
    <w:rsid w:val="00625BC9"/>
    <w:rsid w:val="00626532"/>
    <w:rsid w:val="006268E0"/>
    <w:rsid w:val="00626C7B"/>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EC5"/>
    <w:rsid w:val="00636A27"/>
    <w:rsid w:val="00637669"/>
    <w:rsid w:val="006377C8"/>
    <w:rsid w:val="00640330"/>
    <w:rsid w:val="0064111F"/>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A5C"/>
    <w:rsid w:val="00654E59"/>
    <w:rsid w:val="006551BD"/>
    <w:rsid w:val="00655621"/>
    <w:rsid w:val="006560AB"/>
    <w:rsid w:val="006562CB"/>
    <w:rsid w:val="0065769A"/>
    <w:rsid w:val="0066020C"/>
    <w:rsid w:val="00660994"/>
    <w:rsid w:val="00661925"/>
    <w:rsid w:val="00661E6D"/>
    <w:rsid w:val="00661E8E"/>
    <w:rsid w:val="006622C1"/>
    <w:rsid w:val="00662323"/>
    <w:rsid w:val="00663044"/>
    <w:rsid w:val="0066391C"/>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050"/>
    <w:rsid w:val="00676EF4"/>
    <w:rsid w:val="00677747"/>
    <w:rsid w:val="00677F21"/>
    <w:rsid w:val="00677F24"/>
    <w:rsid w:val="00680C36"/>
    <w:rsid w:val="00680EF7"/>
    <w:rsid w:val="006817C5"/>
    <w:rsid w:val="0068247A"/>
    <w:rsid w:val="0068267F"/>
    <w:rsid w:val="006829A8"/>
    <w:rsid w:val="00682B83"/>
    <w:rsid w:val="00682BF9"/>
    <w:rsid w:val="00683424"/>
    <w:rsid w:val="00684586"/>
    <w:rsid w:val="00684CE2"/>
    <w:rsid w:val="00685534"/>
    <w:rsid w:val="0068793F"/>
    <w:rsid w:val="00687E00"/>
    <w:rsid w:val="00690545"/>
    <w:rsid w:val="00690577"/>
    <w:rsid w:val="0069267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46A5"/>
    <w:rsid w:val="006C51E8"/>
    <w:rsid w:val="006C605A"/>
    <w:rsid w:val="006C65B9"/>
    <w:rsid w:val="006C6A3B"/>
    <w:rsid w:val="006C6CFF"/>
    <w:rsid w:val="006C6FBF"/>
    <w:rsid w:val="006C76B3"/>
    <w:rsid w:val="006D02B9"/>
    <w:rsid w:val="006D0B00"/>
    <w:rsid w:val="006D0D24"/>
    <w:rsid w:val="006D1177"/>
    <w:rsid w:val="006D11C0"/>
    <w:rsid w:val="006D1E4E"/>
    <w:rsid w:val="006D213B"/>
    <w:rsid w:val="006D252B"/>
    <w:rsid w:val="006D2CA5"/>
    <w:rsid w:val="006D461B"/>
    <w:rsid w:val="006D558B"/>
    <w:rsid w:val="006D5E76"/>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246A"/>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7EB6"/>
    <w:rsid w:val="00750AC5"/>
    <w:rsid w:val="007513F2"/>
    <w:rsid w:val="00751ACF"/>
    <w:rsid w:val="007529C9"/>
    <w:rsid w:val="00755136"/>
    <w:rsid w:val="00755B12"/>
    <w:rsid w:val="007563E6"/>
    <w:rsid w:val="007571E4"/>
    <w:rsid w:val="00757B0D"/>
    <w:rsid w:val="0076057F"/>
    <w:rsid w:val="007605B5"/>
    <w:rsid w:val="00760D12"/>
    <w:rsid w:val="007610F5"/>
    <w:rsid w:val="007617E4"/>
    <w:rsid w:val="0076182F"/>
    <w:rsid w:val="00761DF3"/>
    <w:rsid w:val="00761FA3"/>
    <w:rsid w:val="00762C5F"/>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4E0B"/>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E04"/>
    <w:rsid w:val="00793F05"/>
    <w:rsid w:val="00793F73"/>
    <w:rsid w:val="0079441E"/>
    <w:rsid w:val="00794823"/>
    <w:rsid w:val="00794974"/>
    <w:rsid w:val="00794DA5"/>
    <w:rsid w:val="0079580F"/>
    <w:rsid w:val="007964BC"/>
    <w:rsid w:val="0079771F"/>
    <w:rsid w:val="007A09A3"/>
    <w:rsid w:val="007A0AA3"/>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0D8A"/>
    <w:rsid w:val="007C1974"/>
    <w:rsid w:val="007C1F01"/>
    <w:rsid w:val="007C23C5"/>
    <w:rsid w:val="007C26F4"/>
    <w:rsid w:val="007C2D6F"/>
    <w:rsid w:val="007C2ED4"/>
    <w:rsid w:val="007C3134"/>
    <w:rsid w:val="007C3300"/>
    <w:rsid w:val="007C3396"/>
    <w:rsid w:val="007C3494"/>
    <w:rsid w:val="007C36E8"/>
    <w:rsid w:val="007C3F4C"/>
    <w:rsid w:val="007C5419"/>
    <w:rsid w:val="007C57C7"/>
    <w:rsid w:val="007C5B79"/>
    <w:rsid w:val="007C5EB6"/>
    <w:rsid w:val="007C5FB8"/>
    <w:rsid w:val="007C63E7"/>
    <w:rsid w:val="007C6A40"/>
    <w:rsid w:val="007C7043"/>
    <w:rsid w:val="007D0F7C"/>
    <w:rsid w:val="007D2282"/>
    <w:rsid w:val="007D27EC"/>
    <w:rsid w:val="007D30A3"/>
    <w:rsid w:val="007D3451"/>
    <w:rsid w:val="007D377F"/>
    <w:rsid w:val="007D3DFC"/>
    <w:rsid w:val="007D42DC"/>
    <w:rsid w:val="007D42EF"/>
    <w:rsid w:val="007D44F6"/>
    <w:rsid w:val="007D53D4"/>
    <w:rsid w:val="007D5A6F"/>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43A4"/>
    <w:rsid w:val="00804A63"/>
    <w:rsid w:val="00805700"/>
    <w:rsid w:val="008061F3"/>
    <w:rsid w:val="0080671D"/>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75B3"/>
    <w:rsid w:val="00827801"/>
    <w:rsid w:val="00827A15"/>
    <w:rsid w:val="00827B4F"/>
    <w:rsid w:val="0083013B"/>
    <w:rsid w:val="00830CEB"/>
    <w:rsid w:val="00831263"/>
    <w:rsid w:val="008314A1"/>
    <w:rsid w:val="00831674"/>
    <w:rsid w:val="00832197"/>
    <w:rsid w:val="00833B5D"/>
    <w:rsid w:val="00833EAF"/>
    <w:rsid w:val="00834005"/>
    <w:rsid w:val="008340C9"/>
    <w:rsid w:val="008351F7"/>
    <w:rsid w:val="0083649B"/>
    <w:rsid w:val="00836560"/>
    <w:rsid w:val="008365FF"/>
    <w:rsid w:val="008366F8"/>
    <w:rsid w:val="008369A1"/>
    <w:rsid w:val="00837B78"/>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604A0"/>
    <w:rsid w:val="00860A68"/>
    <w:rsid w:val="00860B0F"/>
    <w:rsid w:val="00860C24"/>
    <w:rsid w:val="00860ED6"/>
    <w:rsid w:val="0086236F"/>
    <w:rsid w:val="00862AD1"/>
    <w:rsid w:val="00862F75"/>
    <w:rsid w:val="00863949"/>
    <w:rsid w:val="0086693C"/>
    <w:rsid w:val="00866D5F"/>
    <w:rsid w:val="00866E26"/>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66B"/>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F24"/>
    <w:rsid w:val="00885F31"/>
    <w:rsid w:val="00886157"/>
    <w:rsid w:val="008872C9"/>
    <w:rsid w:val="008906F0"/>
    <w:rsid w:val="00891026"/>
    <w:rsid w:val="008911D5"/>
    <w:rsid w:val="008912D7"/>
    <w:rsid w:val="008918FF"/>
    <w:rsid w:val="00891BE3"/>
    <w:rsid w:val="00892539"/>
    <w:rsid w:val="0089273A"/>
    <w:rsid w:val="008958CB"/>
    <w:rsid w:val="00895BF0"/>
    <w:rsid w:val="00896452"/>
    <w:rsid w:val="0089663F"/>
    <w:rsid w:val="00896F72"/>
    <w:rsid w:val="00897D88"/>
    <w:rsid w:val="008A05B6"/>
    <w:rsid w:val="008A1431"/>
    <w:rsid w:val="008A1C4F"/>
    <w:rsid w:val="008A3A03"/>
    <w:rsid w:val="008A4B78"/>
    <w:rsid w:val="008A4E32"/>
    <w:rsid w:val="008A562C"/>
    <w:rsid w:val="008A6B8C"/>
    <w:rsid w:val="008A7059"/>
    <w:rsid w:val="008A71CE"/>
    <w:rsid w:val="008A7DCC"/>
    <w:rsid w:val="008B1241"/>
    <w:rsid w:val="008B220B"/>
    <w:rsid w:val="008B2341"/>
    <w:rsid w:val="008B2F2D"/>
    <w:rsid w:val="008B304A"/>
    <w:rsid w:val="008B4227"/>
    <w:rsid w:val="008B4D9D"/>
    <w:rsid w:val="008B5701"/>
    <w:rsid w:val="008B58D8"/>
    <w:rsid w:val="008B62BE"/>
    <w:rsid w:val="008B6C52"/>
    <w:rsid w:val="008B6E11"/>
    <w:rsid w:val="008B7309"/>
    <w:rsid w:val="008B747D"/>
    <w:rsid w:val="008B768D"/>
    <w:rsid w:val="008B7E6A"/>
    <w:rsid w:val="008C03BD"/>
    <w:rsid w:val="008C055D"/>
    <w:rsid w:val="008C1A01"/>
    <w:rsid w:val="008C1E46"/>
    <w:rsid w:val="008C3289"/>
    <w:rsid w:val="008C35FE"/>
    <w:rsid w:val="008C43D0"/>
    <w:rsid w:val="008C648F"/>
    <w:rsid w:val="008C6706"/>
    <w:rsid w:val="008C7991"/>
    <w:rsid w:val="008C7B0F"/>
    <w:rsid w:val="008C7BB3"/>
    <w:rsid w:val="008D00D2"/>
    <w:rsid w:val="008D14F8"/>
    <w:rsid w:val="008D24A5"/>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F0E8F"/>
    <w:rsid w:val="008F0F7D"/>
    <w:rsid w:val="008F12DB"/>
    <w:rsid w:val="008F34F1"/>
    <w:rsid w:val="008F4945"/>
    <w:rsid w:val="008F4EBD"/>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6CB1"/>
    <w:rsid w:val="00906FCD"/>
    <w:rsid w:val="00907819"/>
    <w:rsid w:val="00910AD8"/>
    <w:rsid w:val="00911B7A"/>
    <w:rsid w:val="00912498"/>
    <w:rsid w:val="009135C6"/>
    <w:rsid w:val="00913D29"/>
    <w:rsid w:val="0091455D"/>
    <w:rsid w:val="0091464F"/>
    <w:rsid w:val="00916596"/>
    <w:rsid w:val="009202B7"/>
    <w:rsid w:val="00921404"/>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2C44"/>
    <w:rsid w:val="00933173"/>
    <w:rsid w:val="009334A5"/>
    <w:rsid w:val="009341A5"/>
    <w:rsid w:val="00934277"/>
    <w:rsid w:val="00934345"/>
    <w:rsid w:val="00934AA0"/>
    <w:rsid w:val="00935689"/>
    <w:rsid w:val="00935CAC"/>
    <w:rsid w:val="00936400"/>
    <w:rsid w:val="00936406"/>
    <w:rsid w:val="0093734F"/>
    <w:rsid w:val="00937716"/>
    <w:rsid w:val="00941C46"/>
    <w:rsid w:val="00942B8B"/>
    <w:rsid w:val="0094465B"/>
    <w:rsid w:val="0094495A"/>
    <w:rsid w:val="0094593B"/>
    <w:rsid w:val="0094600B"/>
    <w:rsid w:val="00946428"/>
    <w:rsid w:val="0094749B"/>
    <w:rsid w:val="00947679"/>
    <w:rsid w:val="00947FCF"/>
    <w:rsid w:val="009500A2"/>
    <w:rsid w:val="00951ECB"/>
    <w:rsid w:val="00951F6D"/>
    <w:rsid w:val="0095209F"/>
    <w:rsid w:val="009523DF"/>
    <w:rsid w:val="009528CA"/>
    <w:rsid w:val="009529AA"/>
    <w:rsid w:val="009531D8"/>
    <w:rsid w:val="00953434"/>
    <w:rsid w:val="0095346F"/>
    <w:rsid w:val="00953657"/>
    <w:rsid w:val="0095394D"/>
    <w:rsid w:val="00953F76"/>
    <w:rsid w:val="0095494C"/>
    <w:rsid w:val="00956689"/>
    <w:rsid w:val="00956815"/>
    <w:rsid w:val="00957263"/>
    <w:rsid w:val="00957810"/>
    <w:rsid w:val="00960AC5"/>
    <w:rsid w:val="00960D7B"/>
    <w:rsid w:val="00963113"/>
    <w:rsid w:val="00963A2A"/>
    <w:rsid w:val="00964411"/>
    <w:rsid w:val="00965568"/>
    <w:rsid w:val="00965930"/>
    <w:rsid w:val="00966B1C"/>
    <w:rsid w:val="009670FA"/>
    <w:rsid w:val="009671DE"/>
    <w:rsid w:val="009673CD"/>
    <w:rsid w:val="009676F3"/>
    <w:rsid w:val="00967AB0"/>
    <w:rsid w:val="00967C5E"/>
    <w:rsid w:val="00967CAE"/>
    <w:rsid w:val="009717AA"/>
    <w:rsid w:val="00972317"/>
    <w:rsid w:val="00972A19"/>
    <w:rsid w:val="00972C27"/>
    <w:rsid w:val="0097374F"/>
    <w:rsid w:val="00973D0A"/>
    <w:rsid w:val="00974E72"/>
    <w:rsid w:val="009757EF"/>
    <w:rsid w:val="00975C71"/>
    <w:rsid w:val="00975EFD"/>
    <w:rsid w:val="00975F5F"/>
    <w:rsid w:val="00977D9D"/>
    <w:rsid w:val="00980834"/>
    <w:rsid w:val="00981BEC"/>
    <w:rsid w:val="00981DFA"/>
    <w:rsid w:val="00982D59"/>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AB2"/>
    <w:rsid w:val="00995E19"/>
    <w:rsid w:val="0099617F"/>
    <w:rsid w:val="0099699A"/>
    <w:rsid w:val="0099703C"/>
    <w:rsid w:val="009974CA"/>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B50"/>
    <w:rsid w:val="009A6653"/>
    <w:rsid w:val="009A77DC"/>
    <w:rsid w:val="009B06F9"/>
    <w:rsid w:val="009B129C"/>
    <w:rsid w:val="009B12B2"/>
    <w:rsid w:val="009B1438"/>
    <w:rsid w:val="009B14C2"/>
    <w:rsid w:val="009B21FC"/>
    <w:rsid w:val="009B327B"/>
    <w:rsid w:val="009B39C1"/>
    <w:rsid w:val="009B3D58"/>
    <w:rsid w:val="009B56A5"/>
    <w:rsid w:val="009B6177"/>
    <w:rsid w:val="009B70D3"/>
    <w:rsid w:val="009B7AAF"/>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2989"/>
    <w:rsid w:val="009D3FC1"/>
    <w:rsid w:val="009D40FB"/>
    <w:rsid w:val="009D4591"/>
    <w:rsid w:val="009D6914"/>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2C33"/>
    <w:rsid w:val="009F401A"/>
    <w:rsid w:val="009F44C9"/>
    <w:rsid w:val="009F532C"/>
    <w:rsid w:val="009F66FC"/>
    <w:rsid w:val="009F6CA4"/>
    <w:rsid w:val="009F701A"/>
    <w:rsid w:val="00A0046D"/>
    <w:rsid w:val="00A0069D"/>
    <w:rsid w:val="00A00D6C"/>
    <w:rsid w:val="00A01A07"/>
    <w:rsid w:val="00A020BD"/>
    <w:rsid w:val="00A0414F"/>
    <w:rsid w:val="00A04926"/>
    <w:rsid w:val="00A04B43"/>
    <w:rsid w:val="00A05087"/>
    <w:rsid w:val="00A05578"/>
    <w:rsid w:val="00A06D7E"/>
    <w:rsid w:val="00A06FE9"/>
    <w:rsid w:val="00A07592"/>
    <w:rsid w:val="00A10A86"/>
    <w:rsid w:val="00A1265D"/>
    <w:rsid w:val="00A126F1"/>
    <w:rsid w:val="00A128E7"/>
    <w:rsid w:val="00A12D95"/>
    <w:rsid w:val="00A1462B"/>
    <w:rsid w:val="00A14759"/>
    <w:rsid w:val="00A15026"/>
    <w:rsid w:val="00A150EC"/>
    <w:rsid w:val="00A15749"/>
    <w:rsid w:val="00A15CAB"/>
    <w:rsid w:val="00A211EA"/>
    <w:rsid w:val="00A2140E"/>
    <w:rsid w:val="00A2184D"/>
    <w:rsid w:val="00A231E5"/>
    <w:rsid w:val="00A234B5"/>
    <w:rsid w:val="00A24AAC"/>
    <w:rsid w:val="00A25024"/>
    <w:rsid w:val="00A251D5"/>
    <w:rsid w:val="00A261CE"/>
    <w:rsid w:val="00A2648E"/>
    <w:rsid w:val="00A265E1"/>
    <w:rsid w:val="00A26718"/>
    <w:rsid w:val="00A26892"/>
    <w:rsid w:val="00A26D3C"/>
    <w:rsid w:val="00A276B7"/>
    <w:rsid w:val="00A27763"/>
    <w:rsid w:val="00A27D1C"/>
    <w:rsid w:val="00A302BB"/>
    <w:rsid w:val="00A31440"/>
    <w:rsid w:val="00A3193D"/>
    <w:rsid w:val="00A31FF1"/>
    <w:rsid w:val="00A328B6"/>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23FA"/>
    <w:rsid w:val="00A42646"/>
    <w:rsid w:val="00A4295A"/>
    <w:rsid w:val="00A42D9C"/>
    <w:rsid w:val="00A42F67"/>
    <w:rsid w:val="00A432F8"/>
    <w:rsid w:val="00A433A5"/>
    <w:rsid w:val="00A4395F"/>
    <w:rsid w:val="00A43ADA"/>
    <w:rsid w:val="00A43B8E"/>
    <w:rsid w:val="00A43D9C"/>
    <w:rsid w:val="00A4405D"/>
    <w:rsid w:val="00A4421B"/>
    <w:rsid w:val="00A44762"/>
    <w:rsid w:val="00A44808"/>
    <w:rsid w:val="00A452ED"/>
    <w:rsid w:val="00A467D4"/>
    <w:rsid w:val="00A46D00"/>
    <w:rsid w:val="00A4796C"/>
    <w:rsid w:val="00A47F87"/>
    <w:rsid w:val="00A501C9"/>
    <w:rsid w:val="00A53579"/>
    <w:rsid w:val="00A54103"/>
    <w:rsid w:val="00A54592"/>
    <w:rsid w:val="00A55412"/>
    <w:rsid w:val="00A55CC2"/>
    <w:rsid w:val="00A56027"/>
    <w:rsid w:val="00A57E37"/>
    <w:rsid w:val="00A6003E"/>
    <w:rsid w:val="00A6045E"/>
    <w:rsid w:val="00A62EB4"/>
    <w:rsid w:val="00A6304A"/>
    <w:rsid w:val="00A63C59"/>
    <w:rsid w:val="00A63EA9"/>
    <w:rsid w:val="00A6443A"/>
    <w:rsid w:val="00A64943"/>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6BC2"/>
    <w:rsid w:val="00A76CC0"/>
    <w:rsid w:val="00A80453"/>
    <w:rsid w:val="00A806E1"/>
    <w:rsid w:val="00A80A03"/>
    <w:rsid w:val="00A811E6"/>
    <w:rsid w:val="00A81897"/>
    <w:rsid w:val="00A821EE"/>
    <w:rsid w:val="00A82F56"/>
    <w:rsid w:val="00A833D8"/>
    <w:rsid w:val="00A83F4D"/>
    <w:rsid w:val="00A84BED"/>
    <w:rsid w:val="00A85131"/>
    <w:rsid w:val="00A86313"/>
    <w:rsid w:val="00A8651E"/>
    <w:rsid w:val="00A86AF1"/>
    <w:rsid w:val="00A870D8"/>
    <w:rsid w:val="00A871D7"/>
    <w:rsid w:val="00A90432"/>
    <w:rsid w:val="00A904CB"/>
    <w:rsid w:val="00A90BA5"/>
    <w:rsid w:val="00A9402B"/>
    <w:rsid w:val="00A94E55"/>
    <w:rsid w:val="00A94EC8"/>
    <w:rsid w:val="00A951CD"/>
    <w:rsid w:val="00A95201"/>
    <w:rsid w:val="00A95461"/>
    <w:rsid w:val="00A954D3"/>
    <w:rsid w:val="00A95A72"/>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5E5D"/>
    <w:rsid w:val="00AA68B1"/>
    <w:rsid w:val="00AA7D37"/>
    <w:rsid w:val="00AB26A6"/>
    <w:rsid w:val="00AB2F38"/>
    <w:rsid w:val="00AB3A84"/>
    <w:rsid w:val="00AB4ED6"/>
    <w:rsid w:val="00AB542E"/>
    <w:rsid w:val="00AB705B"/>
    <w:rsid w:val="00AB77A7"/>
    <w:rsid w:val="00AB7AF7"/>
    <w:rsid w:val="00AC0B92"/>
    <w:rsid w:val="00AC1E62"/>
    <w:rsid w:val="00AC22CA"/>
    <w:rsid w:val="00AC2423"/>
    <w:rsid w:val="00AC2834"/>
    <w:rsid w:val="00AC2DFE"/>
    <w:rsid w:val="00AC3EFF"/>
    <w:rsid w:val="00AC4C7C"/>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9D6"/>
    <w:rsid w:val="00AD4FC0"/>
    <w:rsid w:val="00AD571D"/>
    <w:rsid w:val="00AD572F"/>
    <w:rsid w:val="00AD5882"/>
    <w:rsid w:val="00AD5EFA"/>
    <w:rsid w:val="00AD6110"/>
    <w:rsid w:val="00AD611A"/>
    <w:rsid w:val="00AD7AFD"/>
    <w:rsid w:val="00AD7DF4"/>
    <w:rsid w:val="00AE047E"/>
    <w:rsid w:val="00AE0C5B"/>
    <w:rsid w:val="00AE0D01"/>
    <w:rsid w:val="00AE1980"/>
    <w:rsid w:val="00AE1DBC"/>
    <w:rsid w:val="00AE23BD"/>
    <w:rsid w:val="00AE48E3"/>
    <w:rsid w:val="00AE4903"/>
    <w:rsid w:val="00AE4B12"/>
    <w:rsid w:val="00AE504D"/>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6F8"/>
    <w:rsid w:val="00B00BE0"/>
    <w:rsid w:val="00B010A5"/>
    <w:rsid w:val="00B023A9"/>
    <w:rsid w:val="00B03209"/>
    <w:rsid w:val="00B0404F"/>
    <w:rsid w:val="00B04C1E"/>
    <w:rsid w:val="00B04EEF"/>
    <w:rsid w:val="00B06C94"/>
    <w:rsid w:val="00B07B2B"/>
    <w:rsid w:val="00B07D28"/>
    <w:rsid w:val="00B10496"/>
    <w:rsid w:val="00B10ECF"/>
    <w:rsid w:val="00B113B5"/>
    <w:rsid w:val="00B11B6C"/>
    <w:rsid w:val="00B12393"/>
    <w:rsid w:val="00B12747"/>
    <w:rsid w:val="00B1290C"/>
    <w:rsid w:val="00B12E99"/>
    <w:rsid w:val="00B132A5"/>
    <w:rsid w:val="00B13624"/>
    <w:rsid w:val="00B13D8F"/>
    <w:rsid w:val="00B15D4D"/>
    <w:rsid w:val="00B16978"/>
    <w:rsid w:val="00B16E0F"/>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DC1"/>
    <w:rsid w:val="00B25226"/>
    <w:rsid w:val="00B2569C"/>
    <w:rsid w:val="00B26770"/>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72E7"/>
    <w:rsid w:val="00B37E64"/>
    <w:rsid w:val="00B40F2C"/>
    <w:rsid w:val="00B41A0C"/>
    <w:rsid w:val="00B42976"/>
    <w:rsid w:val="00B42E75"/>
    <w:rsid w:val="00B4515F"/>
    <w:rsid w:val="00B453E8"/>
    <w:rsid w:val="00B45ABF"/>
    <w:rsid w:val="00B45E03"/>
    <w:rsid w:val="00B45FDB"/>
    <w:rsid w:val="00B4684B"/>
    <w:rsid w:val="00B475DF"/>
    <w:rsid w:val="00B47E27"/>
    <w:rsid w:val="00B5087E"/>
    <w:rsid w:val="00B51391"/>
    <w:rsid w:val="00B5153D"/>
    <w:rsid w:val="00B51DAD"/>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9F7"/>
    <w:rsid w:val="00B61DD7"/>
    <w:rsid w:val="00B6235B"/>
    <w:rsid w:val="00B62A93"/>
    <w:rsid w:val="00B62B72"/>
    <w:rsid w:val="00B6538D"/>
    <w:rsid w:val="00B65605"/>
    <w:rsid w:val="00B661B6"/>
    <w:rsid w:val="00B66D92"/>
    <w:rsid w:val="00B677DE"/>
    <w:rsid w:val="00B7023A"/>
    <w:rsid w:val="00B70E53"/>
    <w:rsid w:val="00B7135C"/>
    <w:rsid w:val="00B7189E"/>
    <w:rsid w:val="00B737CC"/>
    <w:rsid w:val="00B73EA1"/>
    <w:rsid w:val="00B76DD1"/>
    <w:rsid w:val="00B76E3B"/>
    <w:rsid w:val="00B77916"/>
    <w:rsid w:val="00B8054A"/>
    <w:rsid w:val="00B80772"/>
    <w:rsid w:val="00B810AA"/>
    <w:rsid w:val="00B814F9"/>
    <w:rsid w:val="00B81C67"/>
    <w:rsid w:val="00B82983"/>
    <w:rsid w:val="00B82CF4"/>
    <w:rsid w:val="00B841BD"/>
    <w:rsid w:val="00B848C3"/>
    <w:rsid w:val="00B85D62"/>
    <w:rsid w:val="00B85E39"/>
    <w:rsid w:val="00B86886"/>
    <w:rsid w:val="00B86978"/>
    <w:rsid w:val="00B874DF"/>
    <w:rsid w:val="00B8796E"/>
    <w:rsid w:val="00B87CA7"/>
    <w:rsid w:val="00B9040F"/>
    <w:rsid w:val="00B9147B"/>
    <w:rsid w:val="00B9197D"/>
    <w:rsid w:val="00B927E9"/>
    <w:rsid w:val="00B92945"/>
    <w:rsid w:val="00B94228"/>
    <w:rsid w:val="00B9432A"/>
    <w:rsid w:val="00B9584D"/>
    <w:rsid w:val="00B95D2B"/>
    <w:rsid w:val="00B95DBF"/>
    <w:rsid w:val="00B96444"/>
    <w:rsid w:val="00B9747E"/>
    <w:rsid w:val="00B974C5"/>
    <w:rsid w:val="00B9772B"/>
    <w:rsid w:val="00BA0153"/>
    <w:rsid w:val="00BA01AE"/>
    <w:rsid w:val="00BA0B4E"/>
    <w:rsid w:val="00BA1513"/>
    <w:rsid w:val="00BA1828"/>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94D"/>
    <w:rsid w:val="00BB648A"/>
    <w:rsid w:val="00BB661F"/>
    <w:rsid w:val="00BB6CE7"/>
    <w:rsid w:val="00BB74BA"/>
    <w:rsid w:val="00BB7720"/>
    <w:rsid w:val="00BB7A4A"/>
    <w:rsid w:val="00BC008F"/>
    <w:rsid w:val="00BC3587"/>
    <w:rsid w:val="00BC370F"/>
    <w:rsid w:val="00BC41A0"/>
    <w:rsid w:val="00BC657B"/>
    <w:rsid w:val="00BC72F0"/>
    <w:rsid w:val="00BC787F"/>
    <w:rsid w:val="00BC7D42"/>
    <w:rsid w:val="00BD0B22"/>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BE8"/>
    <w:rsid w:val="00BF6C00"/>
    <w:rsid w:val="00BF6C11"/>
    <w:rsid w:val="00BF7354"/>
    <w:rsid w:val="00C007D5"/>
    <w:rsid w:val="00C00B43"/>
    <w:rsid w:val="00C00C73"/>
    <w:rsid w:val="00C014A8"/>
    <w:rsid w:val="00C014BE"/>
    <w:rsid w:val="00C024AC"/>
    <w:rsid w:val="00C02EBF"/>
    <w:rsid w:val="00C0336D"/>
    <w:rsid w:val="00C04459"/>
    <w:rsid w:val="00C066E3"/>
    <w:rsid w:val="00C074FA"/>
    <w:rsid w:val="00C07760"/>
    <w:rsid w:val="00C07952"/>
    <w:rsid w:val="00C07B9E"/>
    <w:rsid w:val="00C10324"/>
    <w:rsid w:val="00C1058D"/>
    <w:rsid w:val="00C108F0"/>
    <w:rsid w:val="00C10B5E"/>
    <w:rsid w:val="00C10CFD"/>
    <w:rsid w:val="00C10D42"/>
    <w:rsid w:val="00C11567"/>
    <w:rsid w:val="00C11727"/>
    <w:rsid w:val="00C11C97"/>
    <w:rsid w:val="00C12821"/>
    <w:rsid w:val="00C128E6"/>
    <w:rsid w:val="00C12995"/>
    <w:rsid w:val="00C12EEC"/>
    <w:rsid w:val="00C13131"/>
    <w:rsid w:val="00C13938"/>
    <w:rsid w:val="00C13A0A"/>
    <w:rsid w:val="00C13CD0"/>
    <w:rsid w:val="00C14B71"/>
    <w:rsid w:val="00C154BB"/>
    <w:rsid w:val="00C15762"/>
    <w:rsid w:val="00C15B81"/>
    <w:rsid w:val="00C16570"/>
    <w:rsid w:val="00C16623"/>
    <w:rsid w:val="00C166F9"/>
    <w:rsid w:val="00C16C61"/>
    <w:rsid w:val="00C1722D"/>
    <w:rsid w:val="00C17CD5"/>
    <w:rsid w:val="00C20205"/>
    <w:rsid w:val="00C20568"/>
    <w:rsid w:val="00C209BF"/>
    <w:rsid w:val="00C216FB"/>
    <w:rsid w:val="00C21D40"/>
    <w:rsid w:val="00C223C2"/>
    <w:rsid w:val="00C22B29"/>
    <w:rsid w:val="00C22BF2"/>
    <w:rsid w:val="00C232A2"/>
    <w:rsid w:val="00C23EBF"/>
    <w:rsid w:val="00C24A64"/>
    <w:rsid w:val="00C24F49"/>
    <w:rsid w:val="00C25406"/>
    <w:rsid w:val="00C25619"/>
    <w:rsid w:val="00C25814"/>
    <w:rsid w:val="00C26416"/>
    <w:rsid w:val="00C2708F"/>
    <w:rsid w:val="00C30734"/>
    <w:rsid w:val="00C308E4"/>
    <w:rsid w:val="00C32800"/>
    <w:rsid w:val="00C32DFF"/>
    <w:rsid w:val="00C331F6"/>
    <w:rsid w:val="00C3400D"/>
    <w:rsid w:val="00C34CE7"/>
    <w:rsid w:val="00C357B8"/>
    <w:rsid w:val="00C357D0"/>
    <w:rsid w:val="00C3598C"/>
    <w:rsid w:val="00C3705B"/>
    <w:rsid w:val="00C37B4E"/>
    <w:rsid w:val="00C37C3D"/>
    <w:rsid w:val="00C41A8C"/>
    <w:rsid w:val="00C4358E"/>
    <w:rsid w:val="00C438BD"/>
    <w:rsid w:val="00C4445B"/>
    <w:rsid w:val="00C44A70"/>
    <w:rsid w:val="00C4540E"/>
    <w:rsid w:val="00C4690C"/>
    <w:rsid w:val="00C46D16"/>
    <w:rsid w:val="00C471D8"/>
    <w:rsid w:val="00C4745D"/>
    <w:rsid w:val="00C47D8C"/>
    <w:rsid w:val="00C51226"/>
    <w:rsid w:val="00C51256"/>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4287"/>
    <w:rsid w:val="00C64F3C"/>
    <w:rsid w:val="00C652C2"/>
    <w:rsid w:val="00C66738"/>
    <w:rsid w:val="00C66B54"/>
    <w:rsid w:val="00C6704E"/>
    <w:rsid w:val="00C71516"/>
    <w:rsid w:val="00C727DD"/>
    <w:rsid w:val="00C72B29"/>
    <w:rsid w:val="00C72C4A"/>
    <w:rsid w:val="00C72FDE"/>
    <w:rsid w:val="00C73273"/>
    <w:rsid w:val="00C73374"/>
    <w:rsid w:val="00C75022"/>
    <w:rsid w:val="00C754CA"/>
    <w:rsid w:val="00C75641"/>
    <w:rsid w:val="00C75684"/>
    <w:rsid w:val="00C7575F"/>
    <w:rsid w:val="00C76384"/>
    <w:rsid w:val="00C77224"/>
    <w:rsid w:val="00C777CB"/>
    <w:rsid w:val="00C77F33"/>
    <w:rsid w:val="00C804BD"/>
    <w:rsid w:val="00C80C24"/>
    <w:rsid w:val="00C81364"/>
    <w:rsid w:val="00C83795"/>
    <w:rsid w:val="00C841F3"/>
    <w:rsid w:val="00C84548"/>
    <w:rsid w:val="00C84F68"/>
    <w:rsid w:val="00C860F2"/>
    <w:rsid w:val="00C862EA"/>
    <w:rsid w:val="00C872B4"/>
    <w:rsid w:val="00C9072F"/>
    <w:rsid w:val="00C90B09"/>
    <w:rsid w:val="00C90E60"/>
    <w:rsid w:val="00C90F6A"/>
    <w:rsid w:val="00C931CD"/>
    <w:rsid w:val="00C93611"/>
    <w:rsid w:val="00C94386"/>
    <w:rsid w:val="00C95254"/>
    <w:rsid w:val="00C95903"/>
    <w:rsid w:val="00C971FA"/>
    <w:rsid w:val="00C973B5"/>
    <w:rsid w:val="00C97B64"/>
    <w:rsid w:val="00C97EF8"/>
    <w:rsid w:val="00CA0A6E"/>
    <w:rsid w:val="00CA1BCC"/>
    <w:rsid w:val="00CA4884"/>
    <w:rsid w:val="00CA4C47"/>
    <w:rsid w:val="00CA5900"/>
    <w:rsid w:val="00CA5C05"/>
    <w:rsid w:val="00CA5E2B"/>
    <w:rsid w:val="00CA686D"/>
    <w:rsid w:val="00CA6A9B"/>
    <w:rsid w:val="00CA6B7B"/>
    <w:rsid w:val="00CB0335"/>
    <w:rsid w:val="00CB2A24"/>
    <w:rsid w:val="00CB2C1D"/>
    <w:rsid w:val="00CB2EDB"/>
    <w:rsid w:val="00CB2FC0"/>
    <w:rsid w:val="00CB313D"/>
    <w:rsid w:val="00CB316A"/>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D1E"/>
    <w:rsid w:val="00CD77F8"/>
    <w:rsid w:val="00CE1510"/>
    <w:rsid w:val="00CE19D6"/>
    <w:rsid w:val="00CE1CC0"/>
    <w:rsid w:val="00CE41C5"/>
    <w:rsid w:val="00CE50DD"/>
    <w:rsid w:val="00CE5578"/>
    <w:rsid w:val="00CE5618"/>
    <w:rsid w:val="00CE5839"/>
    <w:rsid w:val="00CE5DAA"/>
    <w:rsid w:val="00CE6A15"/>
    <w:rsid w:val="00CE6B6F"/>
    <w:rsid w:val="00CF0B05"/>
    <w:rsid w:val="00CF0D83"/>
    <w:rsid w:val="00CF119F"/>
    <w:rsid w:val="00CF174D"/>
    <w:rsid w:val="00CF1761"/>
    <w:rsid w:val="00CF2DBA"/>
    <w:rsid w:val="00CF3112"/>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0DE1"/>
    <w:rsid w:val="00D11104"/>
    <w:rsid w:val="00D134B1"/>
    <w:rsid w:val="00D138D3"/>
    <w:rsid w:val="00D14420"/>
    <w:rsid w:val="00D14705"/>
    <w:rsid w:val="00D15523"/>
    <w:rsid w:val="00D155F6"/>
    <w:rsid w:val="00D15BBE"/>
    <w:rsid w:val="00D166A0"/>
    <w:rsid w:val="00D17353"/>
    <w:rsid w:val="00D20193"/>
    <w:rsid w:val="00D204BF"/>
    <w:rsid w:val="00D21D60"/>
    <w:rsid w:val="00D2217A"/>
    <w:rsid w:val="00D22F34"/>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2319"/>
    <w:rsid w:val="00D42700"/>
    <w:rsid w:val="00D42F74"/>
    <w:rsid w:val="00D430FB"/>
    <w:rsid w:val="00D433F2"/>
    <w:rsid w:val="00D43933"/>
    <w:rsid w:val="00D43B2A"/>
    <w:rsid w:val="00D44352"/>
    <w:rsid w:val="00D44806"/>
    <w:rsid w:val="00D44982"/>
    <w:rsid w:val="00D44B75"/>
    <w:rsid w:val="00D45D02"/>
    <w:rsid w:val="00D46275"/>
    <w:rsid w:val="00D468C9"/>
    <w:rsid w:val="00D477CD"/>
    <w:rsid w:val="00D50A12"/>
    <w:rsid w:val="00D5193F"/>
    <w:rsid w:val="00D51DBB"/>
    <w:rsid w:val="00D53602"/>
    <w:rsid w:val="00D54F57"/>
    <w:rsid w:val="00D550AA"/>
    <w:rsid w:val="00D55F96"/>
    <w:rsid w:val="00D560D0"/>
    <w:rsid w:val="00D56116"/>
    <w:rsid w:val="00D561F0"/>
    <w:rsid w:val="00D56F0A"/>
    <w:rsid w:val="00D57393"/>
    <w:rsid w:val="00D603B8"/>
    <w:rsid w:val="00D60CA9"/>
    <w:rsid w:val="00D61926"/>
    <w:rsid w:val="00D622F0"/>
    <w:rsid w:val="00D62DDC"/>
    <w:rsid w:val="00D62DFB"/>
    <w:rsid w:val="00D62E23"/>
    <w:rsid w:val="00D63706"/>
    <w:rsid w:val="00D63B04"/>
    <w:rsid w:val="00D63EFC"/>
    <w:rsid w:val="00D65218"/>
    <w:rsid w:val="00D662B6"/>
    <w:rsid w:val="00D66379"/>
    <w:rsid w:val="00D66959"/>
    <w:rsid w:val="00D66AE2"/>
    <w:rsid w:val="00D67046"/>
    <w:rsid w:val="00D67375"/>
    <w:rsid w:val="00D67480"/>
    <w:rsid w:val="00D677E0"/>
    <w:rsid w:val="00D6791E"/>
    <w:rsid w:val="00D70158"/>
    <w:rsid w:val="00D70F1B"/>
    <w:rsid w:val="00D71407"/>
    <w:rsid w:val="00D71778"/>
    <w:rsid w:val="00D72522"/>
    <w:rsid w:val="00D72EA2"/>
    <w:rsid w:val="00D73559"/>
    <w:rsid w:val="00D73891"/>
    <w:rsid w:val="00D73EA6"/>
    <w:rsid w:val="00D7413C"/>
    <w:rsid w:val="00D744AC"/>
    <w:rsid w:val="00D7455E"/>
    <w:rsid w:val="00D74588"/>
    <w:rsid w:val="00D7500C"/>
    <w:rsid w:val="00D772AF"/>
    <w:rsid w:val="00D773A7"/>
    <w:rsid w:val="00D8113E"/>
    <w:rsid w:val="00D81E5A"/>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F26"/>
    <w:rsid w:val="00D94352"/>
    <w:rsid w:val="00D943AA"/>
    <w:rsid w:val="00D95688"/>
    <w:rsid w:val="00D95A44"/>
    <w:rsid w:val="00D95F13"/>
    <w:rsid w:val="00D96C22"/>
    <w:rsid w:val="00D96C25"/>
    <w:rsid w:val="00D96E69"/>
    <w:rsid w:val="00D97528"/>
    <w:rsid w:val="00D977AF"/>
    <w:rsid w:val="00DA0115"/>
    <w:rsid w:val="00DA0F5A"/>
    <w:rsid w:val="00DA0FC3"/>
    <w:rsid w:val="00DA131F"/>
    <w:rsid w:val="00DA2245"/>
    <w:rsid w:val="00DA2470"/>
    <w:rsid w:val="00DA2F52"/>
    <w:rsid w:val="00DA376E"/>
    <w:rsid w:val="00DA3B01"/>
    <w:rsid w:val="00DA41BD"/>
    <w:rsid w:val="00DA4ADA"/>
    <w:rsid w:val="00DA554C"/>
    <w:rsid w:val="00DA6E95"/>
    <w:rsid w:val="00DA713C"/>
    <w:rsid w:val="00DA78E3"/>
    <w:rsid w:val="00DB038E"/>
    <w:rsid w:val="00DB108A"/>
    <w:rsid w:val="00DB1AA5"/>
    <w:rsid w:val="00DB2E8C"/>
    <w:rsid w:val="00DB3459"/>
    <w:rsid w:val="00DB3DE6"/>
    <w:rsid w:val="00DB53B7"/>
    <w:rsid w:val="00DB60FE"/>
    <w:rsid w:val="00DB6859"/>
    <w:rsid w:val="00DB6E52"/>
    <w:rsid w:val="00DC0653"/>
    <w:rsid w:val="00DC0898"/>
    <w:rsid w:val="00DC08EF"/>
    <w:rsid w:val="00DC150A"/>
    <w:rsid w:val="00DC1A90"/>
    <w:rsid w:val="00DC24E7"/>
    <w:rsid w:val="00DC320F"/>
    <w:rsid w:val="00DC3325"/>
    <w:rsid w:val="00DC3800"/>
    <w:rsid w:val="00DC5912"/>
    <w:rsid w:val="00DC5A0D"/>
    <w:rsid w:val="00DC6460"/>
    <w:rsid w:val="00DC7E10"/>
    <w:rsid w:val="00DC7E6E"/>
    <w:rsid w:val="00DD00FC"/>
    <w:rsid w:val="00DD0BF7"/>
    <w:rsid w:val="00DD1BE6"/>
    <w:rsid w:val="00DD2102"/>
    <w:rsid w:val="00DD2B55"/>
    <w:rsid w:val="00DD2D98"/>
    <w:rsid w:val="00DD35CB"/>
    <w:rsid w:val="00DD3E40"/>
    <w:rsid w:val="00DD3EDD"/>
    <w:rsid w:val="00DD512E"/>
    <w:rsid w:val="00DD61DD"/>
    <w:rsid w:val="00DD6514"/>
    <w:rsid w:val="00DD7AB9"/>
    <w:rsid w:val="00DE055D"/>
    <w:rsid w:val="00DE0F54"/>
    <w:rsid w:val="00DE19A1"/>
    <w:rsid w:val="00DE1A02"/>
    <w:rsid w:val="00DE2BDC"/>
    <w:rsid w:val="00DE2D53"/>
    <w:rsid w:val="00DE3C1B"/>
    <w:rsid w:val="00DE4323"/>
    <w:rsid w:val="00DE4990"/>
    <w:rsid w:val="00DE5606"/>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84F"/>
    <w:rsid w:val="00DF766C"/>
    <w:rsid w:val="00DF768E"/>
    <w:rsid w:val="00DF794B"/>
    <w:rsid w:val="00DF7CA7"/>
    <w:rsid w:val="00E00B6A"/>
    <w:rsid w:val="00E012DB"/>
    <w:rsid w:val="00E01538"/>
    <w:rsid w:val="00E02749"/>
    <w:rsid w:val="00E03C44"/>
    <w:rsid w:val="00E03DC8"/>
    <w:rsid w:val="00E04EC4"/>
    <w:rsid w:val="00E0579D"/>
    <w:rsid w:val="00E05E88"/>
    <w:rsid w:val="00E0678C"/>
    <w:rsid w:val="00E07AD3"/>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36C5"/>
    <w:rsid w:val="00E236F5"/>
    <w:rsid w:val="00E24088"/>
    <w:rsid w:val="00E2440E"/>
    <w:rsid w:val="00E24998"/>
    <w:rsid w:val="00E249E9"/>
    <w:rsid w:val="00E26014"/>
    <w:rsid w:val="00E262BC"/>
    <w:rsid w:val="00E2691A"/>
    <w:rsid w:val="00E2707E"/>
    <w:rsid w:val="00E2780B"/>
    <w:rsid w:val="00E27D17"/>
    <w:rsid w:val="00E30069"/>
    <w:rsid w:val="00E302C1"/>
    <w:rsid w:val="00E3033B"/>
    <w:rsid w:val="00E30586"/>
    <w:rsid w:val="00E3123E"/>
    <w:rsid w:val="00E312CA"/>
    <w:rsid w:val="00E31C72"/>
    <w:rsid w:val="00E31DAC"/>
    <w:rsid w:val="00E31E76"/>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F3B"/>
    <w:rsid w:val="00E367C6"/>
    <w:rsid w:val="00E36943"/>
    <w:rsid w:val="00E3732E"/>
    <w:rsid w:val="00E404F7"/>
    <w:rsid w:val="00E40A7B"/>
    <w:rsid w:val="00E40CEC"/>
    <w:rsid w:val="00E40DB8"/>
    <w:rsid w:val="00E420C4"/>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3780"/>
    <w:rsid w:val="00E55E30"/>
    <w:rsid w:val="00E5668F"/>
    <w:rsid w:val="00E56829"/>
    <w:rsid w:val="00E57EE5"/>
    <w:rsid w:val="00E608D5"/>
    <w:rsid w:val="00E62497"/>
    <w:rsid w:val="00E63EBB"/>
    <w:rsid w:val="00E644E1"/>
    <w:rsid w:val="00E656EE"/>
    <w:rsid w:val="00E6572A"/>
    <w:rsid w:val="00E65BCB"/>
    <w:rsid w:val="00E66577"/>
    <w:rsid w:val="00E6751F"/>
    <w:rsid w:val="00E67AB7"/>
    <w:rsid w:val="00E700FC"/>
    <w:rsid w:val="00E706F7"/>
    <w:rsid w:val="00E70C53"/>
    <w:rsid w:val="00E71260"/>
    <w:rsid w:val="00E715BC"/>
    <w:rsid w:val="00E718CF"/>
    <w:rsid w:val="00E7190F"/>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133F"/>
    <w:rsid w:val="00E81404"/>
    <w:rsid w:val="00E828F7"/>
    <w:rsid w:val="00E82913"/>
    <w:rsid w:val="00E83083"/>
    <w:rsid w:val="00E8325B"/>
    <w:rsid w:val="00E8408C"/>
    <w:rsid w:val="00E84F13"/>
    <w:rsid w:val="00E851A1"/>
    <w:rsid w:val="00E85324"/>
    <w:rsid w:val="00E85C8D"/>
    <w:rsid w:val="00E85CEB"/>
    <w:rsid w:val="00E863BF"/>
    <w:rsid w:val="00E87042"/>
    <w:rsid w:val="00E87268"/>
    <w:rsid w:val="00E87758"/>
    <w:rsid w:val="00E87DE1"/>
    <w:rsid w:val="00E91269"/>
    <w:rsid w:val="00E92D54"/>
    <w:rsid w:val="00E93012"/>
    <w:rsid w:val="00E930A6"/>
    <w:rsid w:val="00E930E2"/>
    <w:rsid w:val="00E93848"/>
    <w:rsid w:val="00E938B1"/>
    <w:rsid w:val="00E9455F"/>
    <w:rsid w:val="00E94EBC"/>
    <w:rsid w:val="00E95D12"/>
    <w:rsid w:val="00E95DCA"/>
    <w:rsid w:val="00E963C2"/>
    <w:rsid w:val="00E96E72"/>
    <w:rsid w:val="00E96FB5"/>
    <w:rsid w:val="00EA0619"/>
    <w:rsid w:val="00EA0923"/>
    <w:rsid w:val="00EA0A6D"/>
    <w:rsid w:val="00EA1661"/>
    <w:rsid w:val="00EA22A9"/>
    <w:rsid w:val="00EA32DA"/>
    <w:rsid w:val="00EA3D4A"/>
    <w:rsid w:val="00EA3FCE"/>
    <w:rsid w:val="00EA414A"/>
    <w:rsid w:val="00EA4A92"/>
    <w:rsid w:val="00EA5373"/>
    <w:rsid w:val="00EA56E3"/>
    <w:rsid w:val="00EA5E38"/>
    <w:rsid w:val="00EA67A3"/>
    <w:rsid w:val="00EA7753"/>
    <w:rsid w:val="00EA7CBB"/>
    <w:rsid w:val="00EB07BD"/>
    <w:rsid w:val="00EB1282"/>
    <w:rsid w:val="00EB14FD"/>
    <w:rsid w:val="00EB16EC"/>
    <w:rsid w:val="00EB1C6E"/>
    <w:rsid w:val="00EB1D05"/>
    <w:rsid w:val="00EB205C"/>
    <w:rsid w:val="00EB29B1"/>
    <w:rsid w:val="00EB3012"/>
    <w:rsid w:val="00EB36E9"/>
    <w:rsid w:val="00EB3FCA"/>
    <w:rsid w:val="00EB46BA"/>
    <w:rsid w:val="00EB4BD3"/>
    <w:rsid w:val="00EB51DA"/>
    <w:rsid w:val="00EB7021"/>
    <w:rsid w:val="00EB7300"/>
    <w:rsid w:val="00EB7576"/>
    <w:rsid w:val="00EB7C7F"/>
    <w:rsid w:val="00EC052E"/>
    <w:rsid w:val="00EC0D05"/>
    <w:rsid w:val="00EC110F"/>
    <w:rsid w:val="00EC1155"/>
    <w:rsid w:val="00EC17BA"/>
    <w:rsid w:val="00EC1C35"/>
    <w:rsid w:val="00EC2259"/>
    <w:rsid w:val="00EC2575"/>
    <w:rsid w:val="00EC3B3B"/>
    <w:rsid w:val="00EC4821"/>
    <w:rsid w:val="00EC48EE"/>
    <w:rsid w:val="00EC51F3"/>
    <w:rsid w:val="00EC5423"/>
    <w:rsid w:val="00EC5892"/>
    <w:rsid w:val="00EC59AC"/>
    <w:rsid w:val="00EC633F"/>
    <w:rsid w:val="00EC7021"/>
    <w:rsid w:val="00EC756C"/>
    <w:rsid w:val="00ED0343"/>
    <w:rsid w:val="00ED04D1"/>
    <w:rsid w:val="00ED0839"/>
    <w:rsid w:val="00ED0A5B"/>
    <w:rsid w:val="00ED12AE"/>
    <w:rsid w:val="00ED1CFC"/>
    <w:rsid w:val="00ED3714"/>
    <w:rsid w:val="00ED4151"/>
    <w:rsid w:val="00ED43B8"/>
    <w:rsid w:val="00ED5C21"/>
    <w:rsid w:val="00ED62FC"/>
    <w:rsid w:val="00ED7D9D"/>
    <w:rsid w:val="00EE083D"/>
    <w:rsid w:val="00EE153B"/>
    <w:rsid w:val="00EE22ED"/>
    <w:rsid w:val="00EE28D1"/>
    <w:rsid w:val="00EE2F9D"/>
    <w:rsid w:val="00EE3318"/>
    <w:rsid w:val="00EE3D52"/>
    <w:rsid w:val="00EE44D1"/>
    <w:rsid w:val="00EE48F7"/>
    <w:rsid w:val="00EE5A37"/>
    <w:rsid w:val="00EE62A1"/>
    <w:rsid w:val="00EE7117"/>
    <w:rsid w:val="00EE7282"/>
    <w:rsid w:val="00EE7408"/>
    <w:rsid w:val="00EF072B"/>
    <w:rsid w:val="00EF1498"/>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3047"/>
    <w:rsid w:val="00F14815"/>
    <w:rsid w:val="00F14AB4"/>
    <w:rsid w:val="00F14DF0"/>
    <w:rsid w:val="00F157E7"/>
    <w:rsid w:val="00F15B1B"/>
    <w:rsid w:val="00F15B22"/>
    <w:rsid w:val="00F15D38"/>
    <w:rsid w:val="00F20707"/>
    <w:rsid w:val="00F21349"/>
    <w:rsid w:val="00F213EE"/>
    <w:rsid w:val="00F22128"/>
    <w:rsid w:val="00F22827"/>
    <w:rsid w:val="00F22BA0"/>
    <w:rsid w:val="00F232E1"/>
    <w:rsid w:val="00F25E2C"/>
    <w:rsid w:val="00F26A74"/>
    <w:rsid w:val="00F277EA"/>
    <w:rsid w:val="00F30A87"/>
    <w:rsid w:val="00F30CAC"/>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11A"/>
    <w:rsid w:val="00F37343"/>
    <w:rsid w:val="00F4079A"/>
    <w:rsid w:val="00F40C34"/>
    <w:rsid w:val="00F41259"/>
    <w:rsid w:val="00F41358"/>
    <w:rsid w:val="00F415BA"/>
    <w:rsid w:val="00F41E57"/>
    <w:rsid w:val="00F42F55"/>
    <w:rsid w:val="00F436A8"/>
    <w:rsid w:val="00F437CB"/>
    <w:rsid w:val="00F43A64"/>
    <w:rsid w:val="00F4478B"/>
    <w:rsid w:val="00F451D9"/>
    <w:rsid w:val="00F45301"/>
    <w:rsid w:val="00F455B8"/>
    <w:rsid w:val="00F4582D"/>
    <w:rsid w:val="00F45884"/>
    <w:rsid w:val="00F4596F"/>
    <w:rsid w:val="00F4640A"/>
    <w:rsid w:val="00F46C88"/>
    <w:rsid w:val="00F4703A"/>
    <w:rsid w:val="00F50209"/>
    <w:rsid w:val="00F51135"/>
    <w:rsid w:val="00F513E5"/>
    <w:rsid w:val="00F53061"/>
    <w:rsid w:val="00F539AE"/>
    <w:rsid w:val="00F543CF"/>
    <w:rsid w:val="00F5515E"/>
    <w:rsid w:val="00F56EB0"/>
    <w:rsid w:val="00F56FFE"/>
    <w:rsid w:val="00F57798"/>
    <w:rsid w:val="00F57A93"/>
    <w:rsid w:val="00F60171"/>
    <w:rsid w:val="00F606C7"/>
    <w:rsid w:val="00F6091E"/>
    <w:rsid w:val="00F61A95"/>
    <w:rsid w:val="00F6337D"/>
    <w:rsid w:val="00F635E0"/>
    <w:rsid w:val="00F63DBE"/>
    <w:rsid w:val="00F64041"/>
    <w:rsid w:val="00F66CF1"/>
    <w:rsid w:val="00F70179"/>
    <w:rsid w:val="00F709C8"/>
    <w:rsid w:val="00F70E78"/>
    <w:rsid w:val="00F711B8"/>
    <w:rsid w:val="00F71770"/>
    <w:rsid w:val="00F71B15"/>
    <w:rsid w:val="00F71F45"/>
    <w:rsid w:val="00F727CB"/>
    <w:rsid w:val="00F72D49"/>
    <w:rsid w:val="00F73F1A"/>
    <w:rsid w:val="00F7496C"/>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434"/>
    <w:rsid w:val="00F84512"/>
    <w:rsid w:val="00F85203"/>
    <w:rsid w:val="00F85788"/>
    <w:rsid w:val="00F85A2B"/>
    <w:rsid w:val="00F85C47"/>
    <w:rsid w:val="00F8656C"/>
    <w:rsid w:val="00F868D3"/>
    <w:rsid w:val="00F8718A"/>
    <w:rsid w:val="00F87E5C"/>
    <w:rsid w:val="00F919CE"/>
    <w:rsid w:val="00F92727"/>
    <w:rsid w:val="00F9345A"/>
    <w:rsid w:val="00F93511"/>
    <w:rsid w:val="00F9389C"/>
    <w:rsid w:val="00F93AF3"/>
    <w:rsid w:val="00F94457"/>
    <w:rsid w:val="00F97638"/>
    <w:rsid w:val="00F97FF5"/>
    <w:rsid w:val="00FA0046"/>
    <w:rsid w:val="00FA04C6"/>
    <w:rsid w:val="00FA0972"/>
    <w:rsid w:val="00FA1BC5"/>
    <w:rsid w:val="00FA1CD6"/>
    <w:rsid w:val="00FA2027"/>
    <w:rsid w:val="00FA26D2"/>
    <w:rsid w:val="00FA29F6"/>
    <w:rsid w:val="00FA2A5E"/>
    <w:rsid w:val="00FA3059"/>
    <w:rsid w:val="00FA4CBB"/>
    <w:rsid w:val="00FA521E"/>
    <w:rsid w:val="00FA5634"/>
    <w:rsid w:val="00FA574F"/>
    <w:rsid w:val="00FA5912"/>
    <w:rsid w:val="00FA5EA8"/>
    <w:rsid w:val="00FA6122"/>
    <w:rsid w:val="00FB0953"/>
    <w:rsid w:val="00FB0997"/>
    <w:rsid w:val="00FB1094"/>
    <w:rsid w:val="00FB1438"/>
    <w:rsid w:val="00FB234F"/>
    <w:rsid w:val="00FB2CF4"/>
    <w:rsid w:val="00FB3907"/>
    <w:rsid w:val="00FB3923"/>
    <w:rsid w:val="00FB5E2A"/>
    <w:rsid w:val="00FB706D"/>
    <w:rsid w:val="00FB74C9"/>
    <w:rsid w:val="00FB751A"/>
    <w:rsid w:val="00FB7FC8"/>
    <w:rsid w:val="00FC00F6"/>
    <w:rsid w:val="00FC16CE"/>
    <w:rsid w:val="00FC1A8D"/>
    <w:rsid w:val="00FC2460"/>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194C"/>
    <w:rsid w:val="00FE255B"/>
    <w:rsid w:val="00FE2A37"/>
    <w:rsid w:val="00FE355C"/>
    <w:rsid w:val="00FE3640"/>
    <w:rsid w:val="00FE3B25"/>
    <w:rsid w:val="00FE3B92"/>
    <w:rsid w:val="00FE4478"/>
    <w:rsid w:val="00FE44B5"/>
    <w:rsid w:val="00FE499C"/>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styleId="ListParagraph">
    <w:name w:val="List Paragraph"/>
    <w:basedOn w:val="Normal"/>
    <w:uiPriority w:val="34"/>
    <w:qFormat/>
    <w:rsid w:val="0087666B"/>
    <w:pPr>
      <w:ind w:left="720"/>
    </w:p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50862">
      <w:bodyDiv w:val="1"/>
      <w:marLeft w:val="0"/>
      <w:marRight w:val="0"/>
      <w:marTop w:val="0"/>
      <w:marBottom w:val="0"/>
      <w:divBdr>
        <w:top w:val="none" w:sz="0" w:space="0" w:color="auto"/>
        <w:left w:val="none" w:sz="0" w:space="0" w:color="auto"/>
        <w:bottom w:val="none" w:sz="0" w:space="0" w:color="auto"/>
        <w:right w:val="none" w:sz="0" w:space="0" w:color="auto"/>
      </w:divBdr>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1645307722">
          <w:marLeft w:val="360"/>
          <w:marRight w:val="0"/>
          <w:marTop w:val="58"/>
          <w:marBottom w:val="0"/>
          <w:divBdr>
            <w:top w:val="none" w:sz="0" w:space="0" w:color="auto"/>
            <w:left w:val="none" w:sz="0" w:space="0" w:color="auto"/>
            <w:bottom w:val="none" w:sz="0" w:space="0" w:color="auto"/>
            <w:right w:val="none" w:sz="0" w:space="0" w:color="auto"/>
          </w:divBdr>
        </w:div>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7338">
      <w:bodyDiv w:val="1"/>
      <w:marLeft w:val="0"/>
      <w:marRight w:val="0"/>
      <w:marTop w:val="0"/>
      <w:marBottom w:val="0"/>
      <w:divBdr>
        <w:top w:val="none" w:sz="0" w:space="0" w:color="auto"/>
        <w:left w:val="none" w:sz="0" w:space="0" w:color="auto"/>
        <w:bottom w:val="none" w:sz="0" w:space="0" w:color="auto"/>
        <w:right w:val="none" w:sz="0" w:space="0" w:color="auto"/>
      </w:divBdr>
    </w:div>
    <w:div w:id="160025944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fontTable" Target="fontTable.xml"/><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image" Target="media/image28.wmf"/><Relationship Id="rId84" Type="http://schemas.openxmlformats.org/officeDocument/2006/relationships/oleObject" Target="embeddings/oleObject44.bin"/><Relationship Id="rId89" Type="http://schemas.openxmlformats.org/officeDocument/2006/relationships/oleObject" Target="embeddings/oleObject47.bin"/><Relationship Id="rId112" Type="http://schemas.openxmlformats.org/officeDocument/2006/relationships/image" Target="media/image43.jpeg"/><Relationship Id="rId16" Type="http://schemas.openxmlformats.org/officeDocument/2006/relationships/oleObject" Target="embeddings/oleObject5.bin"/><Relationship Id="rId107" Type="http://schemas.openxmlformats.org/officeDocument/2006/relationships/oleObject" Target="embeddings/oleObject60.bin"/><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oleObject" Target="embeddings/oleObject21.bin"/><Relationship Id="rId53" Type="http://schemas.openxmlformats.org/officeDocument/2006/relationships/image" Target="media/image22.wmf"/><Relationship Id="rId58" Type="http://schemas.openxmlformats.org/officeDocument/2006/relationships/oleObject" Target="embeddings/oleObject29.bin"/><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oleObject" Target="embeddings/oleObject41.bin"/><Relationship Id="rId87" Type="http://schemas.openxmlformats.org/officeDocument/2006/relationships/oleObject" Target="embeddings/oleObject46.bin"/><Relationship Id="rId102" Type="http://schemas.openxmlformats.org/officeDocument/2006/relationships/oleObject" Target="embeddings/oleObject55.bin"/><Relationship Id="rId110" Type="http://schemas.openxmlformats.org/officeDocument/2006/relationships/oleObject" Target="embeddings/oleObject63.bin"/><Relationship Id="rId115" Type="http://schemas.openxmlformats.org/officeDocument/2006/relationships/oleObject" Target="embeddings/oleObject66.bin"/><Relationship Id="rId5" Type="http://schemas.openxmlformats.org/officeDocument/2006/relationships/footnotes" Target="footnotes.xml"/><Relationship Id="rId61" Type="http://schemas.openxmlformats.org/officeDocument/2006/relationships/oleObject" Target="embeddings/oleObject31.bin"/><Relationship Id="rId82" Type="http://schemas.openxmlformats.org/officeDocument/2006/relationships/oleObject" Target="embeddings/oleObject43.bin"/><Relationship Id="rId90" Type="http://schemas.openxmlformats.org/officeDocument/2006/relationships/image" Target="media/image37.wmf"/><Relationship Id="rId95" Type="http://schemas.openxmlformats.org/officeDocument/2006/relationships/oleObject" Target="embeddings/oleObject51.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image" Target="media/image12.jpeg"/><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jpeg"/><Relationship Id="rId56" Type="http://schemas.openxmlformats.org/officeDocument/2006/relationships/oleObject" Target="embeddings/oleObject27.bin"/><Relationship Id="rId64" Type="http://schemas.openxmlformats.org/officeDocument/2006/relationships/image" Target="media/image26.wmf"/><Relationship Id="rId69" Type="http://schemas.openxmlformats.org/officeDocument/2006/relationships/oleObject" Target="embeddings/oleObject35.bin"/><Relationship Id="rId77" Type="http://schemas.openxmlformats.org/officeDocument/2006/relationships/oleObject" Target="embeddings/oleObject39.bin"/><Relationship Id="rId100" Type="http://schemas.openxmlformats.org/officeDocument/2006/relationships/image" Target="media/image41.wmf"/><Relationship Id="rId105" Type="http://schemas.openxmlformats.org/officeDocument/2006/relationships/oleObject" Target="embeddings/oleObject58.bin"/><Relationship Id="rId113" Type="http://schemas.openxmlformats.org/officeDocument/2006/relationships/oleObject" Target="embeddings/oleObject64.bin"/><Relationship Id="rId118"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1.wmf"/><Relationship Id="rId72" Type="http://schemas.openxmlformats.org/officeDocument/2006/relationships/image" Target="media/image30.wmf"/><Relationship Id="rId80" Type="http://schemas.openxmlformats.org/officeDocument/2006/relationships/oleObject" Target="embeddings/oleObject42.bin"/><Relationship Id="rId85" Type="http://schemas.openxmlformats.org/officeDocument/2006/relationships/image" Target="media/image35.wmf"/><Relationship Id="rId93" Type="http://schemas.openxmlformats.org/officeDocument/2006/relationships/image" Target="media/image38.wmf"/><Relationship Id="rId98" Type="http://schemas.openxmlformats.org/officeDocument/2006/relationships/image" Target="media/image40.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image" Target="media/image19.wmf"/><Relationship Id="rId59" Type="http://schemas.openxmlformats.org/officeDocument/2006/relationships/oleObject" Target="embeddings/oleObject30.bin"/><Relationship Id="rId67" Type="http://schemas.openxmlformats.org/officeDocument/2006/relationships/oleObject" Target="embeddings/oleObject34.bin"/><Relationship Id="rId103" Type="http://schemas.openxmlformats.org/officeDocument/2006/relationships/oleObject" Target="embeddings/oleObject56.bin"/><Relationship Id="rId108" Type="http://schemas.openxmlformats.org/officeDocument/2006/relationships/oleObject" Target="embeddings/oleObject61.bin"/><Relationship Id="rId116"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8.bin"/><Relationship Id="rId83" Type="http://schemas.openxmlformats.org/officeDocument/2006/relationships/image" Target="media/image34.jpeg"/><Relationship Id="rId88" Type="http://schemas.openxmlformats.org/officeDocument/2006/relationships/image" Target="media/image36.wmf"/><Relationship Id="rId91" Type="http://schemas.openxmlformats.org/officeDocument/2006/relationships/oleObject" Target="embeddings/oleObject48.bin"/><Relationship Id="rId96" Type="http://schemas.openxmlformats.org/officeDocument/2006/relationships/image" Target="media/image39.wmf"/><Relationship Id="rId111" Type="http://schemas.openxmlformats.org/officeDocument/2006/relationships/image" Target="media/image42.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8.bin"/><Relationship Id="rId106" Type="http://schemas.openxmlformats.org/officeDocument/2006/relationships/oleObject" Target="embeddings/oleObject59.bin"/><Relationship Id="rId114" Type="http://schemas.openxmlformats.org/officeDocument/2006/relationships/oleObject" Target="embeddings/oleObject65.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image" Target="media/image24.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image" Target="media/image33.wmf"/><Relationship Id="rId86" Type="http://schemas.openxmlformats.org/officeDocument/2006/relationships/oleObject" Target="embeddings/oleObject45.bin"/><Relationship Id="rId94" Type="http://schemas.openxmlformats.org/officeDocument/2006/relationships/oleObject" Target="embeddings/oleObject50.bin"/><Relationship Id="rId99" Type="http://schemas.openxmlformats.org/officeDocument/2006/relationships/oleObject" Target="embeddings/oleObject53.bin"/><Relationship Id="rId101" Type="http://schemas.openxmlformats.org/officeDocument/2006/relationships/oleObject" Target="embeddings/oleObject54.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62.bin"/><Relationship Id="rId34" Type="http://schemas.openxmlformats.org/officeDocument/2006/relationships/image" Target="media/image14.wmf"/><Relationship Id="rId50" Type="http://schemas.openxmlformats.org/officeDocument/2006/relationships/oleObject" Target="embeddings/oleObject24.bin"/><Relationship Id="rId55" Type="http://schemas.openxmlformats.org/officeDocument/2006/relationships/image" Target="media/image23.wmf"/><Relationship Id="rId76" Type="http://schemas.openxmlformats.org/officeDocument/2006/relationships/image" Target="media/image32.wmf"/><Relationship Id="rId97" Type="http://schemas.openxmlformats.org/officeDocument/2006/relationships/oleObject" Target="embeddings/oleObject52.bin"/><Relationship Id="rId104" Type="http://schemas.openxmlformats.org/officeDocument/2006/relationships/oleObject" Target="embeddings/oleObject57.bin"/><Relationship Id="rId7" Type="http://schemas.openxmlformats.org/officeDocument/2006/relationships/image" Target="media/image1.wmf"/><Relationship Id="rId71" Type="http://schemas.openxmlformats.org/officeDocument/2006/relationships/oleObject" Target="embeddings/oleObject36.bin"/><Relationship Id="rId92" Type="http://schemas.openxmlformats.org/officeDocument/2006/relationships/oleObject" Target="embeddings/oleObject49.bin"/><Relationship Id="rId2" Type="http://schemas.openxmlformats.org/officeDocument/2006/relationships/styles" Target="styles.xml"/><Relationship Id="rId29"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2474</Words>
  <Characters>14106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16547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2010-05-04T19:18:00Z</cp:lastPrinted>
  <dcterms:created xsi:type="dcterms:W3CDTF">2012-11-05T23:47:00Z</dcterms:created>
  <dcterms:modified xsi:type="dcterms:W3CDTF">2012-11-05T23:47:00Z</dcterms:modified>
</cp:coreProperties>
</file>