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E00" w:rsidRPr="004226D1" w:rsidRDefault="003F64E2" w:rsidP="00B51E00">
      <w:pPr>
        <w:widowControl w:val="0"/>
        <w:tabs>
          <w:tab w:val="right" w:pos="9639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val="de-DE" w:eastAsia="ja-JP"/>
        </w:rPr>
      </w:pPr>
      <w:r w:rsidRPr="004226D1">
        <w:rPr>
          <w:rFonts w:ascii="Arial" w:hAnsi="Arial" w:cs="Arial"/>
          <w:b/>
          <w:sz w:val="24"/>
        </w:rPr>
        <w:t>TSG-RAN Working Group 4 (Radio) meeting #64-bis</w:t>
      </w:r>
      <w:r w:rsidR="00B51E00" w:rsidRPr="004226D1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</w:r>
      <w:r w:rsidR="00B51E00" w:rsidRPr="004226D1">
        <w:rPr>
          <w:rFonts w:ascii="Arial" w:eastAsia="MS Mincho" w:hAnsi="Arial" w:cs="Arial"/>
          <w:lang w:val="de-DE" w:eastAsia="x-none"/>
        </w:rPr>
        <w:t>R4-</w:t>
      </w:r>
      <w:r w:rsidRPr="004226D1">
        <w:rPr>
          <w:rFonts w:ascii="Arial" w:eastAsia="MS Mincho" w:hAnsi="Arial" w:cs="Arial"/>
          <w:lang w:val="de-DE" w:eastAsia="x-none"/>
        </w:rPr>
        <w:t>125527</w:t>
      </w:r>
    </w:p>
    <w:p w:rsidR="00B51E00" w:rsidRPr="004226D1" w:rsidRDefault="00B51E00" w:rsidP="00B51E00">
      <w:pPr>
        <w:widowControl w:val="0"/>
        <w:tabs>
          <w:tab w:val="left" w:pos="6521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val="en-GB" w:eastAsia="x-none"/>
        </w:rPr>
      </w:pPr>
      <w:r w:rsidRPr="004226D1">
        <w:rPr>
          <w:rFonts w:ascii="Arial" w:eastAsia="MS Mincho" w:hAnsi="Arial" w:cs="Arial"/>
          <w:b/>
          <w:sz w:val="24"/>
          <w:szCs w:val="24"/>
          <w:lang w:val="en-GB" w:eastAsia="x-none"/>
        </w:rPr>
        <w:t>October 8</w:t>
      </w:r>
      <w:r w:rsidRPr="004226D1">
        <w:rPr>
          <w:rFonts w:ascii="Arial" w:eastAsia="MS Mincho" w:hAnsi="Arial" w:cs="Arial"/>
          <w:b/>
          <w:sz w:val="24"/>
          <w:szCs w:val="24"/>
          <w:vertAlign w:val="superscript"/>
          <w:lang w:val="en-GB" w:eastAsia="x-none"/>
        </w:rPr>
        <w:t xml:space="preserve">th </w:t>
      </w:r>
      <w:r w:rsidRPr="004226D1">
        <w:rPr>
          <w:rFonts w:ascii="Arial" w:eastAsia="MS Mincho" w:hAnsi="Arial" w:cs="Arial"/>
          <w:b/>
          <w:sz w:val="24"/>
          <w:szCs w:val="24"/>
          <w:lang w:val="en-GB" w:eastAsia="x-none"/>
        </w:rPr>
        <w:t>– 12</w:t>
      </w:r>
      <w:r w:rsidRPr="004226D1">
        <w:rPr>
          <w:rFonts w:ascii="Arial" w:eastAsia="MS Mincho" w:hAnsi="Arial" w:cs="Arial"/>
          <w:b/>
          <w:sz w:val="24"/>
          <w:szCs w:val="24"/>
          <w:vertAlign w:val="superscript"/>
          <w:lang w:val="en-GB" w:eastAsia="x-none"/>
        </w:rPr>
        <w:t>th</w:t>
      </w:r>
      <w:r w:rsidRPr="004226D1">
        <w:rPr>
          <w:rFonts w:ascii="Arial" w:eastAsia="MS Mincho" w:hAnsi="Arial" w:cs="Arial"/>
          <w:b/>
          <w:sz w:val="24"/>
          <w:szCs w:val="24"/>
          <w:lang w:val="en-GB" w:eastAsia="x-none"/>
        </w:rPr>
        <w:t>, 2012</w:t>
      </w:r>
    </w:p>
    <w:p w:rsidR="00B51E00" w:rsidRPr="004226D1" w:rsidRDefault="00B51E00" w:rsidP="00B51E00">
      <w:pPr>
        <w:widowControl w:val="0"/>
        <w:spacing w:after="0" w:line="240" w:lineRule="auto"/>
        <w:rPr>
          <w:rFonts w:ascii="Arial" w:eastAsia="MS Mincho" w:hAnsi="Arial" w:cs="Arial"/>
          <w:b/>
          <w:sz w:val="24"/>
          <w:szCs w:val="24"/>
          <w:lang w:val="en-GB" w:eastAsia="x-none"/>
        </w:rPr>
      </w:pPr>
      <w:r w:rsidRPr="004226D1">
        <w:rPr>
          <w:rFonts w:ascii="Arial" w:eastAsia="MS Mincho" w:hAnsi="Arial" w:cs="Arial"/>
          <w:b/>
          <w:sz w:val="24"/>
          <w:szCs w:val="24"/>
          <w:lang w:val="en-GB" w:eastAsia="x-none"/>
        </w:rPr>
        <w:t>Santa Rosa, USA</w:t>
      </w:r>
    </w:p>
    <w:p w:rsidR="00B51E00" w:rsidRPr="00B51E00" w:rsidRDefault="00B51E00" w:rsidP="00B51E00">
      <w:pPr>
        <w:widowControl w:val="0"/>
        <w:spacing w:after="0" w:line="240" w:lineRule="auto"/>
        <w:rPr>
          <w:rFonts w:ascii="Arial" w:eastAsia="MS Mincho" w:hAnsi="Arial" w:cs="Arial"/>
          <w:b/>
          <w:sz w:val="20"/>
          <w:szCs w:val="20"/>
          <w:lang w:val="en-GB" w:eastAsia="x-none"/>
        </w:rPr>
      </w:pPr>
    </w:p>
    <w:p w:rsidR="00B51E00" w:rsidRPr="00B51E00" w:rsidRDefault="00B51E00" w:rsidP="00B51E00">
      <w:pPr>
        <w:widowControl w:val="0"/>
        <w:spacing w:after="0" w:line="240" w:lineRule="auto"/>
        <w:jc w:val="center"/>
        <w:rPr>
          <w:rFonts w:ascii="Times New Roman" w:eastAsia="MS Mincho" w:hAnsi="Times New Roman" w:cs="Times New Roman"/>
          <w:sz w:val="20"/>
          <w:szCs w:val="20"/>
          <w:lang w:val="en-GB" w:eastAsia="x-none"/>
        </w:rPr>
      </w:pPr>
    </w:p>
    <w:p w:rsidR="00B51E00" w:rsidRPr="00B51E00" w:rsidRDefault="00B51E00" w:rsidP="00B51E00">
      <w:pPr>
        <w:tabs>
          <w:tab w:val="left" w:pos="1985"/>
        </w:tabs>
        <w:spacing w:after="180" w:line="240" w:lineRule="auto"/>
        <w:rPr>
          <w:rFonts w:ascii="Arial" w:eastAsia="MS Mincho" w:hAnsi="Arial" w:cs="Times New Roman"/>
          <w:sz w:val="24"/>
          <w:szCs w:val="20"/>
          <w:lang w:eastAsia="ja-JP"/>
        </w:rPr>
      </w:pPr>
      <w:r w:rsidRPr="00B51E00">
        <w:rPr>
          <w:rFonts w:ascii="Arial" w:eastAsia="MS Mincho" w:hAnsi="Arial" w:cs="Times New Roman"/>
          <w:b/>
          <w:sz w:val="24"/>
          <w:szCs w:val="20"/>
        </w:rPr>
        <w:t>Agenda item:</w:t>
      </w:r>
      <w:r w:rsidRPr="00B51E00">
        <w:rPr>
          <w:rFonts w:ascii="Arial" w:eastAsia="MS Mincho" w:hAnsi="Arial" w:cs="Times New Roman"/>
          <w:sz w:val="24"/>
          <w:szCs w:val="20"/>
        </w:rPr>
        <w:tab/>
      </w:r>
      <w:r w:rsidRPr="00B51E00">
        <w:rPr>
          <w:rFonts w:ascii="Arial" w:eastAsia="MS Mincho" w:hAnsi="Arial" w:cs="Times New Roman" w:hint="eastAsia"/>
          <w:sz w:val="24"/>
          <w:szCs w:val="20"/>
          <w:lang w:eastAsia="ja-JP"/>
        </w:rPr>
        <w:t>4</w:t>
      </w:r>
      <w:r w:rsidRPr="00B51E00">
        <w:rPr>
          <w:rFonts w:ascii="Arial" w:eastAsia="MS Mincho" w:hAnsi="Arial" w:cs="Times New Roman"/>
          <w:sz w:val="24"/>
          <w:szCs w:val="20"/>
        </w:rPr>
        <w:t>.</w:t>
      </w:r>
      <w:r w:rsidRPr="00B51E00">
        <w:rPr>
          <w:rFonts w:ascii="Arial" w:eastAsia="MS Mincho" w:hAnsi="Arial" w:cs="Times New Roman" w:hint="eastAsia"/>
          <w:sz w:val="24"/>
          <w:szCs w:val="20"/>
          <w:lang w:eastAsia="ja-JP"/>
        </w:rPr>
        <w:t>2</w:t>
      </w:r>
      <w:r w:rsidRPr="00B51E00">
        <w:rPr>
          <w:rFonts w:ascii="Arial" w:eastAsia="MS Mincho" w:hAnsi="Arial" w:cs="Times New Roman"/>
          <w:sz w:val="24"/>
          <w:szCs w:val="20"/>
        </w:rPr>
        <w:t>.</w:t>
      </w:r>
      <w:r w:rsidRPr="00B51E00">
        <w:rPr>
          <w:rFonts w:ascii="Arial" w:eastAsia="MS Mincho" w:hAnsi="Arial" w:cs="Times New Roman" w:hint="eastAsia"/>
          <w:sz w:val="24"/>
          <w:szCs w:val="20"/>
          <w:lang w:eastAsia="ja-JP"/>
        </w:rPr>
        <w:t>1</w:t>
      </w:r>
    </w:p>
    <w:p w:rsidR="00B51E00" w:rsidRPr="00B51E00" w:rsidRDefault="00B51E00" w:rsidP="00B51E00">
      <w:pPr>
        <w:tabs>
          <w:tab w:val="left" w:pos="1985"/>
        </w:tabs>
        <w:spacing w:after="180" w:line="240" w:lineRule="auto"/>
        <w:rPr>
          <w:rFonts w:ascii="Arial" w:eastAsia="MS Mincho" w:hAnsi="Arial" w:cs="Times New Roman"/>
          <w:sz w:val="24"/>
          <w:szCs w:val="20"/>
          <w:lang w:eastAsia="ja-JP"/>
        </w:rPr>
      </w:pPr>
      <w:r w:rsidRPr="00B51E00">
        <w:rPr>
          <w:rFonts w:ascii="Arial" w:eastAsia="MS Mincho" w:hAnsi="Arial" w:cs="Times New Roman"/>
          <w:b/>
          <w:sz w:val="24"/>
          <w:szCs w:val="20"/>
        </w:rPr>
        <w:t xml:space="preserve">Source: </w:t>
      </w:r>
      <w:r w:rsidRPr="00B51E00">
        <w:rPr>
          <w:rFonts w:ascii="Arial" w:eastAsia="MS Mincho" w:hAnsi="Arial" w:cs="Times New Roman"/>
          <w:b/>
          <w:sz w:val="24"/>
          <w:szCs w:val="20"/>
        </w:rPr>
        <w:tab/>
      </w:r>
      <w:r w:rsidRPr="00B51E00">
        <w:rPr>
          <w:rFonts w:ascii="Arial" w:eastAsia="MS Mincho" w:hAnsi="Arial" w:cs="Times New Roman"/>
          <w:sz w:val="24"/>
          <w:szCs w:val="20"/>
          <w:lang w:eastAsia="ja-JP"/>
        </w:rPr>
        <w:t>Renesas Mobile Europe Ltd.</w:t>
      </w:r>
    </w:p>
    <w:p w:rsidR="00B51E00" w:rsidRPr="00B51E00" w:rsidRDefault="00B51E00" w:rsidP="00B51E00">
      <w:pPr>
        <w:tabs>
          <w:tab w:val="left" w:pos="1985"/>
        </w:tabs>
        <w:spacing w:after="180" w:line="240" w:lineRule="auto"/>
        <w:ind w:left="1980" w:hanging="1980"/>
        <w:rPr>
          <w:rFonts w:ascii="Arial" w:eastAsia="MS Mincho" w:hAnsi="Arial" w:cs="Times New Roman"/>
          <w:sz w:val="24"/>
          <w:szCs w:val="20"/>
        </w:rPr>
      </w:pPr>
      <w:r w:rsidRPr="00B51E00">
        <w:rPr>
          <w:rFonts w:ascii="Arial" w:eastAsia="MS Mincho" w:hAnsi="Arial" w:cs="Times New Roman"/>
          <w:b/>
          <w:sz w:val="24"/>
          <w:szCs w:val="20"/>
        </w:rPr>
        <w:t>Title:</w:t>
      </w:r>
      <w:r w:rsidRPr="00B51E00">
        <w:rPr>
          <w:rFonts w:ascii="Arial" w:eastAsia="MS Mincho" w:hAnsi="Arial" w:cs="Times New Roman"/>
          <w:sz w:val="24"/>
          <w:szCs w:val="20"/>
        </w:rPr>
        <w:t xml:space="preserve"> </w:t>
      </w:r>
      <w:r w:rsidRPr="00B51E00">
        <w:rPr>
          <w:rFonts w:ascii="Arial" w:eastAsia="MS Mincho" w:hAnsi="Arial" w:cs="Times New Roman"/>
          <w:sz w:val="24"/>
          <w:szCs w:val="20"/>
        </w:rPr>
        <w:tab/>
      </w:r>
      <w:r w:rsidR="001B4AE7">
        <w:rPr>
          <w:rFonts w:ascii="Arial" w:eastAsia="MS Mincho" w:hAnsi="Arial" w:cs="Times New Roman"/>
          <w:sz w:val="24"/>
          <w:szCs w:val="20"/>
        </w:rPr>
        <w:t xml:space="preserve">Lower part of B1 usage in Japan </w:t>
      </w:r>
      <w:r w:rsidRPr="00B51E00">
        <w:rPr>
          <w:rFonts w:ascii="Arial" w:eastAsia="MS Mincho" w:hAnsi="Arial" w:cs="Times New Roman"/>
          <w:sz w:val="24"/>
          <w:szCs w:val="20"/>
        </w:rPr>
        <w:t xml:space="preserve"> </w:t>
      </w:r>
    </w:p>
    <w:p w:rsidR="00B51E00" w:rsidRPr="00B51E00" w:rsidRDefault="00B51E00" w:rsidP="00B51E00">
      <w:pPr>
        <w:tabs>
          <w:tab w:val="left" w:pos="1985"/>
        </w:tabs>
        <w:spacing w:after="180" w:line="240" w:lineRule="auto"/>
        <w:ind w:left="1980" w:hanging="1980"/>
        <w:rPr>
          <w:rFonts w:ascii="Arial" w:eastAsia="MS Mincho" w:hAnsi="Arial" w:cs="Times New Roman"/>
          <w:sz w:val="24"/>
          <w:szCs w:val="20"/>
        </w:rPr>
      </w:pPr>
      <w:r w:rsidRPr="00B51E00">
        <w:rPr>
          <w:rFonts w:ascii="Arial" w:eastAsia="MS Mincho" w:hAnsi="Arial" w:cs="Times New Roman"/>
          <w:b/>
          <w:sz w:val="24"/>
          <w:szCs w:val="20"/>
        </w:rPr>
        <w:t>Document for:</w:t>
      </w:r>
      <w:r w:rsidR="00AE480D">
        <w:rPr>
          <w:rFonts w:ascii="Arial" w:eastAsia="MS Mincho" w:hAnsi="Arial" w:cs="Times New Roman"/>
          <w:sz w:val="24"/>
          <w:szCs w:val="20"/>
        </w:rPr>
        <w:tab/>
        <w:t>Approval</w:t>
      </w:r>
    </w:p>
    <w:p w:rsidR="00B51E00" w:rsidRPr="0094593E" w:rsidRDefault="00B51E00" w:rsidP="0094593E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MS Mincho" w:hAnsi="Arial" w:cs="Times New Roman"/>
          <w:sz w:val="36"/>
          <w:szCs w:val="20"/>
          <w:lang w:eastAsia="x-none"/>
        </w:rPr>
      </w:pPr>
      <w:r w:rsidRPr="0094593E">
        <w:rPr>
          <w:rFonts w:ascii="Arial" w:eastAsia="MS Mincho" w:hAnsi="Arial" w:cs="Times New Roman"/>
          <w:sz w:val="36"/>
          <w:szCs w:val="20"/>
          <w:lang w:eastAsia="x-none"/>
        </w:rPr>
        <w:t>Introduction</w:t>
      </w:r>
    </w:p>
    <w:p w:rsidR="00B51E00" w:rsidRDefault="00B51E00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  <w:r w:rsidRPr="00B51E00">
        <w:rPr>
          <w:rFonts w:ascii="Times New Roman" w:eastAsia="MS Mincho" w:hAnsi="Times New Roman" w:cs="Times New Roman"/>
          <w:sz w:val="20"/>
          <w:szCs w:val="20"/>
        </w:rPr>
        <w:t xml:space="preserve">The usage of lower part of B1 in Japan with 15MHz and 20MHz BW’s was discusses in RAN4#64 [1]. This paper provides more simulation result and </w:t>
      </w:r>
      <w:r w:rsidR="00F55CA3">
        <w:rPr>
          <w:rFonts w:ascii="Times New Roman" w:eastAsia="MS Mincho" w:hAnsi="Times New Roman" w:cs="Times New Roman"/>
          <w:sz w:val="20"/>
          <w:szCs w:val="20"/>
        </w:rPr>
        <w:t>sligh</w:t>
      </w:r>
      <w:r w:rsidR="00C019DF">
        <w:rPr>
          <w:rFonts w:ascii="Times New Roman" w:eastAsia="MS Mincho" w:hAnsi="Times New Roman" w:cs="Times New Roman"/>
          <w:sz w:val="20"/>
          <w:szCs w:val="20"/>
        </w:rPr>
        <w:t>t</w:t>
      </w:r>
      <w:r w:rsidR="00F55CA3">
        <w:rPr>
          <w:rFonts w:ascii="Times New Roman" w:eastAsia="MS Mincho" w:hAnsi="Times New Roman" w:cs="Times New Roman"/>
          <w:sz w:val="20"/>
          <w:szCs w:val="20"/>
        </w:rPr>
        <w:t xml:space="preserve"> modification into proposal in [1]</w:t>
      </w:r>
      <w:r w:rsidRPr="00B51E00">
        <w:rPr>
          <w:rFonts w:ascii="Times New Roman" w:eastAsia="MS Mincho" w:hAnsi="Times New Roman" w:cs="Times New Roman"/>
          <w:sz w:val="20"/>
          <w:szCs w:val="20"/>
        </w:rPr>
        <w:t>.</w:t>
      </w:r>
    </w:p>
    <w:p w:rsidR="0094593E" w:rsidRPr="001B4AE7" w:rsidRDefault="0094593E" w:rsidP="00B51E00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MS Mincho" w:hAnsi="Arial" w:cs="Times New Roman"/>
          <w:sz w:val="36"/>
          <w:szCs w:val="20"/>
          <w:lang w:eastAsia="x-none"/>
        </w:rPr>
      </w:pPr>
      <w:r w:rsidRPr="0094593E">
        <w:rPr>
          <w:rFonts w:ascii="Arial" w:eastAsia="MS Mincho" w:hAnsi="Arial" w:cs="Times New Roman"/>
          <w:sz w:val="36"/>
          <w:szCs w:val="20"/>
          <w:lang w:eastAsia="x-none"/>
        </w:rPr>
        <w:t>Introduction</w:t>
      </w:r>
    </w:p>
    <w:p w:rsidR="00B51E00" w:rsidRPr="00B51E00" w:rsidRDefault="0094593E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  <w:r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</w:t>
      </w:r>
      <w:r w:rsidR="00B51E00"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[1] </w:t>
      </w:r>
      <w:proofErr w:type="gramStart"/>
      <w:r w:rsidR="00B51E00"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>provided</w:t>
      </w:r>
      <w:proofErr w:type="gramEnd"/>
      <w:r w:rsidR="00B51E00"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the following formula and rules for the allowed UL RB configurations:</w:t>
      </w:r>
    </w:p>
    <w:p w:rsidR="00B51E00" w:rsidRPr="00B51E00" w:rsidRDefault="00B51E00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  <w:r w:rsidRPr="00B51E00">
        <w:rPr>
          <w:rFonts w:ascii="Times New Roman" w:eastAsia="MS Mincho" w:hAnsi="Times New Roman" w:cs="Times New Roman"/>
          <w:i/>
          <w:sz w:val="20"/>
          <w:szCs w:val="20"/>
          <w:lang w:eastAsia="x-none"/>
        </w:rPr>
        <w:t>GB</w:t>
      </w:r>
      <w:r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≥ 4 + </w:t>
      </w:r>
      <w:proofErr w:type="gramStart"/>
      <w:r w:rsidRPr="00B51E00">
        <w:rPr>
          <w:rFonts w:ascii="Times New Roman" w:eastAsia="MS Mincho" w:hAnsi="Times New Roman" w:cs="Times New Roman"/>
          <w:i/>
          <w:sz w:val="20"/>
          <w:szCs w:val="20"/>
          <w:lang w:eastAsia="x-none"/>
        </w:rPr>
        <w:t>N</w:t>
      </w:r>
      <w:r w:rsidRPr="00B51E00">
        <w:rPr>
          <w:rFonts w:ascii="Times New Roman" w:eastAsia="MS Mincho" w:hAnsi="Times New Roman" w:cs="Times New Roman"/>
          <w:sz w:val="20"/>
          <w:szCs w:val="20"/>
          <w:vertAlign w:val="subscript"/>
          <w:lang w:eastAsia="x-none"/>
        </w:rPr>
        <w:t>RB</w:t>
      </w:r>
      <w:r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>(</w:t>
      </w:r>
      <w:proofErr w:type="gramEnd"/>
      <w:r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0.18/0.9) + </w:t>
      </w:r>
      <w:r w:rsidRPr="00B51E00">
        <w:rPr>
          <w:rFonts w:ascii="Times New Roman" w:eastAsia="MS Mincho" w:hAnsi="Times New Roman" w:cs="Times New Roman"/>
          <w:i/>
          <w:sz w:val="20"/>
          <w:szCs w:val="20"/>
          <w:lang w:eastAsia="x-none"/>
        </w:rPr>
        <w:t>N</w:t>
      </w:r>
      <w:r w:rsidRPr="00B51E00">
        <w:rPr>
          <w:rFonts w:ascii="Times New Roman" w:eastAsia="MS Mincho" w:hAnsi="Times New Roman" w:cs="Times New Roman"/>
          <w:sz w:val="20"/>
          <w:szCs w:val="20"/>
          <w:vertAlign w:val="subscript"/>
          <w:lang w:eastAsia="x-none"/>
        </w:rPr>
        <w:t>RB</w:t>
      </w:r>
      <w:r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>(0.18/0.9)(0.05) = 4 + 0.21*</w:t>
      </w:r>
      <w:r w:rsidRPr="00B51E00">
        <w:rPr>
          <w:rFonts w:ascii="Times New Roman" w:eastAsia="MS Mincho" w:hAnsi="Times New Roman" w:cs="Times New Roman"/>
          <w:i/>
          <w:sz w:val="20"/>
          <w:szCs w:val="20"/>
          <w:lang w:eastAsia="x-none"/>
        </w:rPr>
        <w:t xml:space="preserve"> N</w:t>
      </w:r>
      <w:r w:rsidRPr="00B51E00">
        <w:rPr>
          <w:rFonts w:ascii="Times New Roman" w:eastAsia="MS Mincho" w:hAnsi="Times New Roman" w:cs="Times New Roman"/>
          <w:sz w:val="20"/>
          <w:szCs w:val="20"/>
          <w:vertAlign w:val="subscript"/>
          <w:lang w:eastAsia="x-none"/>
        </w:rPr>
        <w:t>RB</w:t>
      </w:r>
      <w:r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(MHz).</w:t>
      </w:r>
    </w:p>
    <w:p w:rsidR="00B51E00" w:rsidRPr="00B51E00" w:rsidRDefault="00B51E00" w:rsidP="00B51E00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x-none"/>
        </w:rPr>
      </w:pP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>Rule 1.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 The uplink transmission should start at an offset of at least 0.21*</w:t>
      </w:r>
      <w:r w:rsidRPr="00B51E00">
        <w:rPr>
          <w:rFonts w:ascii="Times New Roman" w:eastAsia="MS Mincho" w:hAnsi="Times New Roman" w:cs="Times New Roman"/>
          <w:i/>
          <w:sz w:val="20"/>
          <w:szCs w:val="20"/>
          <w:lang w:eastAsia="x-none"/>
        </w:rPr>
        <w:t xml:space="preserve"> </w:t>
      </w:r>
      <w:proofErr w:type="gramStart"/>
      <w:r w:rsidRPr="00B51E00">
        <w:rPr>
          <w:rFonts w:ascii="Times New Roman" w:eastAsia="MS Mincho" w:hAnsi="Times New Roman" w:cs="Times New Roman"/>
          <w:i/>
          <w:sz w:val="20"/>
          <w:szCs w:val="20"/>
          <w:lang w:eastAsia="x-none"/>
        </w:rPr>
        <w:t>N</w:t>
      </w:r>
      <w:r w:rsidRPr="00B51E00">
        <w:rPr>
          <w:rFonts w:ascii="Times New Roman" w:eastAsia="MS Mincho" w:hAnsi="Times New Roman" w:cs="Times New Roman"/>
          <w:sz w:val="20"/>
          <w:szCs w:val="20"/>
          <w:vertAlign w:val="subscript"/>
          <w:lang w:eastAsia="x-none"/>
        </w:rPr>
        <w:t>RB</w: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 +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4 MHz from the 1915.7 MHz upper boundary of PHS, where </w:t>
      </w:r>
      <w:r w:rsidRPr="00B51E00">
        <w:rPr>
          <w:rFonts w:ascii="Times New Roman" w:eastAsia="MS Mincho" w:hAnsi="Times New Roman" w:cs="Times New Roman"/>
          <w:i/>
          <w:sz w:val="20"/>
          <w:szCs w:val="20"/>
          <w:lang w:eastAsia="x-none"/>
        </w:rPr>
        <w:t>N</w:t>
      </w:r>
      <w:r w:rsidRPr="00B51E00">
        <w:rPr>
          <w:rFonts w:ascii="Times New Roman" w:eastAsia="MS Mincho" w:hAnsi="Times New Roman" w:cs="Times New Roman"/>
          <w:sz w:val="20"/>
          <w:szCs w:val="20"/>
          <w:vertAlign w:val="subscript"/>
          <w:lang w:eastAsia="x-none"/>
        </w:rPr>
        <w:t>RB</w: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is the transmission bandwidth described in figure 5.6-1 of TS36.101.</w:t>
      </w:r>
    </w:p>
    <w:p w:rsidR="00B51E00" w:rsidRPr="00B51E00" w:rsidRDefault="00B51E00" w:rsidP="00B51E00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x-none"/>
        </w:rPr>
      </w:pP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>Rule 2a.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 For the 15 MHz channel with carrier centered at 1932.5 MHz, uplink RB's should not be allocated to the outermost 7 RB's of the channel.</w:t>
      </w:r>
    </w:p>
    <w:p w:rsidR="00B51E00" w:rsidRPr="00B51E00" w:rsidRDefault="00B51E00" w:rsidP="00B51E00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x-none"/>
        </w:rPr>
      </w:pP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>Rule 2b.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 For the 20 MHz channel with carrier centered at 1930 MHz, uplink RB's should not be allocated to the outermost 24 RB's of the channel.</w:t>
      </w:r>
    </w:p>
    <w:p w:rsidR="00B51E00" w:rsidRPr="00B51E00" w:rsidRDefault="00B51E00" w:rsidP="00B51E00">
      <w:pPr>
        <w:keepNext/>
        <w:spacing w:before="120" w:after="120" w:line="240" w:lineRule="auto"/>
        <w:rPr>
          <w:rFonts w:ascii="Times New Roman" w:eastAsia="MS Mincho" w:hAnsi="Times New Roman" w:cs="Times New Roman"/>
          <w:b/>
          <w:sz w:val="20"/>
          <w:szCs w:val="20"/>
          <w:lang w:val="en-GB"/>
        </w:rPr>
      </w:pP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 xml:space="preserve">Table </w: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fldChar w:fldCharType="begin"/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instrText xml:space="preserve"> SEQ Table \* ARABIC </w:instrTex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fldChar w:fldCharType="separate"/>
      </w:r>
      <w:r w:rsidR="00462BD7">
        <w:rPr>
          <w:rFonts w:ascii="Times New Roman" w:eastAsia="MS Mincho" w:hAnsi="Times New Roman" w:cs="Times New Roman"/>
          <w:b/>
          <w:noProof/>
          <w:sz w:val="20"/>
          <w:szCs w:val="20"/>
          <w:lang w:val="en-GB"/>
        </w:rPr>
        <w:t>1</w: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fldChar w:fldCharType="end"/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>.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 xml:space="preserve">  Permitted uplink allocations for 15 MHz channel with carrier </w:t>
      </w:r>
      <w:proofErr w:type="spellStart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>centered</w:t>
      </w:r>
      <w:proofErr w:type="spellEnd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 xml:space="preserve"> at </w:t>
      </w: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 xml:space="preserve">1932.5  </w:t>
      </w:r>
      <w:proofErr w:type="spellStart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>MHz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>.</w:t>
      </w:r>
      <w:proofErr w:type="spellEnd"/>
    </w:p>
    <w:tbl>
      <w:tblPr>
        <w:tblW w:w="0" w:type="auto"/>
        <w:jc w:val="center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1506"/>
      </w:tblGrid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x-none"/>
              </w:rPr>
              <w:t>Start RB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x-none"/>
              </w:rPr>
              <w:t>L_CRB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7 - 8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32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9 - 13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36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14 - 18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40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19 - 23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45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24 - 28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40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29 - 32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36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33 - 36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32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37 - 38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39 - 41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27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42 - 43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25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44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24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45 - 48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49 - 50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18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51 - 52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16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53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15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54 - 56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12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57 - 58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59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9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lastRenderedPageBreak/>
              <w:t>60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8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61 - 62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6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63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5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64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4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65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66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67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1</w:t>
            </w:r>
          </w:p>
        </w:tc>
      </w:tr>
    </w:tbl>
    <w:p w:rsidR="00B51E00" w:rsidRPr="00B51E00" w:rsidRDefault="00B51E00" w:rsidP="00B51E00">
      <w:pPr>
        <w:keepNext/>
        <w:spacing w:before="120" w:after="120" w:line="240" w:lineRule="auto"/>
        <w:rPr>
          <w:rFonts w:ascii="Times New Roman" w:eastAsia="MS Mincho" w:hAnsi="Times New Roman" w:cs="Times New Roman"/>
          <w:b/>
          <w:sz w:val="20"/>
          <w:szCs w:val="20"/>
          <w:lang w:val="en-GB"/>
        </w:rPr>
      </w:pP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 xml:space="preserve">Table </w: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fldChar w:fldCharType="begin"/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instrText xml:space="preserve"> SEQ Table \* ARABIC </w:instrTex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fldChar w:fldCharType="separate"/>
      </w:r>
      <w:r w:rsidR="00462BD7">
        <w:rPr>
          <w:rFonts w:ascii="Times New Roman" w:eastAsia="MS Mincho" w:hAnsi="Times New Roman" w:cs="Times New Roman"/>
          <w:b/>
          <w:noProof/>
          <w:sz w:val="20"/>
          <w:szCs w:val="20"/>
          <w:lang w:val="en-GB"/>
        </w:rPr>
        <w:t>2</w: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fldChar w:fldCharType="end"/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>.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 xml:space="preserve">  Permitted uplink allocations for 20 MHz channel with carrier </w:t>
      </w:r>
      <w:proofErr w:type="spellStart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>centered</w:t>
      </w:r>
      <w:proofErr w:type="spellEnd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 xml:space="preserve"> at 1930 </w:t>
      </w:r>
      <w:proofErr w:type="spellStart"/>
      <w:r w:rsidRPr="00B51E00">
        <w:rPr>
          <w:rFonts w:ascii="Times New Roman" w:eastAsia="MS Mincho" w:hAnsi="Times New Roman" w:cs="Times New Roman"/>
          <w:b/>
          <w:sz w:val="20"/>
          <w:szCs w:val="20"/>
          <w:lang w:val="en-GB"/>
        </w:rPr>
        <w:t>MHz.</w:t>
      </w:r>
      <w:proofErr w:type="spellEnd"/>
    </w:p>
    <w:tbl>
      <w:tblPr>
        <w:tblW w:w="0" w:type="auto"/>
        <w:jc w:val="center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1506"/>
      </w:tblGrid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x-none"/>
              </w:rPr>
              <w:t>Start RB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x-none"/>
              </w:rPr>
              <w:t>L_CRB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24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25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25 - 27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27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28 - 30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31 - 34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32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35 - 40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36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41 - 44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32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45 - 46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47 - 49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27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50 - 51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25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52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24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53 - 56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57 - 58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18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59 - 60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16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61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15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62 - 64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12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65 - 66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10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67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9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68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8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69 - 70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6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71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5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72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4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73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3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74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≤ 2</w:t>
            </w:r>
          </w:p>
        </w:tc>
      </w:tr>
      <w:tr w:rsidR="00B51E00" w:rsidRPr="00B51E00" w:rsidTr="00E02C7A">
        <w:trPr>
          <w:jc w:val="center"/>
        </w:trPr>
        <w:tc>
          <w:tcPr>
            <w:tcW w:w="1734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75</w:t>
            </w:r>
          </w:p>
        </w:tc>
        <w:tc>
          <w:tcPr>
            <w:tcW w:w="1506" w:type="dxa"/>
            <w:shd w:val="clear" w:color="auto" w:fill="auto"/>
          </w:tcPr>
          <w:p w:rsidR="00B51E00" w:rsidRPr="00B51E00" w:rsidRDefault="00B51E00" w:rsidP="00B51E0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</w:pPr>
            <w:r w:rsidRPr="00B51E00">
              <w:rPr>
                <w:rFonts w:ascii="Times New Roman" w:eastAsia="MS Mincho" w:hAnsi="Times New Roman" w:cs="Times New Roman"/>
                <w:sz w:val="20"/>
                <w:szCs w:val="20"/>
                <w:lang w:eastAsia="x-none"/>
              </w:rPr>
              <w:t>1</w:t>
            </w:r>
          </w:p>
        </w:tc>
      </w:tr>
    </w:tbl>
    <w:p w:rsidR="00B51E00" w:rsidRPr="00B51E00" w:rsidRDefault="00B51E00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</w:p>
    <w:p w:rsidR="00B51E00" w:rsidRPr="0094593E" w:rsidRDefault="00B51E00" w:rsidP="0094593E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MS Mincho" w:hAnsi="Arial" w:cs="Times New Roman"/>
          <w:sz w:val="36"/>
          <w:szCs w:val="20"/>
          <w:lang w:eastAsia="x-none"/>
        </w:rPr>
      </w:pPr>
      <w:r w:rsidRPr="0094593E">
        <w:rPr>
          <w:rFonts w:ascii="Arial" w:eastAsia="MS Mincho" w:hAnsi="Arial" w:cs="Times New Roman"/>
          <w:sz w:val="36"/>
          <w:szCs w:val="20"/>
          <w:lang w:eastAsia="x-none"/>
        </w:rPr>
        <w:t>Discussion</w:t>
      </w:r>
    </w:p>
    <w:p w:rsidR="00416AF0" w:rsidRDefault="00416AF0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  <w:r>
        <w:rPr>
          <w:rFonts w:ascii="Times New Roman" w:eastAsia="MS Mincho" w:hAnsi="Times New Roman" w:cs="Times New Roman"/>
          <w:sz w:val="20"/>
          <w:szCs w:val="20"/>
          <w:lang w:eastAsia="x-none"/>
        </w:rPr>
        <w:t>In [1] companies had done quite a lot of work deriving formula and rules to restrict UL configurations to meet emission limits for the lower part of B1. Thus instead of</w:t>
      </w:r>
      <w:r w:rsidR="00C70B49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trying to</w:t>
      </w:r>
      <w:r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deriv</w:t>
      </w:r>
      <w:r w:rsidR="00C70B49">
        <w:rPr>
          <w:rFonts w:ascii="Times New Roman" w:eastAsia="MS Mincho" w:hAnsi="Times New Roman" w:cs="Times New Roman"/>
          <w:sz w:val="20"/>
          <w:szCs w:val="20"/>
          <w:lang w:eastAsia="x-none"/>
        </w:rPr>
        <w:t>e</w:t>
      </w:r>
      <w:r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</w:t>
      </w:r>
      <w:r w:rsidR="00C70B49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a </w:t>
      </w:r>
      <w:r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completely new formula from scratch we decided just to do simulations according [1] to see </w:t>
      </w:r>
      <w:r w:rsidR="005D26F1">
        <w:rPr>
          <w:rFonts w:ascii="Times New Roman" w:eastAsia="MS Mincho" w:hAnsi="Times New Roman" w:cs="Times New Roman"/>
          <w:sz w:val="20"/>
          <w:szCs w:val="20"/>
          <w:lang w:eastAsia="x-none"/>
        </w:rPr>
        <w:t>whether proposal w</w:t>
      </w:r>
      <w:r>
        <w:rPr>
          <w:rFonts w:ascii="Times New Roman" w:eastAsia="MS Mincho" w:hAnsi="Times New Roman" w:cs="Times New Roman"/>
          <w:sz w:val="20"/>
          <w:szCs w:val="20"/>
          <w:lang w:eastAsia="x-none"/>
        </w:rPr>
        <w:t>ould meet emission requirements a</w:t>
      </w:r>
      <w:r w:rsidR="00BF691B">
        <w:rPr>
          <w:rFonts w:ascii="Times New Roman" w:eastAsia="MS Mincho" w:hAnsi="Times New Roman" w:cs="Times New Roman"/>
          <w:sz w:val="20"/>
          <w:szCs w:val="20"/>
          <w:lang w:eastAsia="x-none"/>
        </w:rPr>
        <w:t>s</w:t>
      </w:r>
      <w:r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such.</w:t>
      </w:r>
    </w:p>
    <w:p w:rsidR="00B51E00" w:rsidRPr="00B51E00" w:rsidRDefault="00B51E00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  <w:r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We ran simulations </w:t>
      </w:r>
      <w:r w:rsidR="00F55CA3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against current NS_05. The most demanding case was 10MHz CC with </w:t>
      </w:r>
      <w:proofErr w:type="spellStart"/>
      <w:r w:rsidR="00F55CA3">
        <w:rPr>
          <w:rFonts w:ascii="Times New Roman" w:eastAsia="MS Mincho" w:hAnsi="Times New Roman" w:cs="Times New Roman"/>
          <w:sz w:val="20"/>
          <w:szCs w:val="20"/>
          <w:lang w:eastAsia="x-none"/>
        </w:rPr>
        <w:t>RB_start</w:t>
      </w:r>
      <w:proofErr w:type="spellEnd"/>
      <w:r w:rsidR="00F55CA3">
        <w:rPr>
          <w:rFonts w:ascii="Times New Roman" w:eastAsia="MS Mincho" w:hAnsi="Times New Roman" w:cs="Times New Roman"/>
          <w:sz w:val="20"/>
          <w:szCs w:val="20"/>
          <w:lang w:eastAsia="x-none"/>
        </w:rPr>
        <w:t>=0, L_CRB=4</w:t>
      </w:r>
      <w:r w:rsidR="00470928">
        <w:rPr>
          <w:rFonts w:ascii="Times New Roman" w:eastAsia="MS Mincho" w:hAnsi="Times New Roman" w:cs="Times New Roman"/>
          <w:sz w:val="20"/>
          <w:szCs w:val="20"/>
          <w:lang w:eastAsia="x-none"/>
        </w:rPr>
        <w:t>8</w:t>
      </w:r>
      <w:r w:rsidR="00F55CA3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, Fc=1934.7MHz (as close to PHS as allowed by NS_05). We used the margin we </w:t>
      </w:r>
      <w:r w:rsidR="00AE480D">
        <w:rPr>
          <w:rFonts w:ascii="Times New Roman" w:eastAsia="MS Mincho" w:hAnsi="Times New Roman" w:cs="Times New Roman"/>
          <w:sz w:val="20"/>
          <w:szCs w:val="20"/>
          <w:lang w:eastAsia="x-none"/>
        </w:rPr>
        <w:t>g</w:t>
      </w:r>
      <w:r w:rsidR="004226D1">
        <w:rPr>
          <w:rFonts w:ascii="Times New Roman" w:eastAsia="MS Mincho" w:hAnsi="Times New Roman" w:cs="Times New Roman"/>
          <w:sz w:val="20"/>
          <w:szCs w:val="20"/>
          <w:lang w:eastAsia="x-none"/>
        </w:rPr>
        <w:t>ot in</w:t>
      </w:r>
      <w:r w:rsidR="00AE480D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the most difficult 10MHz case simulation</w:t>
      </w:r>
      <w:r w:rsidR="004226D1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in</w:t>
      </w:r>
      <w:r w:rsidR="00F55CA3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15MHz and 20MHz CC simulations. </w:t>
      </w:r>
      <w:r w:rsidR="00CF07CD">
        <w:rPr>
          <w:rFonts w:ascii="Times New Roman" w:eastAsia="MS Mincho" w:hAnsi="Times New Roman" w:cs="Times New Roman"/>
          <w:sz w:val="20"/>
          <w:szCs w:val="20"/>
          <w:lang w:eastAsia="x-none"/>
        </w:rPr>
        <w:t>By doing this the requirements are</w:t>
      </w:r>
      <w:r w:rsidR="00A676EB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consistent for 10, 15 and 20MHz CC’s. </w:t>
      </w:r>
      <w:r w:rsidR="00A22206">
        <w:rPr>
          <w:rFonts w:ascii="Times New Roman" w:eastAsia="MS Mincho" w:hAnsi="Times New Roman" w:cs="Times New Roman"/>
          <w:sz w:val="20"/>
          <w:szCs w:val="20"/>
          <w:lang w:eastAsia="x-none"/>
        </w:rPr>
        <w:t>R</w:t>
      </w:r>
      <w:r w:rsidR="00494081">
        <w:rPr>
          <w:rFonts w:ascii="Times New Roman" w:eastAsia="MS Mincho" w:hAnsi="Times New Roman" w:cs="Times New Roman"/>
          <w:sz w:val="20"/>
          <w:szCs w:val="20"/>
          <w:lang w:eastAsia="x-none"/>
        </w:rPr>
        <w:t>elevant part of our simulation results are shown below.</w:t>
      </w:r>
      <w:r w:rsidRPr="00B51E00">
        <w:rPr>
          <w:rFonts w:ascii="Times New Roman" w:eastAsia="MS Mincho" w:hAnsi="Times New Roman" w:cs="Times New Roman"/>
          <w:sz w:val="20"/>
          <w:szCs w:val="20"/>
          <w:lang w:eastAsia="x-none"/>
        </w:rPr>
        <w:t xml:space="preserve"> </w:t>
      </w:r>
    </w:p>
    <w:p w:rsidR="008F40EC" w:rsidRDefault="008F40EC" w:rsidP="008F40EC">
      <w:pPr>
        <w:pStyle w:val="Caption"/>
        <w:keepNext/>
      </w:pPr>
      <w:r>
        <w:lastRenderedPageBreak/>
        <w:t xml:space="preserve">Table </w:t>
      </w:r>
      <w:fldSimple w:instr=" SEQ Table \* ARABIC ">
        <w:r w:rsidR="00462BD7">
          <w:rPr>
            <w:noProof/>
          </w:rPr>
          <w:t>3</w:t>
        </w:r>
      </w:fldSimple>
      <w:r>
        <w:t xml:space="preserve"> SEM margin</w:t>
      </w:r>
      <w:r w:rsidR="003E103F">
        <w:t xml:space="preserve"> [dB]</w:t>
      </w:r>
      <w:r>
        <w:t xml:space="preserve"> with 15MHz CC centered at 1932.5MHz</w:t>
      </w:r>
    </w:p>
    <w:p w:rsidR="00B51E00" w:rsidRDefault="0059453B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  <w:bookmarkStart w:id="0" w:name="_GoBack"/>
      <w:r w:rsidRPr="0059453B">
        <w:rPr>
          <w:noProof/>
        </w:rPr>
        <w:drawing>
          <wp:inline distT="0" distB="0" distL="0" distR="0">
            <wp:extent cx="3664585" cy="4210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58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F40EC" w:rsidRDefault="008F40EC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</w:p>
    <w:p w:rsidR="008F40EC" w:rsidRDefault="008F40EC" w:rsidP="008F40EC">
      <w:pPr>
        <w:pStyle w:val="Caption"/>
        <w:keepNext/>
      </w:pPr>
      <w:r>
        <w:lastRenderedPageBreak/>
        <w:t xml:space="preserve">Table </w:t>
      </w:r>
      <w:fldSimple w:instr=" SEQ Table \* ARABIC ">
        <w:r w:rsidR="00462BD7">
          <w:rPr>
            <w:noProof/>
          </w:rPr>
          <w:t>4</w:t>
        </w:r>
      </w:fldSimple>
      <w:r>
        <w:t xml:space="preserve"> SEM margin </w:t>
      </w:r>
      <w:r w:rsidR="003E103F">
        <w:t xml:space="preserve">[dB] </w:t>
      </w:r>
      <w:r>
        <w:t>with 20MHz Cc centered at 1930MHz</w:t>
      </w:r>
    </w:p>
    <w:p w:rsidR="008F40EC" w:rsidRDefault="00355619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  <w:r w:rsidRPr="00355619">
        <w:rPr>
          <w:noProof/>
        </w:rPr>
        <w:drawing>
          <wp:inline distT="0" distB="0" distL="0" distR="0">
            <wp:extent cx="3664585" cy="3609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58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C4F" w:rsidRPr="00B51E00" w:rsidRDefault="00DD1C4F" w:rsidP="00B51E00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x-none"/>
        </w:rPr>
      </w:pPr>
    </w:p>
    <w:p w:rsidR="00237F06" w:rsidRDefault="00A909AB">
      <w:pPr>
        <w:rPr>
          <w:rFonts w:ascii="Times New Roman" w:hAnsi="Times New Roman" w:cs="Times New Roman"/>
          <w:sz w:val="20"/>
          <w:szCs w:val="20"/>
        </w:rPr>
      </w:pPr>
      <w:r w:rsidRPr="00A909AB">
        <w:rPr>
          <w:rFonts w:ascii="Times New Roman" w:hAnsi="Times New Roman" w:cs="Times New Roman"/>
          <w:sz w:val="20"/>
          <w:szCs w:val="20"/>
        </w:rPr>
        <w:t xml:space="preserve">Looking at table 3 and table 4 we see that SEM margin becomes negative </w:t>
      </w:r>
      <w:r w:rsidR="007729A4">
        <w:rPr>
          <w:rFonts w:ascii="Times New Roman" w:hAnsi="Times New Roman" w:cs="Times New Roman"/>
          <w:sz w:val="20"/>
          <w:szCs w:val="20"/>
        </w:rPr>
        <w:t>with certain allocations. We feel</w:t>
      </w:r>
      <w:r w:rsidRPr="00A909AB">
        <w:rPr>
          <w:rFonts w:ascii="Times New Roman" w:hAnsi="Times New Roman" w:cs="Times New Roman"/>
          <w:sz w:val="20"/>
          <w:szCs w:val="20"/>
        </w:rPr>
        <w:t xml:space="preserve"> that the principle of modifying the notes inside NS_05 is beneficial because it allows the usage of lower part of B1 with large BW’s without imposing new requirements for existing devices and/or devices in development process.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729A4">
        <w:rPr>
          <w:rFonts w:ascii="Times New Roman" w:hAnsi="Times New Roman" w:cs="Times New Roman"/>
          <w:sz w:val="20"/>
          <w:szCs w:val="20"/>
        </w:rPr>
        <w:t>Thus our opinion is that a</w:t>
      </w:r>
      <w:r w:rsidR="00DF59D8">
        <w:rPr>
          <w:rFonts w:ascii="Times New Roman" w:hAnsi="Times New Roman" w:cs="Times New Roman"/>
          <w:sz w:val="20"/>
          <w:szCs w:val="20"/>
        </w:rPr>
        <w:t xml:space="preserve">dding new notes (Rules to </w:t>
      </w:r>
      <w:proofErr w:type="spellStart"/>
      <w:r w:rsidR="00DF59D8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DF59D8">
        <w:rPr>
          <w:rFonts w:ascii="Times New Roman" w:hAnsi="Times New Roman" w:cs="Times New Roman"/>
          <w:sz w:val="20"/>
          <w:szCs w:val="20"/>
        </w:rPr>
        <w:t xml:space="preserve"> scheduler) for NS_05 </w:t>
      </w:r>
      <w:r w:rsidR="007729A4">
        <w:rPr>
          <w:rFonts w:ascii="Times New Roman" w:hAnsi="Times New Roman" w:cs="Times New Roman"/>
          <w:sz w:val="20"/>
          <w:szCs w:val="20"/>
        </w:rPr>
        <w:t xml:space="preserve">is </w:t>
      </w:r>
      <w:r w:rsidR="00DF59D8">
        <w:rPr>
          <w:rFonts w:ascii="Times New Roman" w:hAnsi="Times New Roman" w:cs="Times New Roman"/>
          <w:sz w:val="20"/>
          <w:szCs w:val="20"/>
        </w:rPr>
        <w:t xml:space="preserve">viable. </w:t>
      </w:r>
      <w:r>
        <w:rPr>
          <w:rFonts w:ascii="Times New Roman" w:hAnsi="Times New Roman" w:cs="Times New Roman"/>
          <w:sz w:val="20"/>
          <w:szCs w:val="20"/>
        </w:rPr>
        <w:t>However, since we found that the SEM margin is sometimes negative accordi</w:t>
      </w:r>
      <w:r w:rsidR="00E02C7A">
        <w:rPr>
          <w:rFonts w:ascii="Times New Roman" w:hAnsi="Times New Roman" w:cs="Times New Roman"/>
          <w:sz w:val="20"/>
          <w:szCs w:val="20"/>
        </w:rPr>
        <w:t>ng to simulations, we propose one</w:t>
      </w:r>
      <w:r w:rsidR="003E103F">
        <w:rPr>
          <w:rFonts w:ascii="Times New Roman" w:hAnsi="Times New Roman" w:cs="Times New Roman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 xml:space="preserve">the new rules </w:t>
      </w:r>
      <w:r w:rsidR="00E02C7A">
        <w:rPr>
          <w:rFonts w:ascii="Times New Roman" w:hAnsi="Times New Roman" w:cs="Times New Roman"/>
          <w:sz w:val="20"/>
          <w:szCs w:val="20"/>
        </w:rPr>
        <w:t xml:space="preserve">for NS_05 </w:t>
      </w:r>
      <w:r>
        <w:rPr>
          <w:rFonts w:ascii="Times New Roman" w:hAnsi="Times New Roman" w:cs="Times New Roman"/>
          <w:sz w:val="20"/>
          <w:szCs w:val="20"/>
        </w:rPr>
        <w:t xml:space="preserve">to be slightly modified: </w:t>
      </w:r>
    </w:p>
    <w:p w:rsidR="00A909AB" w:rsidRPr="003E103F" w:rsidRDefault="00A909AB" w:rsidP="00A909AB">
      <w:pPr>
        <w:spacing w:after="180" w:line="240" w:lineRule="auto"/>
        <w:rPr>
          <w:rFonts w:ascii="Times New Roman" w:eastAsia="MS Mincho" w:hAnsi="Times New Roman" w:cs="Times New Roman"/>
          <w:color w:val="FF0000"/>
          <w:sz w:val="20"/>
          <w:szCs w:val="20"/>
          <w:lang w:eastAsia="x-none"/>
        </w:rPr>
      </w:pPr>
      <w:proofErr w:type="gramStart"/>
      <w:r w:rsidRPr="003E103F">
        <w:rPr>
          <w:rFonts w:ascii="Times New Roman" w:eastAsia="MS Mincho" w:hAnsi="Times New Roman" w:cs="Times New Roman"/>
          <w:i/>
          <w:color w:val="FF0000"/>
          <w:sz w:val="20"/>
          <w:szCs w:val="20"/>
          <w:lang w:eastAsia="x-none"/>
        </w:rPr>
        <w:t>GB</w:t>
      </w:r>
      <w:r w:rsidRPr="003E103F">
        <w:rPr>
          <w:rFonts w:ascii="Times New Roman" w:eastAsia="MS Mincho" w:hAnsi="Times New Roman" w:cs="Times New Roman"/>
          <w:color w:val="FF0000"/>
          <w:sz w:val="20"/>
          <w:szCs w:val="20"/>
          <w:lang w:eastAsia="x-none"/>
        </w:rPr>
        <w:t xml:space="preserve"> ≥ 4 + 0.23*</w:t>
      </w:r>
      <w:r w:rsidRPr="003E103F">
        <w:rPr>
          <w:rFonts w:ascii="Times New Roman" w:eastAsia="MS Mincho" w:hAnsi="Times New Roman" w:cs="Times New Roman"/>
          <w:i/>
          <w:color w:val="FF0000"/>
          <w:sz w:val="20"/>
          <w:szCs w:val="20"/>
          <w:lang w:eastAsia="x-none"/>
        </w:rPr>
        <w:t xml:space="preserve"> N</w:t>
      </w:r>
      <w:r w:rsidRPr="003E103F">
        <w:rPr>
          <w:rFonts w:ascii="Times New Roman" w:eastAsia="MS Mincho" w:hAnsi="Times New Roman" w:cs="Times New Roman"/>
          <w:color w:val="FF0000"/>
          <w:sz w:val="20"/>
          <w:szCs w:val="20"/>
          <w:vertAlign w:val="subscript"/>
          <w:lang w:eastAsia="x-none"/>
        </w:rPr>
        <w:t>RB</w:t>
      </w:r>
      <w:r w:rsidRPr="003E103F">
        <w:rPr>
          <w:rFonts w:ascii="Times New Roman" w:eastAsia="MS Mincho" w:hAnsi="Times New Roman" w:cs="Times New Roman"/>
          <w:color w:val="FF0000"/>
          <w:sz w:val="20"/>
          <w:szCs w:val="20"/>
          <w:lang w:eastAsia="x-none"/>
        </w:rPr>
        <w:t xml:space="preserve"> (MHz).</w:t>
      </w:r>
      <w:proofErr w:type="gramEnd"/>
    </w:p>
    <w:p w:rsidR="00A909AB" w:rsidRDefault="00A909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There is</w:t>
      </w:r>
      <w:r w:rsidR="003E103F">
        <w:rPr>
          <w:rFonts w:ascii="Times New Roman" w:hAnsi="Times New Roman" w:cs="Times New Roman"/>
          <w:sz w:val="20"/>
          <w:szCs w:val="20"/>
        </w:rPr>
        <w:t xml:space="preserve"> definitely</w:t>
      </w:r>
      <w:r>
        <w:rPr>
          <w:rFonts w:ascii="Times New Roman" w:hAnsi="Times New Roman" w:cs="Times New Roman"/>
          <w:sz w:val="20"/>
          <w:szCs w:val="20"/>
        </w:rPr>
        <w:t xml:space="preserve"> no </w:t>
      </w:r>
      <w:r w:rsidR="008E4C0C">
        <w:rPr>
          <w:rFonts w:ascii="Times New Roman" w:hAnsi="Times New Roman" w:cs="Times New Roman"/>
          <w:sz w:val="20"/>
          <w:szCs w:val="20"/>
        </w:rPr>
        <w:t>ext</w:t>
      </w:r>
      <w:r>
        <w:rPr>
          <w:rFonts w:ascii="Times New Roman" w:hAnsi="Times New Roman" w:cs="Times New Roman"/>
          <w:sz w:val="20"/>
          <w:szCs w:val="20"/>
        </w:rPr>
        <w:t>re</w:t>
      </w:r>
      <w:r w:rsidR="008E4C0C">
        <w:rPr>
          <w:rFonts w:ascii="Times New Roman" w:hAnsi="Times New Roman" w:cs="Times New Roman"/>
          <w:sz w:val="20"/>
          <w:szCs w:val="20"/>
        </w:rPr>
        <w:t>me</w:t>
      </w:r>
      <w:r>
        <w:rPr>
          <w:rFonts w:ascii="Times New Roman" w:hAnsi="Times New Roman" w:cs="Times New Roman"/>
          <w:sz w:val="20"/>
          <w:szCs w:val="20"/>
        </w:rPr>
        <w:t xml:space="preserve"> science behind this proposal; it is derived </w:t>
      </w:r>
      <w:r w:rsidR="00D277D8">
        <w:rPr>
          <w:rFonts w:ascii="Times New Roman" w:hAnsi="Times New Roman" w:cs="Times New Roman"/>
          <w:sz w:val="20"/>
          <w:szCs w:val="20"/>
        </w:rPr>
        <w:t xml:space="preserve">from earlier proposal [1] </w:t>
      </w:r>
      <w:r>
        <w:rPr>
          <w:rFonts w:ascii="Times New Roman" w:hAnsi="Times New Roman" w:cs="Times New Roman"/>
          <w:sz w:val="20"/>
          <w:szCs w:val="20"/>
        </w:rPr>
        <w:t xml:space="preserve">in fashion to </w:t>
      </w:r>
      <w:r w:rsidR="00C35BF8">
        <w:rPr>
          <w:rFonts w:ascii="Times New Roman" w:hAnsi="Times New Roman" w:cs="Times New Roman"/>
          <w:sz w:val="20"/>
          <w:szCs w:val="20"/>
        </w:rPr>
        <w:t xml:space="preserve">be able to verify emission requirements by simulations. </w:t>
      </w:r>
      <w:r w:rsidR="00EE49E8">
        <w:rPr>
          <w:rFonts w:ascii="Times New Roman" w:hAnsi="Times New Roman" w:cs="Times New Roman"/>
          <w:sz w:val="20"/>
          <w:szCs w:val="20"/>
        </w:rPr>
        <w:t xml:space="preserve">We see that some of the allocations would be unnecessarily reduced (like </w:t>
      </w:r>
      <w:r w:rsidR="005222EA">
        <w:rPr>
          <w:rFonts w:ascii="Times New Roman" w:hAnsi="Times New Roman" w:cs="Times New Roman"/>
          <w:sz w:val="20"/>
          <w:szCs w:val="20"/>
        </w:rPr>
        <w:t xml:space="preserve">15MHz </w:t>
      </w:r>
      <w:proofErr w:type="spellStart"/>
      <w:r w:rsidR="00EE49E8">
        <w:rPr>
          <w:rFonts w:ascii="Times New Roman" w:hAnsi="Times New Roman" w:cs="Times New Roman"/>
          <w:sz w:val="20"/>
          <w:szCs w:val="20"/>
        </w:rPr>
        <w:t>RB_start</w:t>
      </w:r>
      <w:proofErr w:type="spellEnd"/>
      <w:r w:rsidR="00EE49E8">
        <w:rPr>
          <w:rFonts w:ascii="Times New Roman" w:hAnsi="Times New Roman" w:cs="Times New Roman"/>
          <w:sz w:val="20"/>
          <w:szCs w:val="20"/>
        </w:rPr>
        <w:t>=7, L_CRB=32 =&gt; 30), but on the other hand f</w:t>
      </w:r>
      <w:r w:rsidR="00D277D8">
        <w:rPr>
          <w:rFonts w:ascii="Times New Roman" w:hAnsi="Times New Roman" w:cs="Times New Roman"/>
          <w:sz w:val="20"/>
          <w:szCs w:val="20"/>
        </w:rPr>
        <w:t>inding a formula that would</w:t>
      </w:r>
      <w:r w:rsidR="00EE49E8">
        <w:rPr>
          <w:rFonts w:ascii="Times New Roman" w:hAnsi="Times New Roman" w:cs="Times New Roman"/>
          <w:sz w:val="20"/>
          <w:szCs w:val="20"/>
        </w:rPr>
        <w:t xml:space="preserve"> reduce allocation sizes </w:t>
      </w:r>
      <w:r w:rsidR="00D277D8">
        <w:rPr>
          <w:rFonts w:ascii="Times New Roman" w:hAnsi="Times New Roman" w:cs="Times New Roman"/>
          <w:sz w:val="20"/>
          <w:szCs w:val="20"/>
        </w:rPr>
        <w:t xml:space="preserve">only </w:t>
      </w:r>
      <w:r w:rsidR="00EE49E8">
        <w:rPr>
          <w:rFonts w:ascii="Times New Roman" w:hAnsi="Times New Roman" w:cs="Times New Roman"/>
          <w:sz w:val="20"/>
          <w:szCs w:val="20"/>
        </w:rPr>
        <w:t xml:space="preserve">where negative margin exist may be very difficult. </w:t>
      </w:r>
      <w:r w:rsidR="005222EA">
        <w:rPr>
          <w:rFonts w:ascii="Times New Roman" w:hAnsi="Times New Roman" w:cs="Times New Roman"/>
          <w:sz w:val="20"/>
          <w:szCs w:val="20"/>
        </w:rPr>
        <w:t xml:space="preserve">Making different formulas for 15MHz and 20MHz might have resulted slightly better results (=larger allocations) </w:t>
      </w:r>
      <w:r w:rsidR="00F54387">
        <w:rPr>
          <w:rFonts w:ascii="Times New Roman" w:hAnsi="Times New Roman" w:cs="Times New Roman"/>
          <w:sz w:val="20"/>
          <w:szCs w:val="20"/>
        </w:rPr>
        <w:t xml:space="preserve">especially for the 20MHz CC </w:t>
      </w:r>
      <w:r w:rsidR="005222EA">
        <w:rPr>
          <w:rFonts w:ascii="Times New Roman" w:hAnsi="Times New Roman" w:cs="Times New Roman"/>
          <w:sz w:val="20"/>
          <w:szCs w:val="20"/>
        </w:rPr>
        <w:t xml:space="preserve">but because the difference would not have been big we decided not to introduce different formulas. </w:t>
      </w:r>
      <w:r w:rsidR="00C35BF8">
        <w:rPr>
          <w:rFonts w:ascii="Times New Roman" w:hAnsi="Times New Roman" w:cs="Times New Roman"/>
          <w:sz w:val="20"/>
          <w:szCs w:val="20"/>
        </w:rPr>
        <w:t xml:space="preserve">We are open to better proposals. </w:t>
      </w:r>
    </w:p>
    <w:p w:rsidR="00A909AB" w:rsidRDefault="00A909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According to our proposed formula, the permitted allocations tables would look the following:</w:t>
      </w:r>
    </w:p>
    <w:p w:rsidR="00A909AB" w:rsidRDefault="00F54387">
      <w:pPr>
        <w:rPr>
          <w:rFonts w:ascii="Times New Roman" w:hAnsi="Times New Roman" w:cs="Times New Roman"/>
          <w:sz w:val="20"/>
          <w:szCs w:val="20"/>
        </w:rPr>
      </w:pPr>
      <w:r w:rsidRPr="00F54387">
        <w:rPr>
          <w:noProof/>
        </w:rPr>
        <w:lastRenderedPageBreak/>
        <w:drawing>
          <wp:inline distT="0" distB="0" distL="0" distR="0">
            <wp:extent cx="3056890" cy="5397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539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9D8" w:rsidRDefault="00DF59D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also simulated PUCCH overprovisioning. Our conclusion </w:t>
      </w:r>
      <w:r w:rsidR="00C76CAC">
        <w:rPr>
          <w:rFonts w:ascii="Times New Roman" w:hAnsi="Times New Roman" w:cs="Times New Roman"/>
          <w:sz w:val="20"/>
          <w:szCs w:val="20"/>
        </w:rPr>
        <w:t xml:space="preserve">fully </w:t>
      </w:r>
      <w:r>
        <w:rPr>
          <w:rFonts w:ascii="Times New Roman" w:hAnsi="Times New Roman" w:cs="Times New Roman"/>
          <w:sz w:val="20"/>
          <w:szCs w:val="20"/>
        </w:rPr>
        <w:t xml:space="preserve">complies with [1] rules 2a and 2b. </w:t>
      </w:r>
    </w:p>
    <w:p w:rsidR="00DF59D8" w:rsidRDefault="00DF59D8">
      <w:pPr>
        <w:rPr>
          <w:rFonts w:ascii="Times New Roman" w:hAnsi="Times New Roman" w:cs="Times New Roman"/>
          <w:sz w:val="20"/>
          <w:szCs w:val="20"/>
        </w:rPr>
      </w:pPr>
    </w:p>
    <w:p w:rsidR="0094593E" w:rsidRPr="0094593E" w:rsidRDefault="0094593E" w:rsidP="0094593E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jc w:val="both"/>
        <w:outlineLvl w:val="0"/>
        <w:rPr>
          <w:rFonts w:ascii="Arial" w:eastAsia="MS Mincho" w:hAnsi="Arial" w:cs="Times New Roman"/>
          <w:sz w:val="36"/>
          <w:szCs w:val="20"/>
          <w:lang w:eastAsia="x-none"/>
        </w:rPr>
      </w:pPr>
      <w:r w:rsidRPr="0094593E">
        <w:rPr>
          <w:rFonts w:ascii="Arial" w:eastAsia="MS Mincho" w:hAnsi="Arial" w:cs="Times New Roman"/>
          <w:sz w:val="36"/>
          <w:szCs w:val="20"/>
          <w:lang w:eastAsia="x-none"/>
        </w:rPr>
        <w:t>Conclusions</w:t>
      </w:r>
    </w:p>
    <w:p w:rsidR="0094593E" w:rsidRDefault="0094593E">
      <w:pPr>
        <w:rPr>
          <w:rFonts w:ascii="Times New Roman" w:eastAsia="MS Mincho" w:hAnsi="Times New Roman" w:cs="Times New Roman"/>
          <w:sz w:val="20"/>
          <w:szCs w:val="20"/>
          <w:lang w:eastAsia="x-none"/>
        </w:rPr>
      </w:pPr>
      <w:r>
        <w:rPr>
          <w:rFonts w:ascii="Times New Roman" w:eastAsia="MS Mincho" w:hAnsi="Times New Roman" w:cs="Times New Roman"/>
          <w:sz w:val="20"/>
          <w:szCs w:val="20"/>
          <w:lang w:eastAsia="x-none"/>
        </w:rPr>
        <w:t>Usage of lower part of B1 was studies. Based on the simulations, we propose slight modification to earlier proposed rule.</w:t>
      </w:r>
    </w:p>
    <w:p w:rsidR="0094593E" w:rsidRPr="00B51E00" w:rsidRDefault="0094593E" w:rsidP="0094593E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x-none"/>
        </w:rPr>
      </w:pP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>Rule 1.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 The uplink transmission should sta</w:t>
      </w:r>
      <w:r w:rsidR="00ED1341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rt at an offset of at </w:t>
      </w:r>
      <w:r w:rsidR="00ED1341" w:rsidRPr="00ED1341">
        <w:rPr>
          <w:rFonts w:ascii="Times New Roman" w:eastAsia="MS Mincho" w:hAnsi="Times New Roman" w:cs="Times New Roman"/>
          <w:b/>
          <w:color w:val="FF0000"/>
          <w:sz w:val="20"/>
          <w:szCs w:val="20"/>
          <w:lang w:eastAsia="x-none"/>
        </w:rPr>
        <w:t>least 0.23</w:t>
      </w:r>
      <w:r w:rsidRPr="00ED1341">
        <w:rPr>
          <w:rFonts w:ascii="Times New Roman" w:eastAsia="MS Mincho" w:hAnsi="Times New Roman" w:cs="Times New Roman"/>
          <w:b/>
          <w:color w:val="FF0000"/>
          <w:sz w:val="20"/>
          <w:szCs w:val="20"/>
          <w:lang w:eastAsia="x-none"/>
        </w:rPr>
        <w:t>*</w:t>
      </w:r>
      <w:r w:rsidRPr="00ED1341">
        <w:rPr>
          <w:rFonts w:ascii="Times New Roman" w:eastAsia="MS Mincho" w:hAnsi="Times New Roman" w:cs="Times New Roman"/>
          <w:i/>
          <w:color w:val="FF0000"/>
          <w:sz w:val="20"/>
          <w:szCs w:val="20"/>
          <w:lang w:eastAsia="x-none"/>
        </w:rPr>
        <w:t xml:space="preserve"> </w:t>
      </w:r>
      <w:proofErr w:type="gramStart"/>
      <w:r w:rsidRPr="00ED1341">
        <w:rPr>
          <w:rFonts w:ascii="Times New Roman" w:eastAsia="MS Mincho" w:hAnsi="Times New Roman" w:cs="Times New Roman"/>
          <w:i/>
          <w:color w:val="FF0000"/>
          <w:sz w:val="20"/>
          <w:szCs w:val="20"/>
          <w:lang w:eastAsia="x-none"/>
        </w:rPr>
        <w:t>N</w:t>
      </w:r>
      <w:r w:rsidRPr="00ED1341">
        <w:rPr>
          <w:rFonts w:ascii="Times New Roman" w:eastAsia="MS Mincho" w:hAnsi="Times New Roman" w:cs="Times New Roman"/>
          <w:color w:val="FF0000"/>
          <w:sz w:val="20"/>
          <w:szCs w:val="20"/>
          <w:vertAlign w:val="subscript"/>
          <w:lang w:eastAsia="x-none"/>
        </w:rPr>
        <w:t>RB</w:t>
      </w:r>
      <w:r w:rsidRPr="00ED1341">
        <w:rPr>
          <w:rFonts w:ascii="Times New Roman" w:eastAsia="MS Mincho" w:hAnsi="Times New Roman" w:cs="Times New Roman"/>
          <w:b/>
          <w:color w:val="FF0000"/>
          <w:sz w:val="20"/>
          <w:szCs w:val="20"/>
          <w:lang w:eastAsia="x-none"/>
        </w:rPr>
        <w:t xml:space="preserve">  </w:t>
      </w:r>
      <w:r w:rsidRPr="00F54387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>+</w:t>
      </w:r>
      <w:proofErr w:type="gramEnd"/>
      <w:r w:rsidRPr="00F54387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4 MHz </w: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from the 1915.7 MHz upper boundary of PHS, where </w:t>
      </w:r>
      <w:r w:rsidRPr="00B51E00">
        <w:rPr>
          <w:rFonts w:ascii="Times New Roman" w:eastAsia="MS Mincho" w:hAnsi="Times New Roman" w:cs="Times New Roman"/>
          <w:i/>
          <w:sz w:val="20"/>
          <w:szCs w:val="20"/>
          <w:lang w:eastAsia="x-none"/>
        </w:rPr>
        <w:t>N</w:t>
      </w:r>
      <w:r w:rsidRPr="00B51E00">
        <w:rPr>
          <w:rFonts w:ascii="Times New Roman" w:eastAsia="MS Mincho" w:hAnsi="Times New Roman" w:cs="Times New Roman"/>
          <w:sz w:val="20"/>
          <w:szCs w:val="20"/>
          <w:vertAlign w:val="subscript"/>
          <w:lang w:eastAsia="x-none"/>
        </w:rPr>
        <w:t>RB</w:t>
      </w:r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is the transmission bandwidth described in figure 5.6-1 of TS36.101.</w:t>
      </w:r>
    </w:p>
    <w:p w:rsidR="0094593E" w:rsidRPr="00B51E00" w:rsidRDefault="0094593E" w:rsidP="0094593E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x-none"/>
        </w:rPr>
      </w:pP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>Rule 2a.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 For the 15 MHz channel with carrier centered at 1932.5 MHz, uplink RB's should not be allocated to the outermost 7 RB's of the channel.</w:t>
      </w:r>
      <w:r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(NO CHANGES PROPOSED)</w:t>
      </w:r>
    </w:p>
    <w:p w:rsidR="0094593E" w:rsidRPr="00B51E00" w:rsidRDefault="0094593E" w:rsidP="0094593E">
      <w:pPr>
        <w:spacing w:after="180" w:line="240" w:lineRule="auto"/>
        <w:rPr>
          <w:rFonts w:ascii="Times New Roman" w:eastAsia="MS Mincho" w:hAnsi="Times New Roman" w:cs="Times New Roman"/>
          <w:b/>
          <w:sz w:val="20"/>
          <w:szCs w:val="20"/>
          <w:lang w:eastAsia="x-none"/>
        </w:rPr>
      </w:pPr>
      <w:proofErr w:type="gramStart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>Rule 2b.</w:t>
      </w:r>
      <w:proofErr w:type="gramEnd"/>
      <w:r w:rsidRPr="00B51E00"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 For the 20 MHz channel with carrier centered at 1930 MHz, uplink RB's should not be allocated to the outermost 24 RB's of the channel.</w:t>
      </w:r>
      <w:r>
        <w:rPr>
          <w:rFonts w:ascii="Times New Roman" w:eastAsia="MS Mincho" w:hAnsi="Times New Roman" w:cs="Times New Roman"/>
          <w:b/>
          <w:sz w:val="20"/>
          <w:szCs w:val="20"/>
          <w:lang w:eastAsia="x-none"/>
        </w:rPr>
        <w:t xml:space="preserve"> (NO CHANGES PROPOSED)</w:t>
      </w:r>
    </w:p>
    <w:p w:rsidR="0094593E" w:rsidRDefault="00416AF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There will be probably several contributions for this topic in Ran4#64-bis. We hope </w:t>
      </w:r>
      <w:r w:rsidR="00AE480D">
        <w:rPr>
          <w:rFonts w:ascii="Times New Roman" w:hAnsi="Times New Roman" w:cs="Times New Roman"/>
          <w:sz w:val="20"/>
          <w:szCs w:val="20"/>
        </w:rPr>
        <w:t xml:space="preserve">RAN4 can achieve agreement during RAN4#64-bis </w:t>
      </w:r>
      <w:r>
        <w:rPr>
          <w:rFonts w:ascii="Times New Roman" w:hAnsi="Times New Roman" w:cs="Times New Roman"/>
          <w:sz w:val="20"/>
          <w:szCs w:val="20"/>
        </w:rPr>
        <w:t>targeting CR approval in RAN4#65.</w:t>
      </w:r>
    </w:p>
    <w:p w:rsidR="007F0342" w:rsidRPr="0094593E" w:rsidRDefault="007F0342" w:rsidP="007F0342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jc w:val="both"/>
        <w:outlineLvl w:val="0"/>
        <w:rPr>
          <w:rFonts w:ascii="Arial" w:eastAsia="MS Mincho" w:hAnsi="Arial" w:cs="Times New Roman"/>
          <w:sz w:val="36"/>
          <w:szCs w:val="20"/>
          <w:lang w:eastAsia="x-none"/>
        </w:rPr>
      </w:pPr>
      <w:r>
        <w:rPr>
          <w:rFonts w:ascii="Arial" w:eastAsia="MS Mincho" w:hAnsi="Arial" w:cs="Times New Roman"/>
          <w:sz w:val="36"/>
          <w:szCs w:val="20"/>
          <w:lang w:eastAsia="x-none"/>
        </w:rPr>
        <w:t>References</w:t>
      </w:r>
    </w:p>
    <w:p w:rsidR="0094593E" w:rsidRPr="007F0342" w:rsidRDefault="007F0342" w:rsidP="00D277D8">
      <w:pPr>
        <w:pStyle w:val="NoSpacing"/>
      </w:pPr>
      <w:r w:rsidRPr="007F0342">
        <w:t>[1] R4-124063 “Lower Band 1 protection of PHS in Japan”, KDDI, Qualcomm</w:t>
      </w:r>
      <w:r>
        <w:t xml:space="preserve"> Incorporated, Qing</w:t>
      </w:r>
      <w:r w:rsidRPr="007F0342">
        <w:t>dao, China</w:t>
      </w:r>
    </w:p>
    <w:sectPr w:rsidR="0094593E" w:rsidRPr="007F03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47A01"/>
    <w:multiLevelType w:val="hybridMultilevel"/>
    <w:tmpl w:val="DE18C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D7C78"/>
    <w:multiLevelType w:val="hybridMultilevel"/>
    <w:tmpl w:val="72A6B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565FA"/>
    <w:multiLevelType w:val="hybridMultilevel"/>
    <w:tmpl w:val="9A5089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00"/>
    <w:rsid w:val="001B4AE7"/>
    <w:rsid w:val="001E0C33"/>
    <w:rsid w:val="00237F06"/>
    <w:rsid w:val="00294F2C"/>
    <w:rsid w:val="00355619"/>
    <w:rsid w:val="003E103F"/>
    <w:rsid w:val="003F64E2"/>
    <w:rsid w:val="00416AF0"/>
    <w:rsid w:val="004226D1"/>
    <w:rsid w:val="00462BD7"/>
    <w:rsid w:val="00470928"/>
    <w:rsid w:val="00494081"/>
    <w:rsid w:val="005222EA"/>
    <w:rsid w:val="0059453B"/>
    <w:rsid w:val="005D26F1"/>
    <w:rsid w:val="0066163F"/>
    <w:rsid w:val="007729A4"/>
    <w:rsid w:val="007F0342"/>
    <w:rsid w:val="00840C24"/>
    <w:rsid w:val="008E4C0C"/>
    <w:rsid w:val="008F40EC"/>
    <w:rsid w:val="0094593E"/>
    <w:rsid w:val="009A7D26"/>
    <w:rsid w:val="00A22206"/>
    <w:rsid w:val="00A676EB"/>
    <w:rsid w:val="00A909AB"/>
    <w:rsid w:val="00AE480D"/>
    <w:rsid w:val="00B51E00"/>
    <w:rsid w:val="00B55852"/>
    <w:rsid w:val="00BF691B"/>
    <w:rsid w:val="00C019DF"/>
    <w:rsid w:val="00C35BF8"/>
    <w:rsid w:val="00C47917"/>
    <w:rsid w:val="00C70B49"/>
    <w:rsid w:val="00C76CAC"/>
    <w:rsid w:val="00CF07CD"/>
    <w:rsid w:val="00D277D8"/>
    <w:rsid w:val="00D5271B"/>
    <w:rsid w:val="00D5309D"/>
    <w:rsid w:val="00D530C7"/>
    <w:rsid w:val="00DC6A62"/>
    <w:rsid w:val="00DD1C4F"/>
    <w:rsid w:val="00DF59D8"/>
    <w:rsid w:val="00E02C7A"/>
    <w:rsid w:val="00ED1341"/>
    <w:rsid w:val="00EE49E8"/>
    <w:rsid w:val="00F54387"/>
    <w:rsid w:val="00F5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1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E0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40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8F4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93E"/>
    <w:pPr>
      <w:ind w:left="720"/>
      <w:contextualSpacing/>
    </w:pPr>
  </w:style>
  <w:style w:type="paragraph" w:styleId="NoSpacing">
    <w:name w:val="No Spacing"/>
    <w:uiPriority w:val="1"/>
    <w:qFormat/>
    <w:rsid w:val="00D277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1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E0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40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8F4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93E"/>
    <w:pPr>
      <w:ind w:left="720"/>
      <w:contextualSpacing/>
    </w:pPr>
  </w:style>
  <w:style w:type="paragraph" w:styleId="NoSpacing">
    <w:name w:val="No Spacing"/>
    <w:uiPriority w:val="1"/>
    <w:qFormat/>
    <w:rsid w:val="00D277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Renesas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Antti Immonen</dc:creator>
  <cp:lastModifiedBy>Antti Immonen</cp:lastModifiedBy>
  <cp:revision>5</cp:revision>
  <cp:lastPrinted>2012-09-24T07:55:00Z</cp:lastPrinted>
  <dcterms:created xsi:type="dcterms:W3CDTF">2012-10-01T09:04:00Z</dcterms:created>
  <dcterms:modified xsi:type="dcterms:W3CDTF">2012-10-01T09:07:00Z</dcterms:modified>
</cp:coreProperties>
</file>