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r>
        <w:rPr>
          <w:bCs/>
          <w:color w:val="000000"/>
          <w:sz w:val="28"/>
          <w:szCs w:val="28"/>
        </w:rPr>
        <w:t>3GPP TSG RAN WG4 Meeting #62</w:t>
      </w:r>
      <w:r w:rsidR="00794974">
        <w:rPr>
          <w:bCs/>
          <w:color w:val="000000"/>
          <w:sz w:val="28"/>
          <w:szCs w:val="28"/>
        </w:rPr>
        <w:t>bis</w:t>
      </w:r>
      <w:r w:rsidR="004D1E8C"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R4</w:t>
      </w:r>
      <w:r w:rsidR="00C53197">
        <w:rPr>
          <w:bCs/>
          <w:color w:val="000000"/>
          <w:sz w:val="28"/>
          <w:szCs w:val="28"/>
        </w:rPr>
        <w:t>-</w:t>
      </w:r>
      <w:r>
        <w:rPr>
          <w:bCs/>
          <w:color w:val="000000"/>
          <w:sz w:val="28"/>
          <w:szCs w:val="28"/>
        </w:rPr>
        <w:t>12</w:t>
      </w:r>
      <w:r w:rsidR="00794974">
        <w:rPr>
          <w:bCs/>
          <w:color w:val="000000"/>
          <w:sz w:val="28"/>
          <w:szCs w:val="28"/>
        </w:rPr>
        <w:t>1984</w:t>
      </w:r>
    </w:p>
    <w:p w:rsidR="009E154B" w:rsidRDefault="00794974" w:rsidP="009E154B">
      <w:pPr>
        <w:pStyle w:val="Header"/>
        <w:rPr>
          <w:bCs/>
          <w:color w:val="000000"/>
          <w:sz w:val="28"/>
          <w:szCs w:val="28"/>
          <w:lang w:val="en-US"/>
        </w:rPr>
      </w:pPr>
      <w:r>
        <w:rPr>
          <w:bCs/>
          <w:color w:val="000000"/>
          <w:sz w:val="28"/>
          <w:szCs w:val="28"/>
          <w:lang w:val="en-US"/>
        </w:rPr>
        <w:t>Jeju, South Korea</w:t>
      </w:r>
    </w:p>
    <w:p w:rsidR="009E154B" w:rsidRPr="009E154B" w:rsidRDefault="009E154B" w:rsidP="009E154B">
      <w:pPr>
        <w:pStyle w:val="Header"/>
        <w:rPr>
          <w:bCs/>
          <w:color w:val="000000"/>
          <w:sz w:val="28"/>
          <w:szCs w:val="28"/>
        </w:rPr>
      </w:pPr>
      <w:r w:rsidRPr="009E154B">
        <w:rPr>
          <w:bCs/>
          <w:color w:val="000000"/>
          <w:sz w:val="28"/>
          <w:szCs w:val="28"/>
        </w:rPr>
        <w:t>March 26</w:t>
      </w:r>
      <w:r w:rsidRPr="009E154B">
        <w:rPr>
          <w:bCs/>
          <w:color w:val="000000"/>
          <w:sz w:val="28"/>
          <w:szCs w:val="28"/>
          <w:vertAlign w:val="superscript"/>
        </w:rPr>
        <w:t xml:space="preserve">th </w:t>
      </w:r>
      <w:r w:rsidRPr="009E154B">
        <w:rPr>
          <w:bCs/>
          <w:color w:val="000000"/>
          <w:sz w:val="28"/>
          <w:szCs w:val="28"/>
        </w:rPr>
        <w:t>– 30</w:t>
      </w:r>
      <w:r w:rsidRPr="009E154B">
        <w:rPr>
          <w:bCs/>
          <w:color w:val="000000"/>
          <w:sz w:val="28"/>
          <w:szCs w:val="28"/>
          <w:vertAlign w:val="superscript"/>
        </w:rPr>
        <w:t>th</w:t>
      </w:r>
      <w:r w:rsidRPr="009E154B">
        <w:rPr>
          <w:bCs/>
          <w:color w:val="000000"/>
          <w:sz w:val="28"/>
          <w:szCs w:val="28"/>
        </w:rPr>
        <w:t>, 2012</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Pr="00F7130D">
        <w:rPr>
          <w:rFonts w:ascii="Arial" w:hAnsi="Arial" w:cs="Arial" w:hint="eastAsia"/>
          <w:b/>
          <w:szCs w:val="24"/>
        </w:rPr>
        <w:t>6.</w:t>
      </w:r>
      <w:r w:rsidR="006D0B00">
        <w:rPr>
          <w:rFonts w:ascii="Arial" w:hAnsi="Arial" w:cs="Arial"/>
          <w:b/>
          <w:szCs w:val="24"/>
        </w:rPr>
        <w:t>10.1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3D1980" w:rsidRDefault="004D1E8C" w:rsidP="004D1E8C">
      <w:pPr>
        <w:pStyle w:val="Header"/>
        <w:ind w:left="1800" w:hanging="1800"/>
        <w:rPr>
          <w:rFonts w:eastAsia="MS Gothic"/>
          <w:noProof w:val="0"/>
          <w:color w:val="000000"/>
          <w:sz w:val="24"/>
        </w:rPr>
      </w:pPr>
      <w:r w:rsidRPr="003D1980">
        <w:rPr>
          <w:rFonts w:eastAsia="MS Gothic"/>
          <w:noProof w:val="0"/>
          <w:color w:val="000000"/>
          <w:sz w:val="24"/>
        </w:rPr>
        <w:t>Title:</w:t>
      </w:r>
      <w:r w:rsidRPr="003D1980">
        <w:rPr>
          <w:rFonts w:eastAsia="MS Gothic"/>
          <w:noProof w:val="0"/>
          <w:color w:val="000000"/>
          <w:sz w:val="24"/>
        </w:rPr>
        <w:tab/>
      </w:r>
      <w:r w:rsidR="009E154B" w:rsidRPr="009E154B">
        <w:rPr>
          <w:rFonts w:eastAsia="MS Gothic"/>
          <w:noProof w:val="0"/>
          <w:color w:val="000000"/>
          <w:sz w:val="24"/>
        </w:rPr>
        <w:t>RF Architecture Alternatives for Inter Band CA Class A2</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9E154B">
        <w:rPr>
          <w:rFonts w:ascii="Arial" w:hAnsi="Arial"/>
          <w:b/>
          <w:color w:val="000000"/>
        </w:rPr>
        <w:t>ument for:  Discussion</w:t>
      </w:r>
    </w:p>
    <w:bookmarkEnd w:id="0"/>
    <w:p w:rsidR="00900DAE" w:rsidRPr="003D1980" w:rsidRDefault="00900DAE" w:rsidP="006B6438">
      <w:pPr>
        <w:pStyle w:val="Heading1"/>
        <w:spacing w:after="120"/>
        <w:jc w:val="both"/>
        <w:rPr>
          <w:b/>
          <w:color w:val="000000"/>
        </w:rPr>
      </w:pPr>
      <w:r w:rsidRPr="003D1980">
        <w:rPr>
          <w:b/>
          <w:color w:val="000000"/>
        </w:rPr>
        <w:t>Introduction</w:t>
      </w:r>
    </w:p>
    <w:p w:rsidR="00464FE3" w:rsidRDefault="009E154B" w:rsidP="00454C24">
      <w:pPr>
        <w:widowControl w:val="0"/>
        <w:spacing w:after="120"/>
        <w:jc w:val="both"/>
        <w:rPr>
          <w:sz w:val="20"/>
        </w:rPr>
      </w:pPr>
      <w:r>
        <w:rPr>
          <w:sz w:val="20"/>
        </w:rPr>
        <w:t>E-UTRA carrier aggregation class A2 addresses inter band carrier combination with harmonic relations.  Two examples of</w:t>
      </w:r>
      <w:r w:rsidR="001F5374">
        <w:rPr>
          <w:sz w:val="20"/>
        </w:rPr>
        <w:t xml:space="preserve"> such combinations include CA_4</w:t>
      </w:r>
      <w:r w:rsidR="00A57E37">
        <w:rPr>
          <w:sz w:val="20"/>
        </w:rPr>
        <w:t>-</w:t>
      </w:r>
      <w:r w:rsidR="001F5374">
        <w:rPr>
          <w:sz w:val="20"/>
        </w:rPr>
        <w:t>12 and CA_4</w:t>
      </w:r>
      <w:r w:rsidR="00A57E37">
        <w:rPr>
          <w:sz w:val="20"/>
        </w:rPr>
        <w:t>-</w:t>
      </w:r>
      <w:r w:rsidR="001F5374">
        <w:rPr>
          <w:sz w:val="20"/>
        </w:rPr>
        <w:t>17</w:t>
      </w:r>
      <w:r>
        <w:rPr>
          <w:sz w:val="20"/>
        </w:rPr>
        <w:t>.  For both of these band combinations, the third or</w:t>
      </w:r>
      <w:r w:rsidR="00464FE3">
        <w:rPr>
          <w:sz w:val="20"/>
        </w:rPr>
        <w:t>der harmonic from the low band uplink, either Band 1</w:t>
      </w:r>
      <w:r w:rsidR="001F5374">
        <w:rPr>
          <w:sz w:val="20"/>
        </w:rPr>
        <w:t>2</w:t>
      </w:r>
      <w:r w:rsidR="00464FE3">
        <w:rPr>
          <w:sz w:val="20"/>
        </w:rPr>
        <w:t xml:space="preserve"> or Band 1</w:t>
      </w:r>
      <w:r w:rsidR="001F5374">
        <w:rPr>
          <w:sz w:val="20"/>
        </w:rPr>
        <w:t>7</w:t>
      </w:r>
      <w:r w:rsidR="00464FE3">
        <w:rPr>
          <w:sz w:val="20"/>
        </w:rPr>
        <w:t xml:space="preserve">, can fall in the </w:t>
      </w:r>
      <w:r w:rsidR="001F5374">
        <w:rPr>
          <w:sz w:val="20"/>
        </w:rPr>
        <w:t>Band 4</w:t>
      </w:r>
      <w:r w:rsidR="00464FE3">
        <w:rPr>
          <w:sz w:val="20"/>
        </w:rPr>
        <w:t xml:space="preserve"> downlink resulting in </w:t>
      </w:r>
      <w:r w:rsidR="003D4322">
        <w:rPr>
          <w:sz w:val="20"/>
        </w:rPr>
        <w:t xml:space="preserve">significant </w:t>
      </w:r>
      <w:r w:rsidR="00464FE3">
        <w:rPr>
          <w:sz w:val="20"/>
        </w:rPr>
        <w:t>self-desense. Of course whether or not such interference actually occurs depends on the specific channel assignments within the</w:t>
      </w:r>
      <w:r w:rsidR="003D4322">
        <w:rPr>
          <w:sz w:val="20"/>
        </w:rPr>
        <w:t>se</w:t>
      </w:r>
      <w:r w:rsidR="00464FE3">
        <w:rPr>
          <w:sz w:val="20"/>
        </w:rPr>
        <w:t xml:space="preserve"> two bands. </w:t>
      </w:r>
    </w:p>
    <w:p w:rsidR="00A36A23" w:rsidRDefault="00A36A23" w:rsidP="00454C24">
      <w:pPr>
        <w:widowControl w:val="0"/>
        <w:spacing w:after="120"/>
        <w:jc w:val="both"/>
        <w:rPr>
          <w:sz w:val="20"/>
        </w:rPr>
      </w:pPr>
      <w:r>
        <w:rPr>
          <w:sz w:val="20"/>
        </w:rPr>
        <w:t>In [1], the worst case desense was evaluated for the nominal baseline architecture for low-high carrier aggregation without harmonic relations.   The architecture used in [</w:t>
      </w:r>
      <w:r w:rsidR="00BA4F48">
        <w:rPr>
          <w:sz w:val="20"/>
        </w:rPr>
        <w:t>1</w:t>
      </w:r>
      <w:r>
        <w:rPr>
          <w:sz w:val="20"/>
        </w:rPr>
        <w:t xml:space="preserve">] does not include any special filtering to mitigate the interference from </w:t>
      </w:r>
      <w:r w:rsidR="008D6288">
        <w:rPr>
          <w:sz w:val="20"/>
        </w:rPr>
        <w:t>the low</w:t>
      </w:r>
      <w:r>
        <w:rPr>
          <w:sz w:val="20"/>
        </w:rPr>
        <w:t xml:space="preserve"> band transmit</w:t>
      </w:r>
      <w:r w:rsidR="003D4322">
        <w:rPr>
          <w:sz w:val="20"/>
        </w:rPr>
        <w:t>ter</w:t>
      </w:r>
      <w:r>
        <w:rPr>
          <w:sz w:val="20"/>
        </w:rPr>
        <w:t xml:space="preserve"> harmoni</w:t>
      </w:r>
      <w:r w:rsidR="00302254">
        <w:rPr>
          <w:sz w:val="20"/>
        </w:rPr>
        <w:t>c into the high band receiver.  Conversely, in [</w:t>
      </w:r>
      <w:r w:rsidR="00BA4F48">
        <w:rPr>
          <w:sz w:val="20"/>
        </w:rPr>
        <w:t>2</w:t>
      </w:r>
      <w:r w:rsidR="00302254">
        <w:rPr>
          <w:sz w:val="20"/>
        </w:rPr>
        <w:t>], an</w:t>
      </w:r>
      <w:r>
        <w:rPr>
          <w:sz w:val="20"/>
        </w:rPr>
        <w:t xml:space="preserve"> alternative architecture was considered in which </w:t>
      </w:r>
      <w:r w:rsidR="00302254">
        <w:rPr>
          <w:sz w:val="20"/>
        </w:rPr>
        <w:t>harmonic f</w:t>
      </w:r>
      <w:r w:rsidR="003D4322">
        <w:rPr>
          <w:sz w:val="20"/>
        </w:rPr>
        <w:t>ilters were used to attenuate the third order harmonics of the low band transmitter and thus mitigate the interference into the low band receiver</w:t>
      </w:r>
      <w:r w:rsidR="00302254">
        <w:rPr>
          <w:sz w:val="20"/>
        </w:rPr>
        <w:t xml:space="preserve">.  Though this second architecture </w:t>
      </w:r>
      <w:r w:rsidR="003D4322">
        <w:rPr>
          <w:sz w:val="20"/>
        </w:rPr>
        <w:t>improves the worst case desense of the high band receiver, it also introduces additional insertion loss into all low bands including the non-aggregated low bands.</w:t>
      </w:r>
    </w:p>
    <w:p w:rsidR="003D4322" w:rsidRDefault="00302254" w:rsidP="00454C24">
      <w:pPr>
        <w:widowControl w:val="0"/>
        <w:spacing w:after="120"/>
        <w:jc w:val="both"/>
        <w:rPr>
          <w:sz w:val="20"/>
        </w:rPr>
      </w:pPr>
      <w:r>
        <w:rPr>
          <w:sz w:val="20"/>
        </w:rPr>
        <w:t xml:space="preserve">In this contribution, </w:t>
      </w:r>
      <w:r w:rsidR="003D4322">
        <w:rPr>
          <w:sz w:val="20"/>
        </w:rPr>
        <w:t xml:space="preserve">a third architecture is considered which also uses filtering to reduce the third order harmonic from </w:t>
      </w:r>
      <w:r w:rsidR="008D6288">
        <w:rPr>
          <w:sz w:val="20"/>
        </w:rPr>
        <w:t>the low</w:t>
      </w:r>
      <w:r w:rsidR="003D4322">
        <w:rPr>
          <w:sz w:val="20"/>
        </w:rPr>
        <w:t xml:space="preserve"> band transmitter, but which does not introduce additional insertion loss into the </w:t>
      </w:r>
      <w:r w:rsidR="00A57E37">
        <w:rPr>
          <w:sz w:val="20"/>
        </w:rPr>
        <w:t>non-</w:t>
      </w:r>
      <w:r w:rsidR="003D4322">
        <w:rPr>
          <w:sz w:val="20"/>
        </w:rPr>
        <w:t xml:space="preserve">aggregated </w:t>
      </w:r>
      <w:r w:rsidR="00A57E37">
        <w:rPr>
          <w:sz w:val="20"/>
        </w:rPr>
        <w:t xml:space="preserve">low </w:t>
      </w:r>
      <w:r w:rsidR="003D4322">
        <w:rPr>
          <w:sz w:val="20"/>
        </w:rPr>
        <w:t>bands.  For this reason, this third architecture may be worth considering when setting requirements for inter band carrier combinations with harmonic relations.</w:t>
      </w:r>
    </w:p>
    <w:p w:rsidR="00CD5EB6" w:rsidRDefault="00CD5EB6" w:rsidP="00CD5EB6">
      <w:pPr>
        <w:pStyle w:val="Heading1"/>
        <w:spacing w:after="120"/>
        <w:jc w:val="both"/>
        <w:rPr>
          <w:b/>
          <w:color w:val="000000"/>
        </w:rPr>
      </w:pPr>
      <w:r>
        <w:rPr>
          <w:b/>
          <w:color w:val="000000"/>
        </w:rPr>
        <w:t>RF Architecture Alternatives for Class A2</w:t>
      </w:r>
    </w:p>
    <w:p w:rsidR="00FF1249" w:rsidRPr="00FF1249" w:rsidRDefault="00FF1249" w:rsidP="00FF1249"/>
    <w:p w:rsidR="00C10B5E" w:rsidRPr="0035037F" w:rsidRDefault="00C10B5E" w:rsidP="00FF1249">
      <w:pPr>
        <w:pStyle w:val="Heading2"/>
      </w:pPr>
      <w:r>
        <w:t>Baseline architecture of low-high carrier aggregation without harmonic relations</w:t>
      </w:r>
    </w:p>
    <w:p w:rsidR="005A760D" w:rsidRPr="000F257C" w:rsidRDefault="00CA686D" w:rsidP="00B00BE0">
      <w:pPr>
        <w:rPr>
          <w:color w:val="000000" w:themeColor="text1"/>
          <w:sz w:val="20"/>
          <w:lang w:val="en-US"/>
        </w:rPr>
      </w:pPr>
      <w:fldSimple w:instr=" REF _Ref304903455 \h  \* MERGEFORMAT ">
        <w:r w:rsidR="008D6288" w:rsidRPr="008D6288">
          <w:rPr>
            <w:sz w:val="20"/>
            <w:lang w:val="en-US"/>
          </w:rPr>
          <w:t>Figure 1</w:t>
        </w:r>
      </w:fldSimple>
      <w:r w:rsidR="00855297">
        <w:rPr>
          <w:sz w:val="20"/>
        </w:rPr>
        <w:t xml:space="preserve"> </w:t>
      </w:r>
      <w:r w:rsidR="00714083" w:rsidRPr="00301BB3">
        <w:rPr>
          <w:sz w:val="20"/>
          <w:lang w:val="en-US"/>
        </w:rPr>
        <w:t xml:space="preserve">illustrates </w:t>
      </w:r>
      <w:r w:rsidR="000F257C">
        <w:rPr>
          <w:sz w:val="20"/>
          <w:lang w:val="en-US"/>
        </w:rPr>
        <w:t xml:space="preserve">an RF architecture that can be considered the baseline architecture for </w:t>
      </w:r>
      <w:r w:rsidR="00714083" w:rsidRPr="00301BB3">
        <w:rPr>
          <w:sz w:val="20"/>
          <w:lang w:val="en-US"/>
        </w:rPr>
        <w:t xml:space="preserve">supporting inter-band carrier aggregation </w:t>
      </w:r>
      <w:r w:rsidR="000F257C">
        <w:rPr>
          <w:sz w:val="20"/>
          <w:lang w:val="en-US"/>
        </w:rPr>
        <w:t>for low-high band combinations without harmonic relations</w:t>
      </w:r>
      <w:r w:rsidR="005A760D">
        <w:rPr>
          <w:sz w:val="20"/>
          <w:lang w:val="en-US"/>
        </w:rPr>
        <w:t xml:space="preserve">.  </w:t>
      </w:r>
      <w:r w:rsidR="005A760D">
        <w:rPr>
          <w:color w:val="000000" w:themeColor="text1"/>
          <w:sz w:val="20"/>
          <w:lang w:val="en-US"/>
        </w:rPr>
        <w:t>In [</w:t>
      </w:r>
      <w:r w:rsidR="00BA4F48">
        <w:rPr>
          <w:color w:val="000000" w:themeColor="text1"/>
          <w:sz w:val="20"/>
          <w:lang w:val="en-US"/>
        </w:rPr>
        <w:t>1</w:t>
      </w:r>
      <w:r w:rsidR="005A760D">
        <w:rPr>
          <w:color w:val="000000" w:themeColor="text1"/>
          <w:sz w:val="20"/>
          <w:lang w:val="en-US"/>
        </w:rPr>
        <w:t xml:space="preserve">], the worst case desense of the high band receiver was evaluated for this architecture when applied to inter band carrier aggregation class A2 – low-high band combinations with harmonic relations.  </w:t>
      </w:r>
    </w:p>
    <w:p w:rsidR="00714083" w:rsidRDefault="0035037F" w:rsidP="0035037F">
      <w:pPr>
        <w:jc w:val="center"/>
        <w:rPr>
          <w:sz w:val="20"/>
          <w:lang w:val="en-US"/>
        </w:rPr>
      </w:pPr>
      <w:r w:rsidRPr="0035037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87.5pt">
            <v:imagedata r:id="rId7" o:title=""/>
          </v:shape>
        </w:pict>
      </w:r>
    </w:p>
    <w:p w:rsidR="00855297" w:rsidRDefault="00855297" w:rsidP="00855297">
      <w:pPr>
        <w:spacing w:before="120" w:after="120"/>
        <w:jc w:val="center"/>
        <w:rPr>
          <w:rFonts w:eastAsia="MS Mincho"/>
          <w:b/>
          <w:sz w:val="20"/>
          <w:lang w:eastAsia="en-US"/>
        </w:rPr>
      </w:pPr>
      <w:bookmarkStart w:id="1" w:name="_Ref304903455"/>
      <w:r w:rsidRPr="00855297">
        <w:rPr>
          <w:rFonts w:eastAsia="MS Mincho"/>
          <w:b/>
          <w:sz w:val="20"/>
          <w:lang w:eastAsia="en-US"/>
        </w:rPr>
        <w:t xml:space="preserve">Figure </w:t>
      </w:r>
      <w:r w:rsidR="00CA686D" w:rsidRPr="00855297">
        <w:rPr>
          <w:rFonts w:eastAsia="MS Mincho"/>
          <w:b/>
          <w:sz w:val="20"/>
          <w:lang w:eastAsia="en-US"/>
        </w:rPr>
        <w:fldChar w:fldCharType="begin"/>
      </w:r>
      <w:r w:rsidRPr="00855297">
        <w:rPr>
          <w:rFonts w:eastAsia="MS Mincho"/>
          <w:b/>
          <w:sz w:val="20"/>
          <w:lang w:eastAsia="en-US"/>
        </w:rPr>
        <w:instrText xml:space="preserve"> SEQ Figure \* ARABIC </w:instrText>
      </w:r>
      <w:r w:rsidR="00CA686D" w:rsidRPr="00855297">
        <w:rPr>
          <w:rFonts w:eastAsia="MS Mincho"/>
          <w:b/>
          <w:sz w:val="20"/>
          <w:lang w:eastAsia="en-US"/>
        </w:rPr>
        <w:fldChar w:fldCharType="separate"/>
      </w:r>
      <w:r w:rsidR="008D6288">
        <w:rPr>
          <w:rFonts w:eastAsia="MS Mincho"/>
          <w:b/>
          <w:noProof/>
          <w:sz w:val="20"/>
          <w:lang w:eastAsia="en-US"/>
        </w:rPr>
        <w:t>1</w:t>
      </w:r>
      <w:r w:rsidR="00CA686D" w:rsidRPr="00855297">
        <w:rPr>
          <w:rFonts w:eastAsia="MS Mincho"/>
          <w:b/>
          <w:sz w:val="20"/>
          <w:lang w:eastAsia="en-US"/>
        </w:rPr>
        <w:fldChar w:fldCharType="end"/>
      </w:r>
      <w:bookmarkEnd w:id="1"/>
      <w:r w:rsidR="00A47F87">
        <w:rPr>
          <w:rFonts w:eastAsia="MS Mincho"/>
          <w:b/>
          <w:sz w:val="20"/>
          <w:lang w:eastAsia="en-US"/>
        </w:rPr>
        <w:t xml:space="preserve"> </w:t>
      </w:r>
      <w:r w:rsidR="0035037F">
        <w:rPr>
          <w:rFonts w:eastAsia="MS Mincho"/>
          <w:b/>
          <w:sz w:val="20"/>
          <w:lang w:eastAsia="en-US"/>
        </w:rPr>
        <w:t>–</w:t>
      </w:r>
      <w:r w:rsidR="00A47F87">
        <w:rPr>
          <w:rFonts w:eastAsia="MS Mincho"/>
          <w:b/>
          <w:sz w:val="20"/>
          <w:lang w:eastAsia="en-US"/>
        </w:rPr>
        <w:t xml:space="preserve"> </w:t>
      </w:r>
      <w:r w:rsidR="0035037F">
        <w:rPr>
          <w:rFonts w:eastAsia="MS Mincho"/>
          <w:b/>
          <w:sz w:val="20"/>
          <w:lang w:eastAsia="en-US"/>
        </w:rPr>
        <w:t>Baseline RF architecture for low</w:t>
      </w:r>
      <w:r w:rsidR="000F257C">
        <w:rPr>
          <w:rFonts w:eastAsia="MS Mincho"/>
          <w:b/>
          <w:sz w:val="20"/>
          <w:lang w:eastAsia="en-US"/>
        </w:rPr>
        <w:t>-</w:t>
      </w:r>
      <w:r w:rsidR="0035037F">
        <w:rPr>
          <w:rFonts w:eastAsia="MS Mincho"/>
          <w:b/>
          <w:sz w:val="20"/>
          <w:lang w:eastAsia="en-US"/>
        </w:rPr>
        <w:t xml:space="preserve">high </w:t>
      </w:r>
      <w:r w:rsidR="00A57E37">
        <w:rPr>
          <w:rFonts w:eastAsia="MS Mincho"/>
          <w:b/>
          <w:sz w:val="20"/>
          <w:lang w:eastAsia="en-US"/>
        </w:rPr>
        <w:t xml:space="preserve">band </w:t>
      </w:r>
      <w:r w:rsidR="0035037F">
        <w:rPr>
          <w:rFonts w:eastAsia="MS Mincho"/>
          <w:b/>
          <w:sz w:val="20"/>
          <w:lang w:eastAsia="en-US"/>
        </w:rPr>
        <w:t>carrier aggregation without harmonic relations</w:t>
      </w:r>
      <w:r w:rsidRPr="00855297">
        <w:rPr>
          <w:rFonts w:eastAsia="MS Mincho"/>
          <w:b/>
          <w:sz w:val="20"/>
          <w:lang w:eastAsia="en-US"/>
        </w:rPr>
        <w:t>.</w:t>
      </w:r>
    </w:p>
    <w:p w:rsidR="006E1AF9" w:rsidRDefault="00D42700" w:rsidP="00A76BC2">
      <w:pPr>
        <w:rPr>
          <w:color w:val="000000" w:themeColor="text1"/>
          <w:sz w:val="20"/>
          <w:lang w:val="en-US"/>
        </w:rPr>
      </w:pPr>
      <w:r>
        <w:rPr>
          <w:color w:val="000000" w:themeColor="text1"/>
          <w:sz w:val="20"/>
          <w:lang w:val="en-US"/>
        </w:rPr>
        <w:lastRenderedPageBreak/>
        <w:t xml:space="preserve">The analysis in [1] concluded the following with respect to the </w:t>
      </w:r>
      <w:r w:rsidRPr="00D42700">
        <w:rPr>
          <w:b/>
          <w:color w:val="000000" w:themeColor="text1"/>
          <w:sz w:val="20"/>
          <w:lang w:val="en-US"/>
        </w:rPr>
        <w:t>worst case</w:t>
      </w:r>
      <w:r>
        <w:rPr>
          <w:color w:val="000000" w:themeColor="text1"/>
          <w:sz w:val="20"/>
          <w:lang w:val="en-US"/>
        </w:rPr>
        <w:t xml:space="preserve"> interference into the high-band receiver from the low-band harmonic interference:</w:t>
      </w:r>
    </w:p>
    <w:p w:rsidR="00D42700" w:rsidRDefault="00D42700" w:rsidP="00A76BC2">
      <w:pPr>
        <w:numPr>
          <w:ilvl w:val="0"/>
          <w:numId w:val="16"/>
        </w:numPr>
        <w:spacing w:before="120"/>
        <w:rPr>
          <w:color w:val="000000" w:themeColor="text1"/>
          <w:sz w:val="20"/>
          <w:lang w:val="en-US"/>
        </w:rPr>
      </w:pPr>
      <w:r>
        <w:rPr>
          <w:color w:val="000000" w:themeColor="text1"/>
          <w:sz w:val="20"/>
          <w:lang w:val="en-US"/>
        </w:rPr>
        <w:t xml:space="preserve">worst-case receiver desensitization </w:t>
      </w:r>
      <w:r w:rsidRPr="00255B6C">
        <w:rPr>
          <w:i/>
          <w:color w:val="000000" w:themeColor="text1"/>
          <w:sz w:val="20"/>
          <w:lang w:val="en-US"/>
        </w:rPr>
        <w:t>22.5</w:t>
      </w:r>
      <w:r>
        <w:rPr>
          <w:color w:val="000000" w:themeColor="text1"/>
          <w:sz w:val="20"/>
          <w:lang w:val="en-US"/>
        </w:rPr>
        <w:t xml:space="preserve"> dB</w:t>
      </w:r>
    </w:p>
    <w:p w:rsidR="00D42700" w:rsidRDefault="00D42700" w:rsidP="00A76BC2">
      <w:pPr>
        <w:numPr>
          <w:ilvl w:val="0"/>
          <w:numId w:val="16"/>
        </w:numPr>
        <w:spacing w:before="120"/>
        <w:rPr>
          <w:color w:val="000000" w:themeColor="text1"/>
          <w:sz w:val="20"/>
          <w:lang w:val="en-US"/>
        </w:rPr>
      </w:pPr>
      <w:r>
        <w:rPr>
          <w:color w:val="000000" w:themeColor="text1"/>
          <w:sz w:val="20"/>
          <w:lang w:val="en-US"/>
        </w:rPr>
        <w:t xml:space="preserve">diversity receiver desensitization  </w:t>
      </w:r>
      <w:r w:rsidRPr="00255B6C">
        <w:rPr>
          <w:i/>
          <w:color w:val="000000" w:themeColor="text1"/>
          <w:sz w:val="20"/>
          <w:lang w:val="en-US"/>
        </w:rPr>
        <w:t>12.3</w:t>
      </w:r>
      <w:r>
        <w:rPr>
          <w:color w:val="000000" w:themeColor="text1"/>
          <w:sz w:val="20"/>
          <w:lang w:val="en-US"/>
        </w:rPr>
        <w:t xml:space="preserve"> dB</w:t>
      </w:r>
    </w:p>
    <w:p w:rsidR="00D42700" w:rsidRDefault="00D42700" w:rsidP="00A76BC2">
      <w:pPr>
        <w:numPr>
          <w:ilvl w:val="0"/>
          <w:numId w:val="16"/>
        </w:numPr>
        <w:spacing w:before="120"/>
        <w:rPr>
          <w:color w:val="000000" w:themeColor="text1"/>
          <w:sz w:val="20"/>
          <w:lang w:val="en-US"/>
        </w:rPr>
      </w:pPr>
      <w:r>
        <w:rPr>
          <w:color w:val="000000" w:themeColor="text1"/>
          <w:sz w:val="20"/>
          <w:lang w:val="en-US"/>
        </w:rPr>
        <w:t xml:space="preserve">combined desensitization </w:t>
      </w:r>
      <w:r w:rsidRPr="00255B6C">
        <w:rPr>
          <w:i/>
          <w:color w:val="000000" w:themeColor="text1"/>
          <w:sz w:val="20"/>
          <w:lang w:val="en-US"/>
        </w:rPr>
        <w:t>20 dB</w:t>
      </w:r>
    </w:p>
    <w:p w:rsidR="00D42700" w:rsidRDefault="00D42700" w:rsidP="00D42700">
      <w:pPr>
        <w:ind w:left="1080"/>
        <w:rPr>
          <w:color w:val="000000" w:themeColor="text1"/>
          <w:sz w:val="20"/>
          <w:lang w:val="en-US"/>
        </w:rPr>
      </w:pPr>
    </w:p>
    <w:p w:rsidR="00D42700" w:rsidRDefault="00D42700" w:rsidP="00D42700">
      <w:pPr>
        <w:rPr>
          <w:color w:val="000000" w:themeColor="text1"/>
          <w:sz w:val="20"/>
          <w:lang w:val="en-US"/>
        </w:rPr>
      </w:pPr>
      <w:r>
        <w:rPr>
          <w:color w:val="000000" w:themeColor="text1"/>
          <w:sz w:val="20"/>
          <w:lang w:val="en-US"/>
        </w:rPr>
        <w:t>While the worst-case desensitization can be very large, it should be noted that this worst case desen</w:t>
      </w:r>
      <w:r w:rsidR="00C10B5E">
        <w:rPr>
          <w:color w:val="000000" w:themeColor="text1"/>
          <w:sz w:val="20"/>
          <w:lang w:val="en-US"/>
        </w:rPr>
        <w:t>se only occurs with certain channel assignments, and even in this case, only with the allocation of certain resources on the low band uplink.  Furthermore, scheduling restrictions can be imposed at the eNB scheduler, either in time or in frequency, such that when the eNB is transmitting data to a particular UE on the high band downlink, the eNB does not give th</w:t>
      </w:r>
      <w:r w:rsidR="00587873">
        <w:rPr>
          <w:color w:val="000000" w:themeColor="text1"/>
          <w:sz w:val="20"/>
          <w:lang w:val="en-US"/>
        </w:rPr>
        <w:t>is</w:t>
      </w:r>
      <w:r w:rsidR="00C10B5E">
        <w:rPr>
          <w:color w:val="000000" w:themeColor="text1"/>
          <w:sz w:val="20"/>
          <w:lang w:val="en-US"/>
        </w:rPr>
        <w:t xml:space="preserve"> UE</w:t>
      </w:r>
      <w:r w:rsidR="00587873">
        <w:rPr>
          <w:color w:val="000000" w:themeColor="text1"/>
          <w:sz w:val="20"/>
          <w:lang w:val="en-US"/>
        </w:rPr>
        <w:t xml:space="preserve"> an</w:t>
      </w:r>
      <w:r w:rsidR="00C10B5E">
        <w:rPr>
          <w:color w:val="000000" w:themeColor="text1"/>
          <w:sz w:val="20"/>
          <w:lang w:val="en-US"/>
        </w:rPr>
        <w:t xml:space="preserve"> allocation on its low band uplink for which the harmonic will interfere with the high band downlink.</w:t>
      </w:r>
    </w:p>
    <w:p w:rsidR="00FF1249" w:rsidRDefault="00FF1249" w:rsidP="00D42700">
      <w:pPr>
        <w:rPr>
          <w:color w:val="000000" w:themeColor="text1"/>
          <w:sz w:val="20"/>
          <w:lang w:val="en-US"/>
        </w:rPr>
      </w:pPr>
    </w:p>
    <w:p w:rsidR="00FF1249" w:rsidRDefault="006E1AF9" w:rsidP="00FF1249">
      <w:pPr>
        <w:pStyle w:val="Heading2"/>
      </w:pPr>
      <w:r>
        <w:t>RF architecture for low-high carrier aggregation using two harmonic filters</w:t>
      </w:r>
    </w:p>
    <w:p w:rsidR="00FF1249" w:rsidRPr="007F4A86" w:rsidRDefault="00FF1249" w:rsidP="00D42700">
      <w:pPr>
        <w:rPr>
          <w:sz w:val="20"/>
        </w:rPr>
      </w:pPr>
      <w:r w:rsidRPr="00FF1249">
        <w:rPr>
          <w:sz w:val="20"/>
        </w:rPr>
        <w:t xml:space="preserve">The </w:t>
      </w:r>
      <w:r>
        <w:rPr>
          <w:sz w:val="20"/>
        </w:rPr>
        <w:t xml:space="preserve">architecture shown in Figure 2 was used in the analysis in </w:t>
      </w:r>
      <w:r w:rsidR="007F4A86">
        <w:rPr>
          <w:sz w:val="20"/>
        </w:rPr>
        <w:t>reference [2].  This architecture differs from Figure 1 in that harmonic filters are added between diplexer and the low-band switch, and between the low-band switch and the Band 17 duplexer.  While these harmonic filters strongly suppress the third order harmonic of the transmitter, they also introduce insertion loss.  The harmonic filter between the low-band switch and the Band 17 duplexer only add</w:t>
      </w:r>
      <w:r w:rsidR="00A57E37">
        <w:rPr>
          <w:sz w:val="20"/>
        </w:rPr>
        <w:t>s</w:t>
      </w:r>
      <w:r w:rsidR="007F4A86">
        <w:rPr>
          <w:sz w:val="20"/>
        </w:rPr>
        <w:t xml:space="preserve"> insertion loss to Band 17.  However, </w:t>
      </w:r>
      <w:r w:rsidR="00255B6C">
        <w:rPr>
          <w:sz w:val="20"/>
        </w:rPr>
        <w:t>the harmonic filter between the</w:t>
      </w:r>
      <w:r w:rsidR="007F4A86">
        <w:rPr>
          <w:sz w:val="20"/>
        </w:rPr>
        <w:t xml:space="preserve"> diplexer and the low-band switch adds insertion to all low bands.</w:t>
      </w:r>
    </w:p>
    <w:p w:rsidR="0035037F" w:rsidRDefault="0035037F" w:rsidP="0035037F">
      <w:pPr>
        <w:spacing w:before="120" w:after="120"/>
        <w:jc w:val="center"/>
        <w:rPr>
          <w:rFonts w:eastAsia="MS Mincho"/>
          <w:b/>
          <w:sz w:val="20"/>
          <w:lang w:eastAsia="en-US"/>
        </w:rPr>
      </w:pPr>
      <w:r w:rsidRPr="0035037F">
        <w:pict>
          <v:shape id="_x0000_i1026" type="#_x0000_t75" style="width:398.7pt;height:193.95pt">
            <v:imagedata r:id="rId8" o:title=""/>
          </v:shape>
        </w:pict>
      </w:r>
    </w:p>
    <w:p w:rsidR="007F4A86" w:rsidRDefault="0035037F" w:rsidP="007F4A86">
      <w:pPr>
        <w:spacing w:before="120" w:after="120"/>
        <w:jc w:val="center"/>
        <w:rPr>
          <w:rFonts w:eastAsia="MS Mincho"/>
          <w:b/>
          <w:sz w:val="20"/>
          <w:lang w:eastAsia="en-US"/>
        </w:rPr>
      </w:pPr>
      <w:r w:rsidRPr="00855297">
        <w:rPr>
          <w:rFonts w:eastAsia="MS Mincho"/>
          <w:b/>
          <w:sz w:val="20"/>
          <w:lang w:eastAsia="en-US"/>
        </w:rPr>
        <w:t xml:space="preserve">Figure </w:t>
      </w:r>
      <w:r>
        <w:rPr>
          <w:rFonts w:eastAsia="MS Mincho"/>
          <w:b/>
          <w:sz w:val="20"/>
          <w:lang w:eastAsia="en-US"/>
        </w:rPr>
        <w:t>2 - RF architecture for inter-band carrier aggregation for Band 4 and Band 17</w:t>
      </w:r>
      <w:r w:rsidR="00A432F8">
        <w:rPr>
          <w:rFonts w:eastAsia="MS Mincho"/>
          <w:b/>
          <w:sz w:val="20"/>
          <w:lang w:eastAsia="en-US"/>
        </w:rPr>
        <w:t xml:space="preserve"> using two harmonic filters</w:t>
      </w:r>
      <w:r>
        <w:rPr>
          <w:rFonts w:eastAsia="MS Mincho"/>
          <w:b/>
          <w:sz w:val="20"/>
          <w:lang w:eastAsia="en-US"/>
        </w:rPr>
        <w:t xml:space="preserve"> [</w:t>
      </w:r>
      <w:r w:rsidR="007F4A86">
        <w:rPr>
          <w:rFonts w:eastAsia="MS Mincho"/>
          <w:b/>
          <w:sz w:val="20"/>
          <w:lang w:eastAsia="en-US"/>
        </w:rPr>
        <w:t>2</w:t>
      </w:r>
      <w:r>
        <w:rPr>
          <w:rFonts w:eastAsia="MS Mincho"/>
          <w:b/>
          <w:sz w:val="20"/>
          <w:lang w:eastAsia="en-US"/>
        </w:rPr>
        <w:t>]</w:t>
      </w:r>
      <w:r w:rsidRPr="00855297">
        <w:rPr>
          <w:rFonts w:eastAsia="MS Mincho"/>
          <w:b/>
          <w:sz w:val="20"/>
          <w:lang w:eastAsia="en-US"/>
        </w:rPr>
        <w:t>.</w:t>
      </w:r>
    </w:p>
    <w:p w:rsidR="007F4A86" w:rsidRDefault="00255B6C" w:rsidP="007F4A86">
      <w:pPr>
        <w:spacing w:before="120" w:after="120"/>
        <w:rPr>
          <w:sz w:val="20"/>
        </w:rPr>
      </w:pPr>
      <w:r>
        <w:rPr>
          <w:rFonts w:eastAsia="MS Mincho"/>
          <w:sz w:val="20"/>
          <w:lang w:eastAsia="en-US"/>
        </w:rPr>
        <w:t>For the</w:t>
      </w:r>
      <w:r w:rsidR="007F4A86">
        <w:rPr>
          <w:rFonts w:eastAsia="MS Mincho"/>
          <w:sz w:val="20"/>
          <w:lang w:eastAsia="en-US"/>
        </w:rPr>
        <w:t xml:space="preserve"> analysis used in [2],</w:t>
      </w:r>
      <w:r w:rsidR="007F4A86" w:rsidRPr="007F4A86">
        <w:rPr>
          <w:rFonts w:eastAsia="MS Mincho"/>
          <w:sz w:val="20"/>
          <w:lang w:eastAsia="en-US"/>
        </w:rPr>
        <w:t xml:space="preserve"> the worst case desense of Band 4 due to the third harmonic of the Band</w:t>
      </w:r>
      <w:r w:rsidR="007F4A86" w:rsidRPr="007F4A86">
        <w:rPr>
          <w:sz w:val="20"/>
        </w:rPr>
        <w:t xml:space="preserve"> 17 transmitter </w:t>
      </w:r>
      <w:r w:rsidR="007F4A86">
        <w:rPr>
          <w:sz w:val="20"/>
        </w:rPr>
        <w:t xml:space="preserve">was found to be </w:t>
      </w:r>
      <w:r w:rsidR="007F4A86" w:rsidRPr="00255B6C">
        <w:rPr>
          <w:i/>
          <w:sz w:val="20"/>
        </w:rPr>
        <w:t>2 dB</w:t>
      </w:r>
      <w:r>
        <w:rPr>
          <w:sz w:val="20"/>
        </w:rPr>
        <w:t xml:space="preserve"> (for the shared main antenna)</w:t>
      </w:r>
      <w:r w:rsidR="007F4A86">
        <w:rPr>
          <w:sz w:val="20"/>
        </w:rPr>
        <w:t>.</w:t>
      </w:r>
      <w:r>
        <w:rPr>
          <w:sz w:val="20"/>
        </w:rPr>
        <w:t xml:space="preserve">  However, while the harmonic filters significantly improve the situation for the Band 4 downlink, the two harmonic filters adversely affect the maximum output power and reference sensitivity of the low bands.  In particular, as the worst case insertion loss of</w:t>
      </w:r>
      <w:r w:rsidR="00A57E37">
        <w:rPr>
          <w:sz w:val="20"/>
        </w:rPr>
        <w:t xml:space="preserve"> each of</w:t>
      </w:r>
      <w:r>
        <w:rPr>
          <w:sz w:val="20"/>
        </w:rPr>
        <w:t xml:space="preserve"> the harmonic filters is approximately </w:t>
      </w:r>
      <w:r w:rsidRPr="00255B6C">
        <w:rPr>
          <w:i/>
          <w:sz w:val="20"/>
        </w:rPr>
        <w:t>0.4 dB</w:t>
      </w:r>
      <w:r>
        <w:rPr>
          <w:sz w:val="20"/>
        </w:rPr>
        <w:t xml:space="preserve">, the maximum output power and reference sensitivity of the low bands other than Band 17 is degraded by about </w:t>
      </w:r>
      <w:r w:rsidRPr="00255B6C">
        <w:rPr>
          <w:i/>
          <w:sz w:val="20"/>
        </w:rPr>
        <w:t>0.4 dB</w:t>
      </w:r>
      <w:r>
        <w:rPr>
          <w:sz w:val="20"/>
        </w:rPr>
        <w:t xml:space="preserve">.  For Band 17, the two harmonic filters in the signal path result in a degradation of reference sensitivity and </w:t>
      </w:r>
      <w:r w:rsidR="009E3C49">
        <w:rPr>
          <w:sz w:val="20"/>
        </w:rPr>
        <w:t xml:space="preserve">maximum output power by </w:t>
      </w:r>
      <w:r w:rsidR="009E3C49" w:rsidRPr="009E3C49">
        <w:rPr>
          <w:i/>
          <w:sz w:val="20"/>
        </w:rPr>
        <w:t>0.8 dB</w:t>
      </w:r>
      <w:r w:rsidR="009E3C49">
        <w:rPr>
          <w:sz w:val="20"/>
        </w:rPr>
        <w:t>.</w:t>
      </w:r>
    </w:p>
    <w:p w:rsidR="009E3C49" w:rsidRDefault="009E3C49" w:rsidP="007F4A86">
      <w:pPr>
        <w:spacing w:before="120" w:after="120"/>
        <w:rPr>
          <w:sz w:val="20"/>
        </w:rPr>
      </w:pPr>
      <w:r>
        <w:rPr>
          <w:sz w:val="20"/>
        </w:rPr>
        <w:t>Currently, for low-high carrier aggregation without harmonic relations, relaxations</w:t>
      </w:r>
      <w:r w:rsidRPr="009E3C49">
        <w:rPr>
          <w:sz w:val="20"/>
        </w:rPr>
        <w:t xml:space="preserve"> </w:t>
      </w:r>
      <w:r w:rsidRPr="009E3C49">
        <w:rPr>
          <w:color w:val="000000"/>
          <w:sz w:val="20"/>
        </w:rPr>
        <w:t>∆T</w:t>
      </w:r>
      <w:r w:rsidRPr="009E3C49">
        <w:rPr>
          <w:color w:val="000000"/>
          <w:sz w:val="20"/>
          <w:vertAlign w:val="subscript"/>
        </w:rPr>
        <w:t>IB</w:t>
      </w:r>
      <w:r w:rsidRPr="009E3C49">
        <w:rPr>
          <w:color w:val="000000"/>
          <w:sz w:val="20"/>
        </w:rPr>
        <w:t xml:space="preserve"> and ∆R</w:t>
      </w:r>
      <w:r w:rsidRPr="009E3C49">
        <w:rPr>
          <w:color w:val="000000"/>
          <w:sz w:val="20"/>
          <w:vertAlign w:val="subscript"/>
        </w:rPr>
        <w:t>IB</w:t>
      </w:r>
      <w:r>
        <w:rPr>
          <w:sz w:val="20"/>
        </w:rPr>
        <w:t xml:space="preserve"> of maximum output power and reference sensitivity of </w:t>
      </w:r>
      <w:r w:rsidRPr="006E1AF9">
        <w:rPr>
          <w:i/>
          <w:sz w:val="20"/>
        </w:rPr>
        <w:t>0.3 dB</w:t>
      </w:r>
      <w:r>
        <w:rPr>
          <w:sz w:val="20"/>
        </w:rPr>
        <w:t xml:space="preserve"> and </w:t>
      </w:r>
      <w:r w:rsidRPr="006E1AF9">
        <w:rPr>
          <w:i/>
          <w:sz w:val="20"/>
        </w:rPr>
        <w:t>0 dB</w:t>
      </w:r>
      <w:r>
        <w:rPr>
          <w:sz w:val="20"/>
        </w:rPr>
        <w:t xml:space="preserve"> are allowed, respectively, for the aggregated bands.  Furthermore, it seems generally assumed that these same relaxations will be allowed for the non-aggregated bands.  For the architecture </w:t>
      </w:r>
      <w:r w:rsidR="008D6288">
        <w:rPr>
          <w:sz w:val="20"/>
        </w:rPr>
        <w:t>in Figure</w:t>
      </w:r>
      <w:r>
        <w:rPr>
          <w:sz w:val="20"/>
        </w:rPr>
        <w:t xml:space="preserve"> 2, we would now need to increase </w:t>
      </w:r>
      <w:r w:rsidRPr="009E3C49">
        <w:rPr>
          <w:color w:val="000000"/>
          <w:sz w:val="20"/>
        </w:rPr>
        <w:t>∆T</w:t>
      </w:r>
      <w:r w:rsidRPr="009E3C49">
        <w:rPr>
          <w:color w:val="000000"/>
          <w:sz w:val="20"/>
          <w:vertAlign w:val="subscript"/>
        </w:rPr>
        <w:t>IB</w:t>
      </w:r>
      <w:r>
        <w:rPr>
          <w:color w:val="000000"/>
          <w:sz w:val="20"/>
        </w:rPr>
        <w:t xml:space="preserve"> to </w:t>
      </w:r>
      <w:r w:rsidRPr="006E1AF9">
        <w:rPr>
          <w:i/>
          <w:color w:val="000000"/>
          <w:sz w:val="20"/>
        </w:rPr>
        <w:t>1.1 dB</w:t>
      </w:r>
      <w:r>
        <w:rPr>
          <w:color w:val="000000"/>
          <w:sz w:val="20"/>
        </w:rPr>
        <w:t xml:space="preserve"> for Band 17, and to </w:t>
      </w:r>
      <w:r w:rsidRPr="006E1AF9">
        <w:rPr>
          <w:i/>
          <w:color w:val="000000"/>
          <w:sz w:val="20"/>
        </w:rPr>
        <w:t>0.7 dB</w:t>
      </w:r>
      <w:r>
        <w:rPr>
          <w:color w:val="000000"/>
          <w:sz w:val="20"/>
        </w:rPr>
        <w:t xml:space="preserve"> for non-aggregated low bands other than Band 17 (note that in [2], the linearity of the low band switch was assumed to be </w:t>
      </w:r>
      <w:r w:rsidRPr="006E1AF9">
        <w:rPr>
          <w:i/>
          <w:color w:val="000000"/>
          <w:sz w:val="20"/>
        </w:rPr>
        <w:t>0.2 dB</w:t>
      </w:r>
      <w:r>
        <w:rPr>
          <w:color w:val="000000"/>
          <w:sz w:val="20"/>
        </w:rPr>
        <w:t xml:space="preserve"> improved, so that the values were </w:t>
      </w:r>
      <w:r w:rsidRPr="006E1AF9">
        <w:rPr>
          <w:i/>
          <w:color w:val="000000"/>
          <w:sz w:val="20"/>
        </w:rPr>
        <w:t>0.2 dB</w:t>
      </w:r>
      <w:r>
        <w:rPr>
          <w:color w:val="000000"/>
          <w:sz w:val="20"/>
        </w:rPr>
        <w:t xml:space="preserve"> lower).  Additionally, while </w:t>
      </w:r>
      <w:r w:rsidRPr="009E3C49">
        <w:rPr>
          <w:color w:val="000000"/>
          <w:sz w:val="20"/>
        </w:rPr>
        <w:t>∆R</w:t>
      </w:r>
      <w:r w:rsidRPr="009E3C49">
        <w:rPr>
          <w:color w:val="000000"/>
          <w:sz w:val="20"/>
          <w:vertAlign w:val="subscript"/>
        </w:rPr>
        <w:t>IB</w:t>
      </w:r>
      <w:r>
        <w:rPr>
          <w:sz w:val="20"/>
        </w:rPr>
        <w:t xml:space="preserve"> is currently 0 dB for all bands, this value would need to be increased to </w:t>
      </w:r>
      <w:r w:rsidRPr="006E1AF9">
        <w:rPr>
          <w:i/>
          <w:sz w:val="20"/>
        </w:rPr>
        <w:t>0.8 dB</w:t>
      </w:r>
      <w:r>
        <w:rPr>
          <w:sz w:val="20"/>
        </w:rPr>
        <w:t xml:space="preserve"> for Band 17 and to </w:t>
      </w:r>
      <w:r w:rsidRPr="006E1AF9">
        <w:rPr>
          <w:i/>
          <w:sz w:val="20"/>
        </w:rPr>
        <w:t>0.</w:t>
      </w:r>
      <w:r w:rsidR="00436561">
        <w:rPr>
          <w:i/>
          <w:sz w:val="20"/>
        </w:rPr>
        <w:t>4</w:t>
      </w:r>
      <w:r w:rsidRPr="006E1AF9">
        <w:rPr>
          <w:i/>
          <w:sz w:val="20"/>
        </w:rPr>
        <w:t xml:space="preserve"> dB</w:t>
      </w:r>
      <w:r>
        <w:rPr>
          <w:sz w:val="20"/>
        </w:rPr>
        <w:t xml:space="preserve"> for aggregated low bands other than Band 17.</w:t>
      </w:r>
    </w:p>
    <w:p w:rsidR="009E3C49" w:rsidRDefault="009E3C49" w:rsidP="007F4A86">
      <w:pPr>
        <w:spacing w:before="120" w:after="120"/>
        <w:rPr>
          <w:sz w:val="20"/>
        </w:rPr>
      </w:pPr>
      <w:r>
        <w:rPr>
          <w:sz w:val="20"/>
        </w:rPr>
        <w:t>So, in summary, we have the following:</w:t>
      </w:r>
    </w:p>
    <w:p w:rsidR="006E1AF9" w:rsidRDefault="00A432F8" w:rsidP="00A432F8">
      <w:pPr>
        <w:numPr>
          <w:ilvl w:val="0"/>
          <w:numId w:val="16"/>
        </w:numPr>
        <w:spacing w:before="120" w:after="120"/>
        <w:rPr>
          <w:sz w:val="20"/>
        </w:rPr>
      </w:pPr>
      <w:r w:rsidRPr="009E3C49">
        <w:rPr>
          <w:color w:val="000000"/>
          <w:sz w:val="20"/>
        </w:rPr>
        <w:lastRenderedPageBreak/>
        <w:t>∆R</w:t>
      </w:r>
      <w:r w:rsidRPr="009E3C49">
        <w:rPr>
          <w:color w:val="000000"/>
          <w:sz w:val="20"/>
          <w:vertAlign w:val="subscript"/>
        </w:rPr>
        <w:t>IB</w:t>
      </w:r>
      <w:r w:rsidR="006E1AF9">
        <w:rPr>
          <w:sz w:val="20"/>
        </w:rPr>
        <w:t xml:space="preserve"> </w:t>
      </w:r>
      <w:r>
        <w:rPr>
          <w:sz w:val="20"/>
        </w:rPr>
        <w:t>of 2 dB</w:t>
      </w:r>
      <w:r w:rsidR="006E1AF9">
        <w:rPr>
          <w:sz w:val="20"/>
        </w:rPr>
        <w:t xml:space="preserve"> </w:t>
      </w:r>
      <w:r>
        <w:rPr>
          <w:sz w:val="20"/>
        </w:rPr>
        <w:t>for Band 4 and 0 dB for non-aggregated high bands (0 dB for class A1)</w:t>
      </w:r>
    </w:p>
    <w:p w:rsidR="00A432F8" w:rsidRPr="00A432F8" w:rsidRDefault="00A432F8" w:rsidP="00A432F8">
      <w:pPr>
        <w:numPr>
          <w:ilvl w:val="0"/>
          <w:numId w:val="16"/>
        </w:numPr>
        <w:spacing w:before="120" w:after="120"/>
        <w:rPr>
          <w:sz w:val="20"/>
        </w:rPr>
      </w:pPr>
      <w:r w:rsidRPr="009E3C49">
        <w:rPr>
          <w:color w:val="000000"/>
          <w:sz w:val="20"/>
        </w:rPr>
        <w:t>∆</w:t>
      </w:r>
      <w:r>
        <w:rPr>
          <w:color w:val="000000"/>
          <w:sz w:val="20"/>
        </w:rPr>
        <w:t>T</w:t>
      </w:r>
      <w:r w:rsidRPr="009E3C49">
        <w:rPr>
          <w:color w:val="000000"/>
          <w:sz w:val="20"/>
          <w:vertAlign w:val="subscript"/>
        </w:rPr>
        <w:t>IB</w:t>
      </w:r>
      <w:r>
        <w:rPr>
          <w:sz w:val="20"/>
        </w:rPr>
        <w:t xml:space="preserve"> of 0.3 dB for all high bands (0.3 dB for class A1)</w:t>
      </w:r>
    </w:p>
    <w:p w:rsidR="00A432F8" w:rsidRPr="00A432F8" w:rsidRDefault="00A432F8" w:rsidP="00A432F8">
      <w:pPr>
        <w:numPr>
          <w:ilvl w:val="0"/>
          <w:numId w:val="16"/>
        </w:numPr>
        <w:spacing w:before="120" w:after="120"/>
        <w:rPr>
          <w:color w:val="000000"/>
          <w:sz w:val="20"/>
          <w:lang w:val="en-US"/>
        </w:rPr>
      </w:pPr>
      <w:r w:rsidRPr="00A432F8">
        <w:rPr>
          <w:color w:val="000000"/>
          <w:sz w:val="20"/>
        </w:rPr>
        <w:t>∆R</w:t>
      </w:r>
      <w:r w:rsidRPr="00A432F8">
        <w:rPr>
          <w:color w:val="000000"/>
          <w:sz w:val="20"/>
          <w:vertAlign w:val="subscript"/>
        </w:rPr>
        <w:t>IB</w:t>
      </w:r>
      <w:r w:rsidRPr="00A432F8">
        <w:rPr>
          <w:color w:val="000000"/>
          <w:sz w:val="20"/>
        </w:rPr>
        <w:t xml:space="preserve"> of </w:t>
      </w:r>
      <w:r w:rsidRPr="00A432F8">
        <w:rPr>
          <w:i/>
          <w:color w:val="000000"/>
          <w:sz w:val="20"/>
        </w:rPr>
        <w:t>0.8 dB</w:t>
      </w:r>
      <w:r w:rsidRPr="00A432F8">
        <w:rPr>
          <w:color w:val="000000"/>
          <w:sz w:val="20"/>
        </w:rPr>
        <w:t xml:space="preserve"> for Band 17 and </w:t>
      </w:r>
      <w:r w:rsidRPr="00A432F8">
        <w:rPr>
          <w:i/>
          <w:color w:val="000000"/>
          <w:sz w:val="20"/>
        </w:rPr>
        <w:t>0.4 dB</w:t>
      </w:r>
      <w:r w:rsidRPr="00A432F8">
        <w:rPr>
          <w:color w:val="000000"/>
          <w:sz w:val="20"/>
        </w:rPr>
        <w:t xml:space="preserve"> for non-aggregated low bands (0 dB for class A1)</w:t>
      </w:r>
    </w:p>
    <w:p w:rsidR="006E1AF9" w:rsidRPr="006E1AF9" w:rsidRDefault="006E1AF9" w:rsidP="00A432F8">
      <w:pPr>
        <w:numPr>
          <w:ilvl w:val="0"/>
          <w:numId w:val="16"/>
        </w:numPr>
        <w:spacing w:before="120" w:after="120"/>
        <w:rPr>
          <w:sz w:val="20"/>
        </w:rPr>
      </w:pPr>
      <w:r w:rsidRPr="009E3C49">
        <w:rPr>
          <w:color w:val="000000"/>
          <w:sz w:val="20"/>
        </w:rPr>
        <w:t>∆T</w:t>
      </w:r>
      <w:r w:rsidRPr="009E3C49">
        <w:rPr>
          <w:color w:val="000000"/>
          <w:sz w:val="20"/>
          <w:vertAlign w:val="subscript"/>
        </w:rPr>
        <w:t>IB</w:t>
      </w:r>
      <w:r>
        <w:rPr>
          <w:color w:val="000000"/>
          <w:sz w:val="20"/>
        </w:rPr>
        <w:t xml:space="preserve"> of </w:t>
      </w:r>
      <w:r w:rsidRPr="006E1AF9">
        <w:rPr>
          <w:i/>
          <w:color w:val="000000"/>
          <w:sz w:val="20"/>
        </w:rPr>
        <w:t>1.1 dB</w:t>
      </w:r>
      <w:r>
        <w:rPr>
          <w:color w:val="000000"/>
          <w:sz w:val="20"/>
        </w:rPr>
        <w:t xml:space="preserve"> for Band 17, and </w:t>
      </w:r>
      <w:r w:rsidRPr="006E1AF9">
        <w:rPr>
          <w:i/>
          <w:color w:val="000000"/>
          <w:sz w:val="20"/>
        </w:rPr>
        <w:t>0.7 dB</w:t>
      </w:r>
      <w:r>
        <w:rPr>
          <w:color w:val="000000"/>
          <w:sz w:val="20"/>
        </w:rPr>
        <w:t xml:space="preserve"> for non-aggregated low bands (</w:t>
      </w:r>
      <w:r w:rsidR="00436561">
        <w:rPr>
          <w:color w:val="000000"/>
          <w:sz w:val="20"/>
        </w:rPr>
        <w:t>0.3 dB for class A1</w:t>
      </w:r>
      <w:r>
        <w:rPr>
          <w:color w:val="000000"/>
          <w:sz w:val="20"/>
        </w:rPr>
        <w:t>)</w:t>
      </w:r>
    </w:p>
    <w:p w:rsidR="006E1AF9" w:rsidRDefault="006E1AF9" w:rsidP="006E1AF9">
      <w:pPr>
        <w:rPr>
          <w:sz w:val="20"/>
        </w:rPr>
      </w:pPr>
    </w:p>
    <w:p w:rsidR="00A432F8" w:rsidRDefault="00A432F8" w:rsidP="006E1AF9">
      <w:pPr>
        <w:rPr>
          <w:sz w:val="20"/>
        </w:rPr>
      </w:pPr>
      <w:r>
        <w:rPr>
          <w:sz w:val="20"/>
        </w:rPr>
        <w:t>It should be noted that there has been concern expressed over the ability to achieve the necessary isolation between the Band 17 PA output and the Band 4 LNA input.  From the analysis in [2], the required isolation would be in excess of 90 dB.  While it may not be possible to achieve this</w:t>
      </w:r>
      <w:r w:rsidR="0048487B">
        <w:rPr>
          <w:sz w:val="20"/>
        </w:rPr>
        <w:t xml:space="preserve"> level of</w:t>
      </w:r>
      <w:r>
        <w:rPr>
          <w:sz w:val="20"/>
        </w:rPr>
        <w:t xml:space="preserve"> isolation with all designs,</w:t>
      </w:r>
      <w:r w:rsidR="0048487B">
        <w:rPr>
          <w:sz w:val="20"/>
        </w:rPr>
        <w:t xml:space="preserve"> such isolation should be achievable with proper </w:t>
      </w:r>
      <w:r w:rsidR="00BA4F48">
        <w:rPr>
          <w:sz w:val="20"/>
        </w:rPr>
        <w:t xml:space="preserve">layout and </w:t>
      </w:r>
      <w:r w:rsidR="0048487B">
        <w:rPr>
          <w:sz w:val="20"/>
        </w:rPr>
        <w:t>shielding.  It can also be noted that even the analysis in [1] seems to assume that the achievable isolation between the low band PA and the high band LNA is on the order of 70 an 80 dB, respectively, for the main and diversity receivers, since the degradation of the sensitivity main and diversity receivers is less than 22.5 and 12.3 dB respectively.</w:t>
      </w:r>
    </w:p>
    <w:p w:rsidR="0048487B" w:rsidRDefault="0048487B" w:rsidP="006E1AF9">
      <w:pPr>
        <w:rPr>
          <w:sz w:val="20"/>
        </w:rPr>
      </w:pPr>
    </w:p>
    <w:p w:rsidR="0048487B" w:rsidRDefault="0048487B" w:rsidP="0048487B">
      <w:pPr>
        <w:pStyle w:val="Heading2"/>
      </w:pPr>
      <w:r>
        <w:t>RF architecture for low-high carrier aggregation using a single harmonic filter</w:t>
      </w:r>
    </w:p>
    <w:p w:rsidR="00355D4C" w:rsidRDefault="0048487B" w:rsidP="0048487B">
      <w:pPr>
        <w:rPr>
          <w:sz w:val="20"/>
        </w:rPr>
      </w:pPr>
      <w:r>
        <w:rPr>
          <w:sz w:val="20"/>
        </w:rPr>
        <w:t xml:space="preserve">A clear drawback of the architecture proposed in </w:t>
      </w:r>
      <w:r w:rsidR="0078381B">
        <w:rPr>
          <w:sz w:val="20"/>
        </w:rPr>
        <w:t>[2] and in Figure 2 above is that the harmonic filter between the diplexer and the low band switch introduces insertion loss into all of the non-aggregated low bands</w:t>
      </w:r>
      <w:r w:rsidR="00587873">
        <w:rPr>
          <w:sz w:val="20"/>
        </w:rPr>
        <w:t xml:space="preserve"> and thus degrades both maximum output power and reference sensitivity for these bands.  For this reason, an alternative architecture is proposed</w:t>
      </w:r>
      <w:r w:rsidR="00500763">
        <w:rPr>
          <w:sz w:val="20"/>
        </w:rPr>
        <w:t xml:space="preserve"> in Figure 3 </w:t>
      </w:r>
      <w:r w:rsidR="00587873">
        <w:rPr>
          <w:sz w:val="20"/>
        </w:rPr>
        <w:t xml:space="preserve">in which this second harmonic filter is removed.  The </w:t>
      </w:r>
      <w:r w:rsidR="00355D4C">
        <w:rPr>
          <w:sz w:val="20"/>
        </w:rPr>
        <w:t xml:space="preserve">intended purpose </w:t>
      </w:r>
      <w:r w:rsidR="00587873">
        <w:rPr>
          <w:sz w:val="20"/>
        </w:rPr>
        <w:t>of the second harmonic filter was to attenuate harmonics generated in the low band switch.</w:t>
      </w:r>
      <w:r w:rsidR="00355D4C">
        <w:rPr>
          <w:sz w:val="20"/>
        </w:rPr>
        <w:t xml:space="preserve">  However, recently, much more linear switches have become available for which the second harmonic filter is no longer necessary.  </w:t>
      </w:r>
    </w:p>
    <w:p w:rsidR="00355D4C" w:rsidRDefault="00355D4C" w:rsidP="0048487B">
      <w:pPr>
        <w:rPr>
          <w:sz w:val="20"/>
        </w:rPr>
      </w:pPr>
    </w:p>
    <w:p w:rsidR="00500763" w:rsidRDefault="00355D4C" w:rsidP="00500763">
      <w:pPr>
        <w:rPr>
          <w:sz w:val="20"/>
        </w:rPr>
      </w:pPr>
      <w:r>
        <w:rPr>
          <w:sz w:val="20"/>
        </w:rPr>
        <w:t>Thus, with the removal of the second harmonic filter, we have the following benefits:</w:t>
      </w:r>
    </w:p>
    <w:p w:rsidR="00355D4C" w:rsidRDefault="00500763" w:rsidP="00500763">
      <w:pPr>
        <w:numPr>
          <w:ilvl w:val="0"/>
          <w:numId w:val="20"/>
        </w:numPr>
        <w:spacing w:before="120"/>
        <w:rPr>
          <w:sz w:val="20"/>
        </w:rPr>
      </w:pPr>
      <w:r>
        <w:rPr>
          <w:sz w:val="20"/>
        </w:rPr>
        <w:t>t</w:t>
      </w:r>
      <w:r w:rsidR="00355D4C">
        <w:rPr>
          <w:sz w:val="20"/>
        </w:rPr>
        <w:t xml:space="preserve">he non-aggregated low bands are not degraded with respect to </w:t>
      </w:r>
      <w:r>
        <w:rPr>
          <w:sz w:val="20"/>
        </w:rPr>
        <w:t xml:space="preserve">either maximum output power or sensitivity (however, </w:t>
      </w:r>
      <w:r w:rsidRPr="009E3C49">
        <w:rPr>
          <w:color w:val="000000"/>
          <w:sz w:val="20"/>
        </w:rPr>
        <w:t>∆</w:t>
      </w:r>
      <w:r>
        <w:rPr>
          <w:color w:val="000000"/>
          <w:sz w:val="20"/>
        </w:rPr>
        <w:t>T</w:t>
      </w:r>
      <w:r w:rsidRPr="009E3C49">
        <w:rPr>
          <w:color w:val="000000"/>
          <w:sz w:val="20"/>
          <w:vertAlign w:val="subscript"/>
        </w:rPr>
        <w:t>IB</w:t>
      </w:r>
      <w:r>
        <w:rPr>
          <w:sz w:val="20"/>
        </w:rPr>
        <w:t xml:space="preserve"> </w:t>
      </w:r>
      <w:r w:rsidR="00A57E37">
        <w:rPr>
          <w:sz w:val="20"/>
        </w:rPr>
        <w:t>is still</w:t>
      </w:r>
      <w:r>
        <w:rPr>
          <w:sz w:val="20"/>
        </w:rPr>
        <w:t xml:space="preserve"> 0.3 dB due to the diplexer)</w:t>
      </w:r>
    </w:p>
    <w:p w:rsidR="00355D4C" w:rsidRDefault="00500763" w:rsidP="00500763">
      <w:pPr>
        <w:numPr>
          <w:ilvl w:val="0"/>
          <w:numId w:val="20"/>
        </w:numPr>
        <w:spacing w:before="120"/>
        <w:rPr>
          <w:sz w:val="20"/>
        </w:rPr>
      </w:pPr>
      <w:r>
        <w:rPr>
          <w:sz w:val="20"/>
        </w:rPr>
        <w:t>the insertion loss for the aggregated low band is reduced given there is now only one harmonic filter in the signal path</w:t>
      </w:r>
    </w:p>
    <w:p w:rsidR="00500763" w:rsidRDefault="00500763" w:rsidP="00500763">
      <w:pPr>
        <w:rPr>
          <w:sz w:val="20"/>
        </w:rPr>
      </w:pPr>
    </w:p>
    <w:p w:rsidR="00355D4C" w:rsidRDefault="00500763" w:rsidP="0048487B">
      <w:pPr>
        <w:rPr>
          <w:sz w:val="20"/>
        </w:rPr>
      </w:pPr>
      <w:r>
        <w:rPr>
          <w:sz w:val="20"/>
        </w:rPr>
        <w:t xml:space="preserve">In choosing between the architectures in Figure 1 and Figure 3, the </w:t>
      </w:r>
      <w:r w:rsidR="00D773A7">
        <w:rPr>
          <w:sz w:val="20"/>
        </w:rPr>
        <w:t>question essentially becomes whether or not it is worth some small degradation of maximum output power and reference sensitivity on the aggregated low band in order to significantly improve the worst case reference sensitivity for the aggregated high band.  For this reason, we suggest that the architecture in Figure 3 be considered in setting requirements for class A2.</w:t>
      </w:r>
    </w:p>
    <w:p w:rsidR="0035037F" w:rsidRPr="00855297" w:rsidRDefault="001F5374" w:rsidP="001F5374">
      <w:pPr>
        <w:spacing w:before="120" w:after="120"/>
        <w:jc w:val="center"/>
        <w:rPr>
          <w:rFonts w:eastAsia="MS Mincho"/>
          <w:b/>
          <w:sz w:val="20"/>
          <w:lang w:eastAsia="en-US"/>
        </w:rPr>
      </w:pPr>
      <w:r w:rsidRPr="009E3C49">
        <w:rPr>
          <w:sz w:val="20"/>
        </w:rPr>
        <w:pict>
          <v:shape id="_x0000_i1027" type="#_x0000_t75" style="width:398.15pt;height:194.5pt">
            <v:imagedata r:id="rId9" o:title=""/>
          </v:shape>
        </w:pict>
      </w:r>
    </w:p>
    <w:p w:rsidR="0048487B" w:rsidRDefault="00A432F8" w:rsidP="00D773A7">
      <w:pPr>
        <w:spacing w:before="120" w:after="120"/>
        <w:jc w:val="center"/>
        <w:rPr>
          <w:rFonts w:eastAsia="MS Mincho"/>
          <w:b/>
          <w:sz w:val="20"/>
          <w:lang w:eastAsia="en-US"/>
        </w:rPr>
      </w:pPr>
      <w:r w:rsidRPr="00855297">
        <w:rPr>
          <w:rFonts w:eastAsia="MS Mincho"/>
          <w:b/>
          <w:sz w:val="20"/>
          <w:lang w:eastAsia="en-US"/>
        </w:rPr>
        <w:t xml:space="preserve">Figure </w:t>
      </w:r>
      <w:r>
        <w:rPr>
          <w:rFonts w:eastAsia="MS Mincho"/>
          <w:b/>
          <w:sz w:val="20"/>
          <w:lang w:eastAsia="en-US"/>
        </w:rPr>
        <w:t xml:space="preserve">3 - RF architecture for inter-band carrier aggregation for Band 4 and Band 17 using </w:t>
      </w:r>
      <w:r w:rsidR="0048487B">
        <w:rPr>
          <w:rFonts w:eastAsia="MS Mincho"/>
          <w:b/>
          <w:sz w:val="20"/>
          <w:lang w:eastAsia="en-US"/>
        </w:rPr>
        <w:t>a single harmonic filter</w:t>
      </w:r>
      <w:r w:rsidRPr="00855297">
        <w:rPr>
          <w:rFonts w:eastAsia="MS Mincho"/>
          <w:b/>
          <w:sz w:val="20"/>
          <w:lang w:eastAsia="en-US"/>
        </w:rPr>
        <w:t>.</w:t>
      </w:r>
    </w:p>
    <w:p w:rsidR="00986B52" w:rsidRPr="003D1980" w:rsidRDefault="00257E18" w:rsidP="00986B52">
      <w:pPr>
        <w:pStyle w:val="Heading1"/>
        <w:spacing w:after="120"/>
        <w:jc w:val="both"/>
        <w:rPr>
          <w:b/>
          <w:color w:val="000000"/>
        </w:rPr>
      </w:pPr>
      <w:r w:rsidRPr="003D1980">
        <w:rPr>
          <w:rFonts w:hint="eastAsia"/>
          <w:b/>
          <w:color w:val="000000"/>
        </w:rPr>
        <w:t>Conclusion</w:t>
      </w:r>
    </w:p>
    <w:p w:rsidR="00D773A7" w:rsidRDefault="009E6FBA" w:rsidP="009E6FBA">
      <w:pPr>
        <w:widowControl w:val="0"/>
        <w:spacing w:after="120"/>
        <w:jc w:val="both"/>
        <w:rPr>
          <w:sz w:val="20"/>
          <w:lang w:val="en-US"/>
        </w:rPr>
      </w:pPr>
      <w:r w:rsidRPr="009E6FBA">
        <w:rPr>
          <w:color w:val="000000"/>
          <w:sz w:val="20"/>
        </w:rPr>
        <w:t xml:space="preserve">In this contribution, </w:t>
      </w:r>
      <w:r w:rsidR="00D773A7">
        <w:rPr>
          <w:color w:val="000000"/>
          <w:sz w:val="20"/>
        </w:rPr>
        <w:t xml:space="preserve">several possible RF architectures have been presented which can be considered in setting performance </w:t>
      </w:r>
      <w:r w:rsidR="00D773A7">
        <w:rPr>
          <w:color w:val="000000"/>
          <w:sz w:val="20"/>
        </w:rPr>
        <w:lastRenderedPageBreak/>
        <w:t>requirements for inter band carrier aggregation</w:t>
      </w:r>
      <w:r w:rsidR="008D6288">
        <w:rPr>
          <w:color w:val="000000"/>
          <w:sz w:val="20"/>
        </w:rPr>
        <w:t xml:space="preserve"> class </w:t>
      </w:r>
      <w:r w:rsidR="008A4E32" w:rsidRPr="00301BB3">
        <w:rPr>
          <w:sz w:val="20"/>
          <w:lang w:val="en-US"/>
        </w:rPr>
        <w:t xml:space="preserve">A2 - </w:t>
      </w:r>
      <w:r w:rsidR="00D773A7">
        <w:rPr>
          <w:sz w:val="20"/>
          <w:lang w:val="en-US"/>
        </w:rPr>
        <w:t>l</w:t>
      </w:r>
      <w:r w:rsidR="008A4E32" w:rsidRPr="00301BB3">
        <w:rPr>
          <w:sz w:val="20"/>
          <w:lang w:val="en-US"/>
        </w:rPr>
        <w:t>ow-high band combination with harmonic relation between bands</w:t>
      </w:r>
      <w:r w:rsidR="00D773A7">
        <w:rPr>
          <w:sz w:val="20"/>
          <w:lang w:val="en-US"/>
        </w:rPr>
        <w:t xml:space="preserve">.  Each of these architectures will have different consequences with respect to the required MOP </w:t>
      </w:r>
      <w:r w:rsidR="00D773A7" w:rsidRPr="00301BB3">
        <w:rPr>
          <w:sz w:val="20"/>
          <w:lang w:val="en-US"/>
        </w:rPr>
        <w:t>(</w:t>
      </w:r>
      <w:r w:rsidR="00D773A7" w:rsidRPr="00E9455F">
        <w:rPr>
          <w:rFonts w:eastAsia="Times New Roman"/>
          <w:sz w:val="20"/>
          <w:lang w:eastAsia="en-US"/>
        </w:rPr>
        <w:t>ΔT</w:t>
      </w:r>
      <w:r w:rsidR="00D773A7" w:rsidRPr="00E9455F">
        <w:rPr>
          <w:rFonts w:eastAsia="Times New Roman"/>
          <w:sz w:val="20"/>
          <w:vertAlign w:val="subscript"/>
          <w:lang w:eastAsia="en-US"/>
        </w:rPr>
        <w:t>IB,c</w:t>
      </w:r>
      <w:r w:rsidR="00D773A7" w:rsidRPr="00906FCD">
        <w:rPr>
          <w:sz w:val="20"/>
          <w:lang w:val="en-US"/>
        </w:rPr>
        <w:t>)</w:t>
      </w:r>
      <w:r w:rsidR="00D773A7">
        <w:rPr>
          <w:sz w:val="20"/>
          <w:lang w:val="en-US"/>
        </w:rPr>
        <w:t xml:space="preserve"> and REFSENS (</w:t>
      </w:r>
      <w:r w:rsidR="00D773A7">
        <w:rPr>
          <w:rFonts w:eastAsia="Times New Roman"/>
          <w:sz w:val="20"/>
          <w:lang w:eastAsia="en-US"/>
        </w:rPr>
        <w:t>ΔR</w:t>
      </w:r>
      <w:r w:rsidR="00D773A7" w:rsidRPr="00E9455F">
        <w:rPr>
          <w:rFonts w:eastAsia="Times New Roman"/>
          <w:sz w:val="20"/>
          <w:vertAlign w:val="subscript"/>
          <w:lang w:eastAsia="en-US"/>
        </w:rPr>
        <w:t>IB</w:t>
      </w:r>
      <w:r w:rsidR="00D773A7">
        <w:rPr>
          <w:sz w:val="20"/>
          <w:lang w:val="en-US"/>
        </w:rPr>
        <w:t>)</w:t>
      </w:r>
      <w:r w:rsidR="008B58D8">
        <w:rPr>
          <w:sz w:val="20"/>
          <w:lang w:val="en-US"/>
        </w:rPr>
        <w:t xml:space="preserve"> for both the aggregated and non-aggregated bands.  As the architecture in Figure 3 mitigates the harmonic interference into the aggregated upper band without negatively impacting the MOP or the REFSENS of the non-aggregated lower bands, we propose that this architecture be considered along with the architectures previously considered in Figures 1 and 2 when setting requirements for carrier aggregation class A2.</w:t>
      </w:r>
    </w:p>
    <w:p w:rsidR="008B58D8" w:rsidRDefault="008B58D8" w:rsidP="009E6FBA">
      <w:pPr>
        <w:widowControl w:val="0"/>
        <w:spacing w:after="120"/>
        <w:jc w:val="both"/>
        <w:rPr>
          <w:sz w:val="20"/>
          <w:lang w:val="en-US"/>
        </w:rPr>
      </w:pPr>
    </w:p>
    <w:p w:rsidR="00900DAE" w:rsidRPr="003D1980" w:rsidRDefault="00900DAE" w:rsidP="006B6438">
      <w:pPr>
        <w:pStyle w:val="Heading1"/>
        <w:numPr>
          <w:ilvl w:val="0"/>
          <w:numId w:val="0"/>
        </w:numPr>
        <w:spacing w:before="0" w:after="120"/>
        <w:jc w:val="both"/>
        <w:rPr>
          <w:b/>
          <w:color w:val="000000"/>
        </w:rPr>
      </w:pPr>
      <w:r w:rsidRPr="003D1980">
        <w:rPr>
          <w:b/>
          <w:color w:val="000000"/>
        </w:rPr>
        <w:t>References</w:t>
      </w:r>
    </w:p>
    <w:p w:rsidR="00EF3807" w:rsidRPr="00A36A23" w:rsidRDefault="00EF3807" w:rsidP="00EF3807">
      <w:pPr>
        <w:pStyle w:val="11BodyText"/>
        <w:numPr>
          <w:ilvl w:val="0"/>
          <w:numId w:val="5"/>
        </w:numPr>
        <w:rPr>
          <w:rFonts w:ascii="Times New Roman" w:hAnsi="Times New Roman"/>
        </w:rPr>
      </w:pPr>
      <w:bookmarkStart w:id="2" w:name="_Ref314747495"/>
      <w:r w:rsidRPr="00A36A23">
        <w:rPr>
          <w:rFonts w:ascii="Times New Roman" w:hAnsi="Times New Roman"/>
        </w:rPr>
        <w:t>R4-120442, Way forward for inter-band CA Class A2, Nokia Corporation, RAN4 #62 Dresden, Germany</w:t>
      </w:r>
    </w:p>
    <w:p w:rsidR="00A36A23" w:rsidRPr="008B58D8" w:rsidRDefault="00EF3807" w:rsidP="008B58D8">
      <w:pPr>
        <w:pStyle w:val="11BodyText"/>
        <w:numPr>
          <w:ilvl w:val="0"/>
          <w:numId w:val="5"/>
        </w:numPr>
        <w:rPr>
          <w:rFonts w:ascii="Times New Roman" w:hAnsi="Times New Roman"/>
        </w:rPr>
      </w:pPr>
      <w:r w:rsidRPr="00A36A23">
        <w:rPr>
          <w:rFonts w:ascii="Times New Roman" w:hAnsi="Times New Roman"/>
        </w:rPr>
        <w:t>R4-120774, MOP and REFSENS Relaxation for Carrier Aggregation for Band 4 and Band 17, Motorola Mobility and AT&amp;T, RAN4 #62 Dresden, Germany</w:t>
      </w:r>
      <w:bookmarkEnd w:id="2"/>
    </w:p>
    <w:sectPr w:rsidR="00A36A23" w:rsidRPr="008B58D8" w:rsidSect="00CA686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B22" w:rsidRDefault="00581B22">
      <w:r>
        <w:separator/>
      </w:r>
    </w:p>
  </w:endnote>
  <w:endnote w:type="continuationSeparator" w:id="0">
    <w:p w:rsidR="00581B22" w:rsidRDefault="00581B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37F" w:rsidRDefault="0035037F">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57E37">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57E37">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B22" w:rsidRDefault="00581B22">
      <w:r>
        <w:separator/>
      </w:r>
    </w:p>
  </w:footnote>
  <w:footnote w:type="continuationSeparator" w:id="0">
    <w:p w:rsidR="00581B22" w:rsidRDefault="00581B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3">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9">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7"/>
  </w:num>
  <w:num w:numId="5">
    <w:abstractNumId w:val="4"/>
  </w:num>
  <w:num w:numId="6">
    <w:abstractNumId w:val="18"/>
  </w:num>
  <w:num w:numId="7">
    <w:abstractNumId w:val="2"/>
  </w:num>
  <w:num w:numId="8">
    <w:abstractNumId w:val="14"/>
  </w:num>
  <w:num w:numId="9">
    <w:abstractNumId w:val="8"/>
  </w:num>
  <w:num w:numId="10">
    <w:abstractNumId w:val="11"/>
  </w:num>
  <w:num w:numId="11">
    <w:abstractNumId w:val="15"/>
  </w:num>
  <w:num w:numId="12">
    <w:abstractNumId w:val="9"/>
  </w:num>
  <w:num w:numId="13">
    <w:abstractNumId w:val="10"/>
  </w:num>
  <w:num w:numId="14">
    <w:abstractNumId w:val="3"/>
  </w:num>
  <w:num w:numId="15">
    <w:abstractNumId w:val="1"/>
  </w:num>
  <w:num w:numId="16">
    <w:abstractNumId w:val="12"/>
  </w:num>
  <w:num w:numId="17">
    <w:abstractNumId w:val="16"/>
  </w:num>
  <w:num w:numId="18">
    <w:abstractNumId w:val="17"/>
  </w:num>
  <w:num w:numId="19">
    <w:abstractNumId w:val="6"/>
  </w:num>
  <w:num w:numId="2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6146">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EA6"/>
    <w:rsid w:val="00066FAF"/>
    <w:rsid w:val="00067AD3"/>
    <w:rsid w:val="00070323"/>
    <w:rsid w:val="00070BD1"/>
    <w:rsid w:val="00071382"/>
    <w:rsid w:val="00071987"/>
    <w:rsid w:val="00072998"/>
    <w:rsid w:val="00073891"/>
    <w:rsid w:val="0007585B"/>
    <w:rsid w:val="000761E9"/>
    <w:rsid w:val="00081697"/>
    <w:rsid w:val="00081C3F"/>
    <w:rsid w:val="0008201A"/>
    <w:rsid w:val="00082A22"/>
    <w:rsid w:val="0008390F"/>
    <w:rsid w:val="000840C3"/>
    <w:rsid w:val="000850E1"/>
    <w:rsid w:val="0008577F"/>
    <w:rsid w:val="00086246"/>
    <w:rsid w:val="00086C10"/>
    <w:rsid w:val="00086D89"/>
    <w:rsid w:val="0008771A"/>
    <w:rsid w:val="000900C9"/>
    <w:rsid w:val="00092BE4"/>
    <w:rsid w:val="00092D77"/>
    <w:rsid w:val="00093F84"/>
    <w:rsid w:val="00094631"/>
    <w:rsid w:val="0009490A"/>
    <w:rsid w:val="00095181"/>
    <w:rsid w:val="0009643A"/>
    <w:rsid w:val="000966A3"/>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32DD"/>
    <w:rsid w:val="00153490"/>
    <w:rsid w:val="0015365F"/>
    <w:rsid w:val="0015439F"/>
    <w:rsid w:val="001545B1"/>
    <w:rsid w:val="00154C6A"/>
    <w:rsid w:val="001551D0"/>
    <w:rsid w:val="00155549"/>
    <w:rsid w:val="00155694"/>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2590"/>
    <w:rsid w:val="001A2F38"/>
    <w:rsid w:val="001A3C40"/>
    <w:rsid w:val="001A3D54"/>
    <w:rsid w:val="001A3E2A"/>
    <w:rsid w:val="001A4B90"/>
    <w:rsid w:val="001A65A8"/>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6AE"/>
    <w:rsid w:val="001C16FD"/>
    <w:rsid w:val="001C2D37"/>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442F"/>
    <w:rsid w:val="001F5374"/>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5FE1"/>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F8C"/>
    <w:rsid w:val="002F591D"/>
    <w:rsid w:val="002F6B38"/>
    <w:rsid w:val="002F7955"/>
    <w:rsid w:val="00301BB3"/>
    <w:rsid w:val="00302254"/>
    <w:rsid w:val="00302595"/>
    <w:rsid w:val="00302BA1"/>
    <w:rsid w:val="00303010"/>
    <w:rsid w:val="00303298"/>
    <w:rsid w:val="00303765"/>
    <w:rsid w:val="00303E7C"/>
    <w:rsid w:val="00304149"/>
    <w:rsid w:val="00305C70"/>
    <w:rsid w:val="003072BE"/>
    <w:rsid w:val="003073D5"/>
    <w:rsid w:val="003122E5"/>
    <w:rsid w:val="00312C11"/>
    <w:rsid w:val="00315E15"/>
    <w:rsid w:val="00315E54"/>
    <w:rsid w:val="00317174"/>
    <w:rsid w:val="00317A1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5037F"/>
    <w:rsid w:val="00350480"/>
    <w:rsid w:val="003518D6"/>
    <w:rsid w:val="00351FD6"/>
    <w:rsid w:val="00354D50"/>
    <w:rsid w:val="003557A2"/>
    <w:rsid w:val="00355D4C"/>
    <w:rsid w:val="00356823"/>
    <w:rsid w:val="003568E5"/>
    <w:rsid w:val="00356E3D"/>
    <w:rsid w:val="003575AA"/>
    <w:rsid w:val="00361E5F"/>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105E"/>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F71"/>
    <w:rsid w:val="003C5339"/>
    <w:rsid w:val="003C7B58"/>
    <w:rsid w:val="003D015C"/>
    <w:rsid w:val="003D08FC"/>
    <w:rsid w:val="003D1166"/>
    <w:rsid w:val="003D1980"/>
    <w:rsid w:val="003D1B92"/>
    <w:rsid w:val="003D1C8F"/>
    <w:rsid w:val="003D297D"/>
    <w:rsid w:val="003D2E3C"/>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11E"/>
    <w:rsid w:val="0040244D"/>
    <w:rsid w:val="0040283C"/>
    <w:rsid w:val="004030CE"/>
    <w:rsid w:val="004035CC"/>
    <w:rsid w:val="00404227"/>
    <w:rsid w:val="00404C2C"/>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B32"/>
    <w:rsid w:val="0044406B"/>
    <w:rsid w:val="0044450B"/>
    <w:rsid w:val="00445846"/>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79"/>
    <w:rsid w:val="00474A99"/>
    <w:rsid w:val="00474CF1"/>
    <w:rsid w:val="00475023"/>
    <w:rsid w:val="004776C5"/>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6999"/>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3BC6"/>
    <w:rsid w:val="005157CC"/>
    <w:rsid w:val="005157F9"/>
    <w:rsid w:val="00516077"/>
    <w:rsid w:val="0051661A"/>
    <w:rsid w:val="00517278"/>
    <w:rsid w:val="00517900"/>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F7"/>
    <w:rsid w:val="00563630"/>
    <w:rsid w:val="00563C53"/>
    <w:rsid w:val="00563EE7"/>
    <w:rsid w:val="00564459"/>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C92"/>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D06"/>
    <w:rsid w:val="005A6D85"/>
    <w:rsid w:val="005A70CA"/>
    <w:rsid w:val="005A760D"/>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16FF"/>
    <w:rsid w:val="005E1D1F"/>
    <w:rsid w:val="005E2517"/>
    <w:rsid w:val="005E299F"/>
    <w:rsid w:val="005E36D0"/>
    <w:rsid w:val="005E3CAA"/>
    <w:rsid w:val="005E4192"/>
    <w:rsid w:val="005E42A2"/>
    <w:rsid w:val="005E4E3F"/>
    <w:rsid w:val="005E5ACE"/>
    <w:rsid w:val="005E5C36"/>
    <w:rsid w:val="005E5CB1"/>
    <w:rsid w:val="005E5EBB"/>
    <w:rsid w:val="005E5EEB"/>
    <w:rsid w:val="005E6947"/>
    <w:rsid w:val="005E6B4F"/>
    <w:rsid w:val="005E6FB9"/>
    <w:rsid w:val="005F07DA"/>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F2B"/>
    <w:rsid w:val="00601605"/>
    <w:rsid w:val="00601998"/>
    <w:rsid w:val="00601B56"/>
    <w:rsid w:val="00601D29"/>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FAC"/>
    <w:rsid w:val="0062189F"/>
    <w:rsid w:val="00621B6F"/>
    <w:rsid w:val="00621C6F"/>
    <w:rsid w:val="006223A6"/>
    <w:rsid w:val="00622823"/>
    <w:rsid w:val="006230FA"/>
    <w:rsid w:val="00624129"/>
    <w:rsid w:val="0062432F"/>
    <w:rsid w:val="006244E4"/>
    <w:rsid w:val="006251ED"/>
    <w:rsid w:val="006253C7"/>
    <w:rsid w:val="00625BC9"/>
    <w:rsid w:val="00626532"/>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421A"/>
    <w:rsid w:val="006C445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11CB"/>
    <w:rsid w:val="006F1D99"/>
    <w:rsid w:val="006F208E"/>
    <w:rsid w:val="006F229E"/>
    <w:rsid w:val="006F23FC"/>
    <w:rsid w:val="006F2EA1"/>
    <w:rsid w:val="006F707D"/>
    <w:rsid w:val="006F70D3"/>
    <w:rsid w:val="006F71FF"/>
    <w:rsid w:val="007003EA"/>
    <w:rsid w:val="00700B12"/>
    <w:rsid w:val="00700CBF"/>
    <w:rsid w:val="00701BA9"/>
    <w:rsid w:val="00701EBC"/>
    <w:rsid w:val="00703368"/>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ACF"/>
    <w:rsid w:val="007529C9"/>
    <w:rsid w:val="00755136"/>
    <w:rsid w:val="00755B12"/>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1974"/>
    <w:rsid w:val="007C1F01"/>
    <w:rsid w:val="007C23C5"/>
    <w:rsid w:val="007C26F4"/>
    <w:rsid w:val="007C2D6F"/>
    <w:rsid w:val="007C2ED4"/>
    <w:rsid w:val="007C3134"/>
    <w:rsid w:val="007C3300"/>
    <w:rsid w:val="007C3396"/>
    <w:rsid w:val="007C3494"/>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A99"/>
    <w:rsid w:val="007F15C8"/>
    <w:rsid w:val="007F1CBA"/>
    <w:rsid w:val="007F2A38"/>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72C9"/>
    <w:rsid w:val="008906F0"/>
    <w:rsid w:val="00891026"/>
    <w:rsid w:val="008911D5"/>
    <w:rsid w:val="008912D7"/>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C03BD"/>
    <w:rsid w:val="008C055D"/>
    <w:rsid w:val="008C1A01"/>
    <w:rsid w:val="008C1E46"/>
    <w:rsid w:val="008C3289"/>
    <w:rsid w:val="008C35FE"/>
    <w:rsid w:val="008C43D0"/>
    <w:rsid w:val="008C648F"/>
    <w:rsid w:val="008C6706"/>
    <w:rsid w:val="008C7991"/>
    <w:rsid w:val="008C7B0F"/>
    <w:rsid w:val="008C7BB3"/>
    <w:rsid w:val="008D00D2"/>
    <w:rsid w:val="008D14F8"/>
    <w:rsid w:val="008D24A5"/>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C99"/>
    <w:rsid w:val="008E2E40"/>
    <w:rsid w:val="008E35DC"/>
    <w:rsid w:val="008E396B"/>
    <w:rsid w:val="008E4060"/>
    <w:rsid w:val="008E4266"/>
    <w:rsid w:val="008E508E"/>
    <w:rsid w:val="008E5FCF"/>
    <w:rsid w:val="008E6664"/>
    <w:rsid w:val="008E6B79"/>
    <w:rsid w:val="008E6FC8"/>
    <w:rsid w:val="008E7169"/>
    <w:rsid w:val="008E771A"/>
    <w:rsid w:val="008F12DB"/>
    <w:rsid w:val="008F34F1"/>
    <w:rsid w:val="008F4945"/>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3173"/>
    <w:rsid w:val="009334A5"/>
    <w:rsid w:val="009341A5"/>
    <w:rsid w:val="00934277"/>
    <w:rsid w:val="00934345"/>
    <w:rsid w:val="00934AA0"/>
    <w:rsid w:val="00935689"/>
    <w:rsid w:val="00935CAC"/>
    <w:rsid w:val="00936400"/>
    <w:rsid w:val="00936406"/>
    <w:rsid w:val="0093734F"/>
    <w:rsid w:val="00937716"/>
    <w:rsid w:val="00941C4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4CA"/>
    <w:rsid w:val="009A14EB"/>
    <w:rsid w:val="009A16BB"/>
    <w:rsid w:val="009A18AB"/>
    <w:rsid w:val="009A1A62"/>
    <w:rsid w:val="009A1CB4"/>
    <w:rsid w:val="009A285B"/>
    <w:rsid w:val="009A28C0"/>
    <w:rsid w:val="009A2FDA"/>
    <w:rsid w:val="009A2FE1"/>
    <w:rsid w:val="009A3310"/>
    <w:rsid w:val="009A37B0"/>
    <w:rsid w:val="009A4024"/>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989"/>
    <w:rsid w:val="009D3FC1"/>
    <w:rsid w:val="009D40FB"/>
    <w:rsid w:val="009D459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76B7"/>
    <w:rsid w:val="00A27763"/>
    <w:rsid w:val="00A27D1C"/>
    <w:rsid w:val="00A302BB"/>
    <w:rsid w:val="00A31440"/>
    <w:rsid w:val="00A3193D"/>
    <w:rsid w:val="00A31FF1"/>
    <w:rsid w:val="00A328B6"/>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BC2"/>
    <w:rsid w:val="00A76CC0"/>
    <w:rsid w:val="00A80453"/>
    <w:rsid w:val="00A806E1"/>
    <w:rsid w:val="00A80A03"/>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F38"/>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624"/>
    <w:rsid w:val="00B13D8F"/>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89E"/>
    <w:rsid w:val="00B737CC"/>
    <w:rsid w:val="00B73EA1"/>
    <w:rsid w:val="00B76DD1"/>
    <w:rsid w:val="00B76E3B"/>
    <w:rsid w:val="00B77916"/>
    <w:rsid w:val="00B8054A"/>
    <w:rsid w:val="00B80772"/>
    <w:rsid w:val="00B810AA"/>
    <w:rsid w:val="00B814F9"/>
    <w:rsid w:val="00B81C67"/>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CE7"/>
    <w:rsid w:val="00BB74BA"/>
    <w:rsid w:val="00BB7720"/>
    <w:rsid w:val="00BB7A4A"/>
    <w:rsid w:val="00BC008F"/>
    <w:rsid w:val="00BC3587"/>
    <w:rsid w:val="00BC370F"/>
    <w:rsid w:val="00BC41A0"/>
    <w:rsid w:val="00BC657B"/>
    <w:rsid w:val="00BC72F0"/>
    <w:rsid w:val="00BC787F"/>
    <w:rsid w:val="00BC7D42"/>
    <w:rsid w:val="00BD0B22"/>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51256"/>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5254"/>
    <w:rsid w:val="00C95903"/>
    <w:rsid w:val="00C973B5"/>
    <w:rsid w:val="00C97B64"/>
    <w:rsid w:val="00C97EF8"/>
    <w:rsid w:val="00CA0A6E"/>
    <w:rsid w:val="00CA1BCC"/>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B6F"/>
    <w:rsid w:val="00CF0B05"/>
    <w:rsid w:val="00CF0D83"/>
    <w:rsid w:val="00CF119F"/>
    <w:rsid w:val="00CF174D"/>
    <w:rsid w:val="00CF1761"/>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352"/>
    <w:rsid w:val="00D943AA"/>
    <w:rsid w:val="00D95A44"/>
    <w:rsid w:val="00D95F13"/>
    <w:rsid w:val="00D96C22"/>
    <w:rsid w:val="00D96C25"/>
    <w:rsid w:val="00D96E69"/>
    <w:rsid w:val="00D97528"/>
    <w:rsid w:val="00D977AF"/>
    <w:rsid w:val="00DA0115"/>
    <w:rsid w:val="00DA0F5A"/>
    <w:rsid w:val="00DA0FC3"/>
    <w:rsid w:val="00DA131F"/>
    <w:rsid w:val="00DA2F52"/>
    <w:rsid w:val="00DA376E"/>
    <w:rsid w:val="00DA3B01"/>
    <w:rsid w:val="00DA41BD"/>
    <w:rsid w:val="00DA4ADA"/>
    <w:rsid w:val="00DA554C"/>
    <w:rsid w:val="00DA6E95"/>
    <w:rsid w:val="00DA713C"/>
    <w:rsid w:val="00DA78E3"/>
    <w:rsid w:val="00DB038E"/>
    <w:rsid w:val="00DB1AA5"/>
    <w:rsid w:val="00DB2E8C"/>
    <w:rsid w:val="00DB3459"/>
    <w:rsid w:val="00DB53B7"/>
    <w:rsid w:val="00DB60FE"/>
    <w:rsid w:val="00DB6859"/>
    <w:rsid w:val="00DB6E52"/>
    <w:rsid w:val="00DC0653"/>
    <w:rsid w:val="00DC0898"/>
    <w:rsid w:val="00DC08EF"/>
    <w:rsid w:val="00DC150A"/>
    <w:rsid w:val="00DC1A90"/>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DD"/>
    <w:rsid w:val="00DD61DD"/>
    <w:rsid w:val="00DD6514"/>
    <w:rsid w:val="00DD7AB9"/>
    <w:rsid w:val="00DE055D"/>
    <w:rsid w:val="00DE19A1"/>
    <w:rsid w:val="00DE1A02"/>
    <w:rsid w:val="00DE2BDC"/>
    <w:rsid w:val="00DE2D53"/>
    <w:rsid w:val="00DE3C1B"/>
    <w:rsid w:val="00DE4323"/>
    <w:rsid w:val="00DE5606"/>
    <w:rsid w:val="00DE5C63"/>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3C44"/>
    <w:rsid w:val="00E03DC8"/>
    <w:rsid w:val="00E04EC4"/>
    <w:rsid w:val="00E0579D"/>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5E30"/>
    <w:rsid w:val="00E5668F"/>
    <w:rsid w:val="00E56829"/>
    <w:rsid w:val="00E57EE5"/>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A92"/>
    <w:rsid w:val="00EA5373"/>
    <w:rsid w:val="00EA56E3"/>
    <w:rsid w:val="00EA5E38"/>
    <w:rsid w:val="00EA67A3"/>
    <w:rsid w:val="00EA7753"/>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C052E"/>
    <w:rsid w:val="00EC0D05"/>
    <w:rsid w:val="00EC110F"/>
    <w:rsid w:val="00EC17BA"/>
    <w:rsid w:val="00EC1C35"/>
    <w:rsid w:val="00EC2575"/>
    <w:rsid w:val="00EC3B3B"/>
    <w:rsid w:val="00EC4821"/>
    <w:rsid w:val="00EC48EE"/>
    <w:rsid w:val="00EC51F3"/>
    <w:rsid w:val="00EC5423"/>
    <w:rsid w:val="00EC5892"/>
    <w:rsid w:val="00EC59AC"/>
    <w:rsid w:val="00EC633F"/>
    <w:rsid w:val="00EC7021"/>
    <w:rsid w:val="00ED04D1"/>
    <w:rsid w:val="00ED0839"/>
    <w:rsid w:val="00ED0A5B"/>
    <w:rsid w:val="00ED12AE"/>
    <w:rsid w:val="00ED1CFC"/>
    <w:rsid w:val="00ED3714"/>
    <w:rsid w:val="00ED4151"/>
    <w:rsid w:val="00ED43B8"/>
    <w:rsid w:val="00ED5C21"/>
    <w:rsid w:val="00ED62FC"/>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E2C"/>
    <w:rsid w:val="00F26A74"/>
    <w:rsid w:val="00F277EA"/>
    <w:rsid w:val="00F30CAC"/>
    <w:rsid w:val="00F30EA0"/>
    <w:rsid w:val="00F31169"/>
    <w:rsid w:val="00F31662"/>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6CF1"/>
    <w:rsid w:val="00F70179"/>
    <w:rsid w:val="00F70E78"/>
    <w:rsid w:val="00F711B8"/>
    <w:rsid w:val="00F71770"/>
    <w:rsid w:val="00F71B15"/>
    <w:rsid w:val="00F71F45"/>
    <w:rsid w:val="00F727CB"/>
    <w:rsid w:val="00F72D49"/>
    <w:rsid w:val="00F73F1A"/>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512"/>
    <w:rsid w:val="00F85203"/>
    <w:rsid w:val="00F85788"/>
    <w:rsid w:val="00F85A2B"/>
    <w:rsid w:val="00F85C47"/>
    <w:rsid w:val="00F8656C"/>
    <w:rsid w:val="00F868D3"/>
    <w:rsid w:val="00F8718A"/>
    <w:rsid w:val="00F87E5C"/>
    <w:rsid w:val="00F919CE"/>
    <w:rsid w:val="00F92727"/>
    <w:rsid w:val="00F93511"/>
    <w:rsid w:val="00F9389C"/>
    <w:rsid w:val="00F93AF3"/>
    <w:rsid w:val="00F94457"/>
    <w:rsid w:val="00F97638"/>
    <w:rsid w:val="00F97FF5"/>
    <w:rsid w:val="00FA0046"/>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255B"/>
    <w:rsid w:val="00FE2A37"/>
    <w:rsid w:val="00FE355C"/>
    <w:rsid w:val="00FE3640"/>
    <w:rsid w:val="00FE3B25"/>
    <w:rsid w:val="00FE3B92"/>
    <w:rsid w:val="00FE4478"/>
    <w:rsid w:val="00FE44B5"/>
    <w:rsid w:val="00FE499C"/>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9563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2012-03-19T23:53:00Z</dcterms:created>
  <dcterms:modified xsi:type="dcterms:W3CDTF">2012-03-19T23:53:00Z</dcterms:modified>
</cp:coreProperties>
</file>