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bookmarkStart w:id="1" w:name="OLE_LINK14"/>
      <w:r>
        <w:rPr>
          <w:bCs/>
          <w:color w:val="000000"/>
          <w:sz w:val="28"/>
          <w:szCs w:val="28"/>
        </w:rPr>
        <w:t>3GPP TSG RAN WG4 Meeting #62</w:t>
      </w:r>
      <w:r w:rsidR="004D1E8C"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Pr>
          <w:bCs/>
          <w:color w:val="000000"/>
          <w:sz w:val="28"/>
          <w:szCs w:val="28"/>
        </w:rPr>
        <w:t>120</w:t>
      </w:r>
      <w:r w:rsidR="006B7684">
        <w:rPr>
          <w:bCs/>
          <w:color w:val="000000"/>
          <w:sz w:val="28"/>
          <w:szCs w:val="28"/>
        </w:rPr>
        <w:t>775</w:t>
      </w:r>
    </w:p>
    <w:p w:rsidR="004D1E8C" w:rsidRPr="00C53197" w:rsidRDefault="004D1E8C" w:rsidP="004D1E8C">
      <w:pPr>
        <w:pStyle w:val="Header"/>
        <w:rPr>
          <w:bCs/>
          <w:color w:val="000000"/>
          <w:sz w:val="28"/>
          <w:szCs w:val="28"/>
          <w:lang w:val="en-US"/>
        </w:rPr>
      </w:pPr>
      <w:r w:rsidRPr="00C53197">
        <w:rPr>
          <w:bCs/>
          <w:color w:val="000000"/>
          <w:sz w:val="28"/>
          <w:szCs w:val="28"/>
          <w:lang w:val="en-US"/>
        </w:rPr>
        <w:t xml:space="preserve">Dresden, Germany, </w:t>
      </w:r>
      <w:r w:rsidR="00A65F7E">
        <w:rPr>
          <w:bCs/>
          <w:color w:val="000000"/>
          <w:sz w:val="28"/>
          <w:szCs w:val="28"/>
          <w:lang w:val="en-US"/>
        </w:rPr>
        <w:t>6</w:t>
      </w:r>
      <w:r w:rsidRPr="00C53197">
        <w:rPr>
          <w:bCs/>
          <w:color w:val="000000"/>
          <w:sz w:val="28"/>
          <w:szCs w:val="28"/>
          <w:lang w:val="en-US"/>
        </w:rPr>
        <w:t xml:space="preserve"> – </w:t>
      </w:r>
      <w:r w:rsidR="00A65F7E">
        <w:rPr>
          <w:bCs/>
          <w:color w:val="000000"/>
          <w:sz w:val="28"/>
          <w:szCs w:val="28"/>
          <w:lang w:val="en-US"/>
        </w:rPr>
        <w:t>10 Feb</w:t>
      </w:r>
      <w:r w:rsidRPr="00C53197">
        <w:rPr>
          <w:rFonts w:hint="eastAsia"/>
          <w:bCs/>
          <w:color w:val="000000"/>
          <w:sz w:val="28"/>
          <w:szCs w:val="28"/>
          <w:lang w:val="en-US"/>
        </w:rPr>
        <w:t>,</w:t>
      </w:r>
      <w:r w:rsidRPr="00C53197">
        <w:rPr>
          <w:bCs/>
          <w:color w:val="000000"/>
          <w:sz w:val="28"/>
          <w:szCs w:val="28"/>
          <w:lang w:val="en-US"/>
        </w:rPr>
        <w:t xml:space="preserve"> 201</w:t>
      </w:r>
      <w:r w:rsidR="00A65F7E">
        <w:rPr>
          <w:bCs/>
          <w:color w:val="000000"/>
          <w:sz w:val="28"/>
          <w:szCs w:val="28"/>
          <w:lang w:val="en-US"/>
        </w:rPr>
        <w:t>2</w:t>
      </w:r>
    </w:p>
    <w:p w:rsidR="004D1E8C" w:rsidRPr="00C53197" w:rsidRDefault="004D1E8C" w:rsidP="004D1E8C">
      <w:pPr>
        <w:pStyle w:val="Header"/>
        <w:rPr>
          <w:noProof w:val="0"/>
          <w:color w:val="000000"/>
          <w:sz w:val="28"/>
          <w:szCs w:val="28"/>
          <w:lang w:val="en-US"/>
        </w:rPr>
      </w:pPr>
    </w:p>
    <w:p w:rsidR="004D1E8C" w:rsidRPr="00F7130D" w:rsidRDefault="006B7684" w:rsidP="004D1E8C">
      <w:pPr>
        <w:pBdr>
          <w:top w:val="single" w:sz="4" w:space="1" w:color="auto"/>
        </w:pBdr>
        <w:spacing w:before="120"/>
        <w:ind w:left="1800" w:hanging="1800"/>
        <w:rPr>
          <w:rFonts w:ascii="Arial" w:hAnsi="Arial" w:cs="Arial"/>
          <w:b/>
          <w:szCs w:val="24"/>
        </w:rPr>
      </w:pPr>
      <w:r>
        <w:rPr>
          <w:rFonts w:ascii="Arial" w:hAnsi="Arial" w:cs="Arial"/>
          <w:b/>
          <w:szCs w:val="24"/>
        </w:rPr>
        <w:t>Agenda Item:</w:t>
      </w:r>
      <w:r>
        <w:rPr>
          <w:rFonts w:ascii="Arial" w:hAnsi="Arial" w:cs="Arial"/>
          <w:b/>
          <w:szCs w:val="24"/>
        </w:rPr>
        <w:tab/>
        <w:t>7.1.2</w:t>
      </w:r>
    </w:p>
    <w:p w:rsidR="004D1E8C" w:rsidRPr="003D1980"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 </w:t>
      </w:r>
    </w:p>
    <w:p w:rsidR="004D1E8C" w:rsidRPr="003D1980" w:rsidRDefault="006B7684" w:rsidP="004D1E8C">
      <w:pPr>
        <w:pStyle w:val="Header"/>
        <w:ind w:left="1800" w:hanging="1800"/>
        <w:rPr>
          <w:rFonts w:eastAsia="MS Gothic"/>
          <w:noProof w:val="0"/>
          <w:color w:val="000000"/>
          <w:sz w:val="24"/>
        </w:rPr>
      </w:pPr>
      <w:r>
        <w:rPr>
          <w:rFonts w:eastAsia="MS Gothic"/>
          <w:noProof w:val="0"/>
          <w:color w:val="000000"/>
          <w:sz w:val="24"/>
        </w:rPr>
        <w:t>Title:</w:t>
      </w:r>
      <w:r>
        <w:rPr>
          <w:rFonts w:eastAsia="MS Gothic"/>
          <w:noProof w:val="0"/>
          <w:color w:val="000000"/>
          <w:sz w:val="24"/>
        </w:rPr>
        <w:tab/>
      </w:r>
      <w:r w:rsidRPr="006B7684">
        <w:rPr>
          <w:rFonts w:eastAsia="MS Gothic"/>
          <w:noProof w:val="0"/>
          <w:color w:val="000000"/>
          <w:sz w:val="24"/>
        </w:rPr>
        <w:t>Band 26 A-MPR Tables for Protection of Adjacent Services</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6B7684">
        <w:rPr>
          <w:rFonts w:ascii="Arial" w:hAnsi="Arial"/>
          <w:b/>
          <w:color w:val="000000"/>
        </w:rPr>
        <w:t>ument for:   Discussion</w:t>
      </w:r>
    </w:p>
    <w:bookmarkEnd w:id="0"/>
    <w:bookmarkEnd w:id="1"/>
    <w:p w:rsidR="00900DAE" w:rsidRDefault="00900DAE" w:rsidP="006B6438">
      <w:pPr>
        <w:pStyle w:val="Heading1"/>
        <w:spacing w:after="120"/>
        <w:jc w:val="both"/>
        <w:rPr>
          <w:b/>
          <w:color w:val="000000"/>
        </w:rPr>
      </w:pPr>
      <w:r w:rsidRPr="003D1980">
        <w:rPr>
          <w:b/>
          <w:color w:val="000000"/>
        </w:rPr>
        <w:t>Introduction</w:t>
      </w:r>
    </w:p>
    <w:p w:rsidR="00DD38A2" w:rsidRDefault="00A700F3" w:rsidP="00A700F3">
      <w:r>
        <w:t>In the RAN4 Band 26 Ad Hoc, a variety of prot</w:t>
      </w:r>
      <w:r w:rsidR="003A2DAA">
        <w:t>ection scenarios were agreed</w:t>
      </w:r>
      <w:r w:rsidR="00F85764">
        <w:t xml:space="preserve"> in</w:t>
      </w:r>
      <w:r w:rsidR="003A2DAA">
        <w:t xml:space="preserve"> [</w:t>
      </w:r>
      <w:r w:rsidR="00EB7EBD">
        <w:t>1-6</w:t>
      </w:r>
      <w:r w:rsidR="003A2DAA">
        <w:t xml:space="preserve">] for services </w:t>
      </w:r>
      <w:r w:rsidR="00F85764">
        <w:t xml:space="preserve">located in and </w:t>
      </w:r>
      <w:r w:rsidR="003A2DAA">
        <w:t>adjacent to Band 26.  In the companion spreadsheet</w:t>
      </w:r>
      <w:r w:rsidR="000B24A4">
        <w:t xml:space="preserve"> to this document</w:t>
      </w:r>
      <w:r w:rsidR="003A2DAA">
        <w:t xml:space="preserve">, the required A-MPR is indicated as a function of the number of allocated RB’s and the </w:t>
      </w:r>
      <w:r w:rsidR="001A2FFC">
        <w:t>starting or ending position of these RB’s</w:t>
      </w:r>
      <w:r w:rsidR="000B24A4">
        <w:t xml:space="preserve">.  Data has been provided for most, but not all of the </w:t>
      </w:r>
      <w:r w:rsidR="00854C7A">
        <w:t xml:space="preserve">agreed protection </w:t>
      </w:r>
      <w:r w:rsidR="000B24A4">
        <w:t>scenarios.</w:t>
      </w:r>
      <w:r w:rsidR="00854C7A">
        <w:t xml:space="preserve">  </w:t>
      </w:r>
      <w:r w:rsidR="000B24A4">
        <w:t>The results in the companion spreadsh</w:t>
      </w:r>
      <w:r w:rsidR="00CC6C9B">
        <w:t xml:space="preserve">eet are for a model of a power amplifier typical of the current generation of </w:t>
      </w:r>
      <w:r w:rsidR="00854C7A">
        <w:t>devices and are similar to the results found in [</w:t>
      </w:r>
      <w:r w:rsidR="00EB7EBD">
        <w:t>7</w:t>
      </w:r>
      <w:r w:rsidR="00854C7A">
        <w:t>] and [</w:t>
      </w:r>
      <w:r w:rsidR="00EB7EBD">
        <w:t>8</w:t>
      </w:r>
      <w:r w:rsidR="00854C7A">
        <w:t>].</w:t>
      </w:r>
      <w:r w:rsidR="00DD38A2">
        <w:t xml:space="preserve">  </w:t>
      </w:r>
    </w:p>
    <w:p w:rsidR="00DD38A2" w:rsidRDefault="00DD38A2" w:rsidP="00A700F3"/>
    <w:p w:rsidR="002D18E6" w:rsidRDefault="00DD38A2" w:rsidP="00A700F3">
      <w:r>
        <w:t xml:space="preserve">In addition to the A-MPR values for the a PA typical of the current generation of devices, </w:t>
      </w:r>
      <w:r w:rsidR="00194058">
        <w:t>we also briefly consider</w:t>
      </w:r>
      <w:r>
        <w:t xml:space="preserve"> </w:t>
      </w:r>
      <w:r w:rsidR="00F85764">
        <w:t xml:space="preserve">the behaviour of </w:t>
      </w:r>
      <w:r>
        <w:t xml:space="preserve">next generation high efficiency power amplifiers for which the current drain at </w:t>
      </w:r>
      <w:r w:rsidR="000E715B">
        <w:t xml:space="preserve">full power can be in excess of </w:t>
      </w:r>
      <w:r w:rsidR="001F2DC6">
        <w:t xml:space="preserve">20% less than that of current generation devices.  </w:t>
      </w:r>
      <w:r w:rsidR="000E715B">
        <w:t>Some</w:t>
      </w:r>
      <w:r w:rsidR="002D18E6">
        <w:t xml:space="preserve"> measurements are provided for two </w:t>
      </w:r>
      <w:r w:rsidR="001F2DC6">
        <w:t xml:space="preserve">such </w:t>
      </w:r>
      <w:r w:rsidR="002D18E6">
        <w:t xml:space="preserve">devices which indicate that the adjacent channel leakage power </w:t>
      </w:r>
      <w:r w:rsidR="001F2DC6">
        <w:t>may</w:t>
      </w:r>
      <w:r w:rsidR="002D18E6">
        <w:t xml:space="preserve"> not attenuate as quickly with </w:t>
      </w:r>
      <w:r w:rsidR="001F2DC6">
        <w:t xml:space="preserve">a reduction in </w:t>
      </w:r>
      <w:r w:rsidR="002D18E6">
        <w:t xml:space="preserve">output power </w:t>
      </w:r>
      <w:r w:rsidR="001F2DC6">
        <w:t>as for current devices.</w:t>
      </w:r>
      <w:r w:rsidR="000E715B">
        <w:t xml:space="preserve">  This issue may be worth considering further when </w:t>
      </w:r>
      <w:r w:rsidR="00F85764">
        <w:t>defining</w:t>
      </w:r>
      <w:r w:rsidR="000E715B">
        <w:t xml:space="preserve"> the A-MPR </w:t>
      </w:r>
      <w:r w:rsidR="002D72BF">
        <w:t>tables for</w:t>
      </w:r>
      <w:r w:rsidR="000E715B">
        <w:t xml:space="preserve"> future bands.</w:t>
      </w:r>
    </w:p>
    <w:p w:rsidR="002D18E6" w:rsidRDefault="008F469B" w:rsidP="002D18E6">
      <w:pPr>
        <w:pStyle w:val="Heading1"/>
        <w:spacing w:after="120"/>
        <w:jc w:val="both"/>
        <w:rPr>
          <w:b/>
          <w:color w:val="000000"/>
        </w:rPr>
      </w:pPr>
      <w:r>
        <w:rPr>
          <w:b/>
          <w:color w:val="000000"/>
        </w:rPr>
        <w:t>A-MPR Values</w:t>
      </w:r>
    </w:p>
    <w:p w:rsidR="00F51B1D" w:rsidRDefault="00F51B1D" w:rsidP="00F51B1D">
      <w:r>
        <w:t>In the companion spreadsheet, A-MPR values are provided based on a model</w:t>
      </w:r>
      <w:r w:rsidR="008E214E">
        <w:t xml:space="preserve"> of a power amplifier typical of th</w:t>
      </w:r>
      <w:r w:rsidR="00D46093">
        <w:t xml:space="preserve">e current generation of devices.  The following assumptions are </w:t>
      </w:r>
      <w:r w:rsidR="00F95012">
        <w:t>used in the model:</w:t>
      </w:r>
    </w:p>
    <w:p w:rsidR="00D46093" w:rsidRDefault="00D46093" w:rsidP="00F51B1D"/>
    <w:p w:rsidR="00F51B1D" w:rsidRDefault="00F51B1D" w:rsidP="00F95012">
      <w:pPr>
        <w:numPr>
          <w:ilvl w:val="0"/>
          <w:numId w:val="14"/>
        </w:numPr>
      </w:pPr>
      <w:r>
        <w:t xml:space="preserve">I/Q image </w:t>
      </w:r>
      <w:r w:rsidR="00F95012">
        <w:tab/>
      </w:r>
      <w:r>
        <w:t>-28 dBc</w:t>
      </w:r>
    </w:p>
    <w:p w:rsidR="00F51B1D" w:rsidRDefault="00F51B1D" w:rsidP="00F95012">
      <w:pPr>
        <w:numPr>
          <w:ilvl w:val="0"/>
          <w:numId w:val="14"/>
        </w:numPr>
      </w:pPr>
      <w:r>
        <w:t xml:space="preserve">LO leakage </w:t>
      </w:r>
      <w:r w:rsidR="00F95012">
        <w:tab/>
      </w:r>
      <w:r>
        <w:t>-28 dBc</w:t>
      </w:r>
    </w:p>
    <w:p w:rsidR="00D46093" w:rsidRPr="00F51B1D" w:rsidRDefault="00D46093" w:rsidP="00F95012">
      <w:pPr>
        <w:numPr>
          <w:ilvl w:val="0"/>
          <w:numId w:val="14"/>
        </w:numPr>
      </w:pPr>
      <w:r>
        <w:t xml:space="preserve">CIM3 </w:t>
      </w:r>
      <w:r w:rsidR="00F95012">
        <w:tab/>
      </w:r>
      <w:r w:rsidR="00F95012">
        <w:tab/>
      </w:r>
      <w:r>
        <w:t>-51.</w:t>
      </w:r>
      <w:r w:rsidR="00F95012">
        <w:t>7</w:t>
      </w:r>
      <w:r>
        <w:t xml:space="preserve"> dBc</w:t>
      </w:r>
    </w:p>
    <w:p w:rsidR="00B15A25" w:rsidRDefault="00B15A25" w:rsidP="00A700F3"/>
    <w:p w:rsidR="00B15A25" w:rsidRDefault="00D46093" w:rsidP="00A700F3">
      <w:r>
        <w:t xml:space="preserve">Results are provided for the </w:t>
      </w:r>
      <w:r w:rsidR="00AD221F">
        <w:t xml:space="preserve">following </w:t>
      </w:r>
      <w:r>
        <w:t>protection scenarios:</w:t>
      </w:r>
    </w:p>
    <w:p w:rsidR="00F06E86" w:rsidRDefault="00F06E86" w:rsidP="00A700F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9"/>
        <w:gridCol w:w="1797"/>
        <w:gridCol w:w="1529"/>
        <w:gridCol w:w="1717"/>
      </w:tblGrid>
      <w:tr w:rsidR="001710D0" w:rsidTr="001710D0">
        <w:trPr>
          <w:jc w:val="center"/>
        </w:trPr>
        <w:tc>
          <w:tcPr>
            <w:tcW w:w="0" w:type="auto"/>
          </w:tcPr>
          <w:p w:rsidR="00F06E86" w:rsidRDefault="00F06E86" w:rsidP="001710D0">
            <w:pPr>
              <w:overflowPunct w:val="0"/>
              <w:autoSpaceDE w:val="0"/>
              <w:autoSpaceDN w:val="0"/>
              <w:adjustRightInd w:val="0"/>
              <w:spacing w:after="180"/>
              <w:jc w:val="center"/>
              <w:textAlignment w:val="baseline"/>
            </w:pPr>
            <w:r>
              <w:t>Protected Frequency Range</w:t>
            </w:r>
          </w:p>
        </w:tc>
        <w:tc>
          <w:tcPr>
            <w:tcW w:w="0" w:type="auto"/>
          </w:tcPr>
          <w:p w:rsidR="00F06E86" w:rsidRDefault="00F06E86" w:rsidP="001710D0">
            <w:pPr>
              <w:overflowPunct w:val="0"/>
              <w:autoSpaceDE w:val="0"/>
              <w:autoSpaceDN w:val="0"/>
              <w:adjustRightInd w:val="0"/>
              <w:spacing w:after="180"/>
              <w:jc w:val="center"/>
              <w:textAlignment w:val="baseline"/>
            </w:pPr>
            <w:r>
              <w:t>Emissions Limit</w:t>
            </w:r>
          </w:p>
        </w:tc>
        <w:tc>
          <w:tcPr>
            <w:tcW w:w="0" w:type="auto"/>
          </w:tcPr>
          <w:p w:rsidR="00F06E86" w:rsidRDefault="00F06E86" w:rsidP="001710D0">
            <w:pPr>
              <w:overflowPunct w:val="0"/>
              <w:autoSpaceDE w:val="0"/>
              <w:autoSpaceDN w:val="0"/>
              <w:adjustRightInd w:val="0"/>
              <w:spacing w:after="180"/>
              <w:jc w:val="center"/>
              <w:textAlignment w:val="baseline"/>
            </w:pPr>
            <w:r>
              <w:t>Offset (MHz)</w:t>
            </w:r>
          </w:p>
        </w:tc>
        <w:tc>
          <w:tcPr>
            <w:tcW w:w="0" w:type="auto"/>
          </w:tcPr>
          <w:p w:rsidR="00F06E86" w:rsidRDefault="00F06E86" w:rsidP="001710D0">
            <w:pPr>
              <w:overflowPunct w:val="0"/>
              <w:autoSpaceDE w:val="0"/>
              <w:autoSpaceDN w:val="0"/>
              <w:adjustRightInd w:val="0"/>
              <w:spacing w:after="180"/>
              <w:jc w:val="center"/>
              <w:textAlignment w:val="baseline"/>
            </w:pPr>
            <w:r>
              <w:t>Bandwidths</w:t>
            </w:r>
          </w:p>
        </w:tc>
      </w:tr>
      <w:tr w:rsidR="001710D0" w:rsidTr="001710D0">
        <w:trPr>
          <w:jc w:val="center"/>
        </w:trPr>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851-859 MHz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-53dBm/6.25kHz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2</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1.4, 3, 5, 10 MHz</w:t>
            </w:r>
          </w:p>
        </w:tc>
      </w:tr>
      <w:tr w:rsidR="001710D0" w:rsidTr="001710D0">
        <w:trPr>
          <w:jc w:val="center"/>
        </w:trPr>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806-813.5 MHz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-42dBm/6.25kHz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0.7</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1.4, 3, 5 MHz</w:t>
            </w:r>
          </w:p>
        </w:tc>
      </w:tr>
      <w:tr w:rsidR="001710D0" w:rsidTr="001710D0">
        <w:trPr>
          <w:jc w:val="center"/>
        </w:trPr>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806-816 MHz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-42dBm/6.25kHz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3</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3, 5 MHz</w:t>
            </w:r>
          </w:p>
        </w:tc>
      </w:tr>
      <w:tr w:rsidR="001710D0" w:rsidTr="001710D0">
        <w:trPr>
          <w:jc w:val="center"/>
        </w:trPr>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806-816 MHz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-42dBm/6.25kHz</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8</w:t>
            </w:r>
          </w:p>
        </w:tc>
        <w:tc>
          <w:tcPr>
            <w:tcW w:w="0" w:type="auto"/>
          </w:tcPr>
          <w:p w:rsidR="00F06E86" w:rsidRPr="001710D0" w:rsidRDefault="00F06E86" w:rsidP="001710D0">
            <w:pPr>
              <w:jc w:val="center"/>
              <w:rPr>
                <w:rFonts w:ascii="Calibri" w:hAnsi="Calibri" w:cs="Calibri"/>
                <w:color w:val="000000"/>
                <w:sz w:val="22"/>
                <w:szCs w:val="22"/>
                <w:lang w:val="en-US"/>
              </w:rPr>
            </w:pPr>
            <w:r w:rsidRPr="001710D0">
              <w:rPr>
                <w:rFonts w:ascii="Calibri" w:hAnsi="Calibri" w:cs="Calibri"/>
                <w:color w:val="000000"/>
                <w:sz w:val="22"/>
                <w:szCs w:val="22"/>
                <w:lang w:val="en-US"/>
              </w:rPr>
              <w:t>5, 10, 15 MHz</w:t>
            </w:r>
          </w:p>
        </w:tc>
      </w:tr>
    </w:tbl>
    <w:p w:rsidR="00F06E86" w:rsidRDefault="00F06E86" w:rsidP="00A700F3"/>
    <w:p w:rsidR="008F469B" w:rsidRDefault="00EC0F91" w:rsidP="00A700F3">
      <w:r>
        <w:t>These results are similar to the results provided in [</w:t>
      </w:r>
      <w:r w:rsidR="001F2DC6">
        <w:t>7-8</w:t>
      </w:r>
      <w:r w:rsidR="008F469B">
        <w:t xml:space="preserve">] and </w:t>
      </w:r>
      <w:r w:rsidR="002D72BF">
        <w:t>should be</w:t>
      </w:r>
      <w:r w:rsidR="008F469B">
        <w:t xml:space="preserve"> considered in the definition of the A-MPR tables</w:t>
      </w:r>
      <w:r w:rsidR="000E715B">
        <w:t xml:space="preserve"> for these protection scenarios</w:t>
      </w:r>
      <w:r w:rsidR="002D72BF">
        <w:t>.</w:t>
      </w:r>
    </w:p>
    <w:p w:rsidR="008F469B" w:rsidRDefault="000E715B" w:rsidP="008F469B">
      <w:pPr>
        <w:pStyle w:val="Heading1"/>
        <w:spacing w:after="120"/>
        <w:jc w:val="both"/>
        <w:rPr>
          <w:b/>
          <w:color w:val="000000"/>
        </w:rPr>
      </w:pPr>
      <w:r>
        <w:rPr>
          <w:b/>
          <w:color w:val="000000"/>
        </w:rPr>
        <w:t>High Efficiency Power Amplifiers</w:t>
      </w:r>
    </w:p>
    <w:p w:rsidR="00FB5EBB" w:rsidRDefault="00FB5EBB" w:rsidP="00FB5EBB">
      <w:r>
        <w:t xml:space="preserve">Within the next few years, more efficient power amplifiers are becoming available for which the current drain at full power can be </w:t>
      </w:r>
      <w:r w:rsidR="00194058">
        <w:t xml:space="preserve">in excess of </w:t>
      </w:r>
      <w:r>
        <w:t xml:space="preserve">20% less than that of the current generation of devices.  There is some data to indicate that the </w:t>
      </w:r>
      <w:r w:rsidR="00194058">
        <w:t>adjacent channel</w:t>
      </w:r>
      <w:r>
        <w:t xml:space="preserve"> emissions of these </w:t>
      </w:r>
      <w:r w:rsidR="00194058">
        <w:t xml:space="preserve">more efficient power </w:t>
      </w:r>
      <w:r>
        <w:lastRenderedPageBreak/>
        <w:t xml:space="preserve">amplifiers </w:t>
      </w:r>
      <w:r w:rsidR="00194058">
        <w:t xml:space="preserve">may </w:t>
      </w:r>
      <w:r>
        <w:t xml:space="preserve">behave somewhat differently than the current generation of devices as output power is reduced.  In particular, measurements are provided for two </w:t>
      </w:r>
      <w:r w:rsidR="00194058">
        <w:t xml:space="preserve">such high efficiency </w:t>
      </w:r>
      <w:r>
        <w:t xml:space="preserve">devices which indicate that the adjacent channel leakage power does not attenuate as quickly with output power </w:t>
      </w:r>
      <w:r w:rsidR="00194058">
        <w:t xml:space="preserve">reduction </w:t>
      </w:r>
      <w:r>
        <w:t>as for the current generation of devices.</w:t>
      </w:r>
    </w:p>
    <w:p w:rsidR="008F469B" w:rsidRDefault="008F469B" w:rsidP="008F469B"/>
    <w:p w:rsidR="00A80F24" w:rsidRDefault="00F95012" w:rsidP="008F469B">
      <w:r>
        <w:t>Figures 1-3</w:t>
      </w:r>
      <w:r w:rsidR="003926BB">
        <w:t xml:space="preserve"> </w:t>
      </w:r>
      <w:r w:rsidR="00EE64E0">
        <w:t>illustrate</w:t>
      </w:r>
      <w:r w:rsidR="003926BB">
        <w:t xml:space="preserve"> the adjacent channel leakage power </w:t>
      </w:r>
      <w:r>
        <w:t>in units of dBm / 6.25 kHz</w:t>
      </w:r>
      <w:r w:rsidR="00F06E86">
        <w:t xml:space="preserve"> at 851 MHz as a function of output power </w:t>
      </w:r>
      <w:r w:rsidR="002D72BF">
        <w:t xml:space="preserve">at the antenna </w:t>
      </w:r>
      <w:r w:rsidR="00F06E86">
        <w:t>for three different power amplifiers.</w:t>
      </w:r>
      <w:r w:rsidR="00902F6D">
        <w:t xml:space="preserve">  </w:t>
      </w:r>
      <w:r>
        <w:t>The measurements labelled “PA3”</w:t>
      </w:r>
      <w:r w:rsidR="000A10B9">
        <w:t xml:space="preserve"> </w:t>
      </w:r>
      <w:r w:rsidR="001A2FFC">
        <w:t xml:space="preserve">are for a current generation power amplifier and </w:t>
      </w:r>
      <w:r>
        <w:t>were</w:t>
      </w:r>
      <w:r w:rsidR="000A10B9">
        <w:t xml:space="preserve"> taken on the same power amplifier </w:t>
      </w:r>
      <w:r w:rsidR="00902F6D">
        <w:t xml:space="preserve">as that </w:t>
      </w:r>
      <w:r w:rsidR="00EE64E0">
        <w:t>used</w:t>
      </w:r>
      <w:r w:rsidR="00902F6D">
        <w:t xml:space="preserve"> to</w:t>
      </w:r>
      <w:r w:rsidR="000A10B9">
        <w:t xml:space="preserve"> generate the A-MPR values in the companion spreadsheet.  The other two measurements </w:t>
      </w:r>
      <w:r>
        <w:t>labelled “PA</w:t>
      </w:r>
      <w:r w:rsidR="00902F6D">
        <w:t>1</w:t>
      </w:r>
      <w:r>
        <w:t>”</w:t>
      </w:r>
      <w:r w:rsidR="00902F6D">
        <w:t xml:space="preserve"> and “PA2” </w:t>
      </w:r>
      <w:r w:rsidR="000A10B9">
        <w:t xml:space="preserve">were taken </w:t>
      </w:r>
      <w:r w:rsidR="00902F6D">
        <w:t>for</w:t>
      </w:r>
      <w:r w:rsidR="000A10B9">
        <w:t xml:space="preserve"> </w:t>
      </w:r>
      <w:r w:rsidR="002D72BF">
        <w:t xml:space="preserve">high </w:t>
      </w:r>
      <w:r w:rsidR="000A10B9">
        <w:t>efficiency power amplifiers fr</w:t>
      </w:r>
      <w:r w:rsidR="00902F6D">
        <w:t xml:space="preserve">om two different manufacturers.  The results in Figure1 show the adjacent channel power at 851 MHz as a function of output power for an allocation of 48 RB’s </w:t>
      </w:r>
      <w:r w:rsidR="002D72BF">
        <w:t>with</w:t>
      </w:r>
      <w:r w:rsidR="00902F6D">
        <w:t xml:space="preserve"> RB_start = 0.  Similarly, Figures 2 and 3 show the adjacent channel power at 851 MHz for RB allocations of 32 and 24 RB’s </w:t>
      </w:r>
      <w:r w:rsidR="002D72BF">
        <w:t>with</w:t>
      </w:r>
      <w:r w:rsidR="00902F6D">
        <w:t xml:space="preserve"> RB_start = 0 and </w:t>
      </w:r>
      <w:r w:rsidR="002D72BF">
        <w:t xml:space="preserve">RB_start = </w:t>
      </w:r>
      <w:r w:rsidR="00902F6D">
        <w:t>11, respectively.  It can be noted that the allocations used in Figure 1-3 are all allocation</w:t>
      </w:r>
      <w:r w:rsidR="002D72BF">
        <w:t>s</w:t>
      </w:r>
      <w:r w:rsidR="00902F6D">
        <w:t xml:space="preserve"> for which significant A-MPR </w:t>
      </w:r>
      <w:r w:rsidR="00EE64E0">
        <w:t xml:space="preserve">(at least 3 dB) </w:t>
      </w:r>
      <w:r w:rsidR="00902F6D">
        <w:t>is required for the current generation power amplifier.</w:t>
      </w:r>
    </w:p>
    <w:p w:rsidR="00A80F24" w:rsidRDefault="00902F6D" w:rsidP="008F469B">
      <w:r>
        <w:t xml:space="preserve"> </w:t>
      </w:r>
    </w:p>
    <w:p w:rsidR="00A80F24" w:rsidRDefault="00A80F24" w:rsidP="00A80F24">
      <w:pPr>
        <w:jc w:val="center"/>
      </w:pPr>
    </w:p>
    <w:p w:rsidR="00C6435E" w:rsidRDefault="00925147" w:rsidP="0017658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83.75pt">
            <v:imagedata r:id="rId8" o:title=""/>
          </v:shape>
        </w:pict>
      </w:r>
    </w:p>
    <w:p w:rsidR="00A80F24" w:rsidRDefault="00194058" w:rsidP="00194058">
      <w:pPr>
        <w:pStyle w:val="Heading9"/>
        <w:jc w:val="center"/>
      </w:pPr>
      <w:r w:rsidRPr="00194058">
        <w:t xml:space="preserve">Figure 1:  Adjacent Channel Leakage Power at 851 MHz for a 48 RB allocation </w:t>
      </w:r>
      <w:r>
        <w:t>with</w:t>
      </w:r>
      <w:r w:rsidRPr="00194058">
        <w:t xml:space="preserve"> RB_start = 0</w:t>
      </w:r>
    </w:p>
    <w:p w:rsidR="00194058" w:rsidRPr="00194058" w:rsidRDefault="00194058" w:rsidP="00194058"/>
    <w:p w:rsidR="00090B3B" w:rsidRDefault="00925147" w:rsidP="00090B3B">
      <w:pPr>
        <w:pStyle w:val="Heading1"/>
        <w:numPr>
          <w:ilvl w:val="0"/>
          <w:numId w:val="0"/>
        </w:numPr>
        <w:spacing w:before="0" w:after="120"/>
        <w:jc w:val="center"/>
      </w:pPr>
      <w:r>
        <w:pict>
          <v:shape id="_x0000_i1026" type="#_x0000_t75" style="width:310.45pt;height:177.4pt">
            <v:imagedata r:id="rId9" o:title=""/>
          </v:shape>
        </w:pict>
      </w:r>
    </w:p>
    <w:p w:rsidR="00194058" w:rsidRDefault="00194058" w:rsidP="00194058">
      <w:pPr>
        <w:pStyle w:val="Heading9"/>
        <w:jc w:val="center"/>
      </w:pPr>
      <w:r w:rsidRPr="00194058">
        <w:t xml:space="preserve">Figure </w:t>
      </w:r>
      <w:r>
        <w:t>2</w:t>
      </w:r>
      <w:r w:rsidRPr="00194058">
        <w:t xml:space="preserve">:  Adjacent Channel Leakage Power at 851 MHz for a </w:t>
      </w:r>
      <w:r>
        <w:t>32</w:t>
      </w:r>
      <w:r w:rsidRPr="00194058">
        <w:t xml:space="preserve"> RB allocation </w:t>
      </w:r>
      <w:r>
        <w:t>with</w:t>
      </w:r>
      <w:r w:rsidRPr="00194058">
        <w:t xml:space="preserve"> RB_start = </w:t>
      </w:r>
      <w:r>
        <w:t>7</w:t>
      </w:r>
    </w:p>
    <w:p w:rsidR="00090B3B" w:rsidRPr="00090B3B" w:rsidRDefault="00090B3B" w:rsidP="00090B3B"/>
    <w:p w:rsidR="00090B3B" w:rsidRDefault="00925147" w:rsidP="00090B3B">
      <w:pPr>
        <w:pStyle w:val="Heading1"/>
        <w:numPr>
          <w:ilvl w:val="0"/>
          <w:numId w:val="0"/>
        </w:numPr>
        <w:spacing w:before="0" w:after="120"/>
        <w:jc w:val="center"/>
        <w:rPr>
          <w:b/>
          <w:color w:val="000000"/>
        </w:rPr>
      </w:pPr>
      <w:r>
        <w:lastRenderedPageBreak/>
        <w:pict>
          <v:shape id="_x0000_i1027" type="#_x0000_t75" style="width:321.4pt;height:182.6pt">
            <v:imagedata r:id="rId10" o:title=""/>
          </v:shape>
        </w:pict>
      </w:r>
    </w:p>
    <w:p w:rsidR="00194058" w:rsidRDefault="00194058" w:rsidP="00194058">
      <w:pPr>
        <w:pStyle w:val="Heading9"/>
        <w:jc w:val="center"/>
      </w:pPr>
      <w:r w:rsidRPr="00194058">
        <w:t xml:space="preserve">Figure </w:t>
      </w:r>
      <w:r>
        <w:t>3</w:t>
      </w:r>
      <w:r w:rsidRPr="00194058">
        <w:t xml:space="preserve">:  Adjacent Channel Leakage Power at 851 MHz for a </w:t>
      </w:r>
      <w:r>
        <w:t>24</w:t>
      </w:r>
      <w:r w:rsidRPr="00194058">
        <w:t xml:space="preserve"> RB allocation </w:t>
      </w:r>
      <w:r>
        <w:t>with</w:t>
      </w:r>
      <w:r w:rsidRPr="00194058">
        <w:t xml:space="preserve"> RB_start = </w:t>
      </w:r>
      <w:r>
        <w:t>11</w:t>
      </w:r>
    </w:p>
    <w:p w:rsidR="007B69A3" w:rsidRDefault="007B69A3" w:rsidP="00B75643">
      <w:pPr>
        <w:pStyle w:val="Heading1"/>
        <w:numPr>
          <w:ilvl w:val="0"/>
          <w:numId w:val="0"/>
        </w:numPr>
        <w:spacing w:before="0" w:after="120"/>
        <w:jc w:val="both"/>
        <w:rPr>
          <w:b/>
          <w:color w:val="000000"/>
        </w:rPr>
      </w:pPr>
    </w:p>
    <w:p w:rsidR="00EE64E0" w:rsidRPr="00EE64E0" w:rsidRDefault="00EE64E0" w:rsidP="003D1EBF">
      <w:r>
        <w:t xml:space="preserve">From Figures 1-3, it can be observed that adjacent channel power reduces more slowly with the reduction of output power for the high efficiency power amplifiers.  </w:t>
      </w:r>
      <w:r w:rsidR="003D1EBF">
        <w:t xml:space="preserve">This observation is most pronounced for “PA1” for which the reduction in adjacent channel leakage as a function of power reduction can be 5 dB less than for current generation “PA3”.  For “PA2”, the reduction in adjacent channel leakage power as a function of output power reduction is typically </w:t>
      </w:r>
      <w:r w:rsidR="001A2FFC">
        <w:t>within 3 dB of that for</w:t>
      </w:r>
      <w:r w:rsidR="003D1EBF">
        <w:t xml:space="preserve"> “PA3.”</w:t>
      </w:r>
    </w:p>
    <w:p w:rsidR="003D1EBF" w:rsidRDefault="003D1EBF" w:rsidP="00B75643">
      <w:pPr>
        <w:pStyle w:val="Heading1"/>
        <w:numPr>
          <w:ilvl w:val="0"/>
          <w:numId w:val="0"/>
        </w:numPr>
        <w:spacing w:before="0" w:after="120"/>
        <w:jc w:val="both"/>
        <w:rPr>
          <w:b/>
          <w:color w:val="000000"/>
        </w:rPr>
      </w:pPr>
    </w:p>
    <w:p w:rsidR="00B75643" w:rsidRPr="003D1980" w:rsidRDefault="00B75643" w:rsidP="00B75643">
      <w:pPr>
        <w:pStyle w:val="Heading1"/>
        <w:numPr>
          <w:ilvl w:val="0"/>
          <w:numId w:val="0"/>
        </w:numPr>
        <w:spacing w:before="0" w:after="120"/>
        <w:jc w:val="both"/>
        <w:rPr>
          <w:b/>
          <w:color w:val="000000"/>
        </w:rPr>
      </w:pPr>
      <w:r>
        <w:rPr>
          <w:b/>
          <w:color w:val="000000"/>
        </w:rPr>
        <w:t>Conclusions</w:t>
      </w:r>
    </w:p>
    <w:p w:rsidR="003D1EBF" w:rsidRDefault="003D1EBF" w:rsidP="003D1EBF">
      <w:r>
        <w:t>A-MPR values are provided based on a model of a power amplifier typical of the current generation of devices.  These results are similar to the results provided in [7-8] and should be considered in the definition of the A-MPR tables for these protection scenarios.</w:t>
      </w:r>
    </w:p>
    <w:p w:rsidR="003D1EBF" w:rsidRDefault="003D1EBF" w:rsidP="003D1EBF"/>
    <w:p w:rsidR="001A2FFC" w:rsidRDefault="001A2FFC" w:rsidP="001A2FFC">
      <w:r>
        <w:t>Within the next few years, more efficient power amplifiers will become available for which the current drain at full power can be in excess of 20% less than that of the current generation of devices.  Some measurements are provided for two such high efficiency devices which indicate that the adjacent channel leakage power does not attenuate as quickly with output power reduction as for the current generation of devices.  This issue may be worth considering further when defining the A-MPR tables for future bands.</w:t>
      </w:r>
    </w:p>
    <w:p w:rsidR="00A700F3" w:rsidRPr="00A700F3" w:rsidRDefault="00A700F3" w:rsidP="00A700F3"/>
    <w:p w:rsidR="00900DAE" w:rsidRPr="003D1980" w:rsidRDefault="00900DAE" w:rsidP="006B6438">
      <w:pPr>
        <w:pStyle w:val="Heading1"/>
        <w:numPr>
          <w:ilvl w:val="0"/>
          <w:numId w:val="0"/>
        </w:numPr>
        <w:spacing w:before="0" w:after="120"/>
        <w:jc w:val="both"/>
        <w:rPr>
          <w:b/>
          <w:color w:val="000000"/>
        </w:rPr>
      </w:pPr>
      <w:r w:rsidRPr="003D1980">
        <w:rPr>
          <w:b/>
          <w:color w:val="000000"/>
        </w:rPr>
        <w:t>References</w:t>
      </w:r>
    </w:p>
    <w:p w:rsidR="00B75643" w:rsidRPr="00925147" w:rsidRDefault="00B75643" w:rsidP="00B75643">
      <w:pPr>
        <w:widowControl w:val="0"/>
        <w:spacing w:after="120"/>
        <w:jc w:val="both"/>
        <w:rPr>
          <w:color w:val="000000"/>
          <w:szCs w:val="24"/>
          <w:lang w:val="en-US"/>
        </w:rPr>
      </w:pPr>
      <w:r w:rsidRPr="00925147">
        <w:rPr>
          <w:color w:val="000000"/>
          <w:szCs w:val="24"/>
          <w:lang w:val="en-US"/>
        </w:rPr>
        <w:t>[1] R4-B26ah-0003, 806-824MHz Narrowband Systems protection from B26 UL, Nokia Corporation, RAN4 #64AH, Jersey City, US</w:t>
      </w:r>
    </w:p>
    <w:p w:rsidR="00B75643" w:rsidRPr="00925147" w:rsidRDefault="00B75643" w:rsidP="00B75643">
      <w:pPr>
        <w:widowControl w:val="0"/>
        <w:spacing w:after="120"/>
        <w:jc w:val="both"/>
        <w:rPr>
          <w:color w:val="000000"/>
          <w:szCs w:val="24"/>
          <w:lang w:val="en-US"/>
        </w:rPr>
      </w:pPr>
      <w:r w:rsidRPr="00925147">
        <w:rPr>
          <w:color w:val="000000"/>
          <w:szCs w:val="24"/>
          <w:lang w:val="en-US"/>
        </w:rPr>
        <w:t>[2] R4-B26ah-0004, Lower E850 protection from B26 UL, Nokia Corporation, RAN4 #64AH Jersey City, US</w:t>
      </w:r>
    </w:p>
    <w:p w:rsidR="00B75643" w:rsidRPr="00925147" w:rsidRDefault="00B75643" w:rsidP="00B75643">
      <w:pPr>
        <w:widowControl w:val="0"/>
        <w:spacing w:after="120"/>
        <w:jc w:val="both"/>
        <w:rPr>
          <w:color w:val="000000"/>
          <w:szCs w:val="24"/>
          <w:lang w:val="en-US"/>
        </w:rPr>
      </w:pPr>
      <w:r w:rsidRPr="00925147">
        <w:rPr>
          <w:color w:val="000000"/>
          <w:szCs w:val="24"/>
          <w:lang w:val="en-US"/>
        </w:rPr>
        <w:t>[3] R4-B26ah-0005, 851-859MHz Narrowband Systems protection from B26 UL, Nokia Corporation, RAN4 #6AH, Jersey City, US</w:t>
      </w:r>
    </w:p>
    <w:p w:rsidR="00B75643" w:rsidRPr="00925147" w:rsidRDefault="00B75643" w:rsidP="00B75643">
      <w:pPr>
        <w:widowControl w:val="0"/>
        <w:spacing w:after="120"/>
        <w:jc w:val="both"/>
        <w:rPr>
          <w:color w:val="000000"/>
          <w:szCs w:val="24"/>
          <w:lang w:val="en-US"/>
        </w:rPr>
      </w:pPr>
      <w:r w:rsidRPr="00925147">
        <w:rPr>
          <w:color w:val="000000"/>
          <w:szCs w:val="24"/>
          <w:lang w:val="en-US"/>
        </w:rPr>
        <w:t xml:space="preserve">[4] R4-B26ah-0045, </w:t>
      </w:r>
      <w:r w:rsidRPr="00925147">
        <w:rPr>
          <w:color w:val="000000"/>
          <w:szCs w:val="24"/>
        </w:rPr>
        <w:t>Way forward on co-existence with Narrow Band Systems in the 806-824 MHz range, Ericsson, ST-Ericsson, Alcatel-Lucent, Intel, KDDI, KT, Motorola-Mobility, Nokia, NSN, Qualcomm, Renesas, SouthernLINC, Sprint, Telecom Italia, Verizon</w:t>
      </w:r>
    </w:p>
    <w:p w:rsidR="00B75643" w:rsidRPr="00925147" w:rsidRDefault="00B75643" w:rsidP="00B75643">
      <w:pPr>
        <w:widowControl w:val="0"/>
        <w:spacing w:after="120"/>
        <w:jc w:val="both"/>
        <w:rPr>
          <w:color w:val="000000"/>
          <w:szCs w:val="24"/>
          <w:lang w:val="en-US"/>
        </w:rPr>
      </w:pPr>
      <w:r w:rsidRPr="00925147">
        <w:rPr>
          <w:color w:val="000000"/>
          <w:szCs w:val="24"/>
          <w:lang w:val="en-US"/>
        </w:rPr>
        <w:lastRenderedPageBreak/>
        <w:t xml:space="preserve">[5] R4-B26ah-0046, </w:t>
      </w:r>
      <w:r w:rsidRPr="00925147">
        <w:rPr>
          <w:color w:val="000000"/>
          <w:szCs w:val="24"/>
        </w:rPr>
        <w:t>Way forward on co-existence with 850 MHz Lower Band (LTE_e850_LB), Ericsson, ST-Ericsson, Fujitsu, Intel, KDDI, KT, Motorola-Mobility, Nokia, NSN, Qualcomm, Renesas, SouthernLINC, Sprint</w:t>
      </w:r>
    </w:p>
    <w:p w:rsidR="00B75643" w:rsidRPr="00925147" w:rsidRDefault="00B75643" w:rsidP="00B75643">
      <w:pPr>
        <w:widowControl w:val="0"/>
        <w:spacing w:after="120"/>
        <w:jc w:val="both"/>
        <w:rPr>
          <w:color w:val="000000"/>
          <w:szCs w:val="24"/>
          <w:lang w:val="en-US"/>
        </w:rPr>
      </w:pPr>
      <w:r w:rsidRPr="00925147">
        <w:rPr>
          <w:color w:val="000000"/>
          <w:szCs w:val="24"/>
          <w:lang w:val="en-US"/>
        </w:rPr>
        <w:t xml:space="preserve">[6] R4-B26ah-0052, </w:t>
      </w:r>
      <w:r w:rsidRPr="00925147">
        <w:rPr>
          <w:color w:val="000000"/>
          <w:szCs w:val="24"/>
        </w:rPr>
        <w:t>Way Forward on B26 to Public Safety DL Protection in Region 2, Qualcomm Incorporated, NII, Ericsson, ST-Ericsson, Nokia, Renesas, Motorola Solutions, Intel, Verizon</w:t>
      </w:r>
    </w:p>
    <w:p w:rsidR="007B69A3" w:rsidRPr="00925147" w:rsidRDefault="00D94165" w:rsidP="00D94165">
      <w:pPr>
        <w:widowControl w:val="0"/>
        <w:spacing w:after="120"/>
        <w:jc w:val="both"/>
        <w:rPr>
          <w:color w:val="000000"/>
          <w:szCs w:val="24"/>
        </w:rPr>
      </w:pPr>
      <w:r w:rsidRPr="00925147">
        <w:rPr>
          <w:color w:val="000000"/>
          <w:szCs w:val="24"/>
          <w:lang w:val="en-US"/>
        </w:rPr>
        <w:t>[7] R4-</w:t>
      </w:r>
      <w:r w:rsidR="007B69A3" w:rsidRPr="00925147">
        <w:rPr>
          <w:color w:val="000000"/>
          <w:szCs w:val="24"/>
          <w:lang w:val="en-US"/>
        </w:rPr>
        <w:t>120481</w:t>
      </w:r>
      <w:r w:rsidRPr="00925147">
        <w:rPr>
          <w:color w:val="000000"/>
          <w:szCs w:val="24"/>
          <w:lang w:val="en-US"/>
        </w:rPr>
        <w:t xml:space="preserve">, </w:t>
      </w:r>
      <w:r w:rsidR="007B69A3" w:rsidRPr="00925147">
        <w:rPr>
          <w:color w:val="000000"/>
          <w:szCs w:val="24"/>
        </w:rPr>
        <w:t>Conventional A-MPR tables for Band 26 UL</w:t>
      </w:r>
      <w:r w:rsidRPr="00925147">
        <w:rPr>
          <w:color w:val="000000"/>
          <w:szCs w:val="24"/>
        </w:rPr>
        <w:t xml:space="preserve">, </w:t>
      </w:r>
      <w:r w:rsidR="007B69A3" w:rsidRPr="00925147">
        <w:rPr>
          <w:color w:val="000000"/>
          <w:szCs w:val="24"/>
        </w:rPr>
        <w:t>Nokia</w:t>
      </w:r>
    </w:p>
    <w:p w:rsidR="007B69A3" w:rsidRPr="00925147" w:rsidRDefault="00D94165" w:rsidP="007B69A3">
      <w:pPr>
        <w:widowControl w:val="0"/>
        <w:spacing w:after="120"/>
        <w:jc w:val="both"/>
        <w:rPr>
          <w:color w:val="000000"/>
          <w:szCs w:val="24"/>
        </w:rPr>
      </w:pPr>
      <w:r w:rsidRPr="00925147">
        <w:rPr>
          <w:color w:val="000000"/>
          <w:szCs w:val="24"/>
          <w:lang w:val="en-US"/>
        </w:rPr>
        <w:t>[8</w:t>
      </w:r>
      <w:r w:rsidR="007B69A3" w:rsidRPr="00925147">
        <w:rPr>
          <w:color w:val="000000"/>
          <w:szCs w:val="24"/>
          <w:lang w:val="en-US"/>
        </w:rPr>
        <w:t>] R4-120789</w:t>
      </w:r>
      <w:r w:rsidRPr="00925147">
        <w:rPr>
          <w:color w:val="000000"/>
          <w:szCs w:val="24"/>
          <w:lang w:val="en-US"/>
        </w:rPr>
        <w:t xml:space="preserve">, </w:t>
      </w:r>
      <w:r w:rsidR="007B69A3" w:rsidRPr="00925147">
        <w:rPr>
          <w:color w:val="000000"/>
          <w:szCs w:val="24"/>
        </w:rPr>
        <w:t>Band 26 A-MPR Tables</w:t>
      </w:r>
      <w:r w:rsidRPr="00925147">
        <w:rPr>
          <w:color w:val="000000"/>
          <w:szCs w:val="24"/>
        </w:rPr>
        <w:t>,</w:t>
      </w:r>
      <w:r w:rsidR="007B69A3" w:rsidRPr="00925147">
        <w:rPr>
          <w:color w:val="000000"/>
          <w:szCs w:val="24"/>
        </w:rPr>
        <w:t xml:space="preserve"> Qualcomm.</w:t>
      </w:r>
    </w:p>
    <w:p w:rsidR="008820B1" w:rsidRDefault="008820B1" w:rsidP="007B69A3">
      <w:pPr>
        <w:pStyle w:val="Title"/>
        <w:jc w:val="left"/>
        <w:rPr>
          <w:color w:val="000000"/>
        </w:rPr>
      </w:pPr>
    </w:p>
    <w:sectPr w:rsidR="008820B1" w:rsidSect="00D8340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4F0" w:rsidRDefault="006224F0">
      <w:r>
        <w:separator/>
      </w:r>
    </w:p>
  </w:endnote>
  <w:endnote w:type="continuationSeparator" w:id="0">
    <w:p w:rsidR="006224F0" w:rsidRDefault="006224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CF" w:rsidRDefault="003479CF">
    <w:pPr>
      <w:pStyle w:val="Footer"/>
      <w:jc w:val="center"/>
    </w:pPr>
    <w:r>
      <w:rPr>
        <w:rStyle w:val="PageNumber"/>
        <w:rFonts w:eastAsia="MS Gothic"/>
      </w:rPr>
      <w:t xml:space="preserve">- </w:t>
    </w:r>
    <w:r w:rsidR="00536B56">
      <w:rPr>
        <w:rStyle w:val="PageNumber"/>
        <w:rFonts w:eastAsia="MS Gothic"/>
      </w:rPr>
      <w:fldChar w:fldCharType="begin"/>
    </w:r>
    <w:r>
      <w:rPr>
        <w:rStyle w:val="PageNumber"/>
        <w:rFonts w:eastAsia="MS Gothic"/>
      </w:rPr>
      <w:instrText xml:space="preserve"> PAGE </w:instrText>
    </w:r>
    <w:r w:rsidR="00536B56">
      <w:rPr>
        <w:rStyle w:val="PageNumber"/>
        <w:rFonts w:eastAsia="MS Gothic"/>
      </w:rPr>
      <w:fldChar w:fldCharType="separate"/>
    </w:r>
    <w:r w:rsidR="00925147">
      <w:rPr>
        <w:rStyle w:val="PageNumber"/>
        <w:rFonts w:eastAsia="MS Gothic"/>
        <w:noProof/>
      </w:rPr>
      <w:t>3</w:t>
    </w:r>
    <w:r w:rsidR="00536B56">
      <w:rPr>
        <w:rStyle w:val="PageNumber"/>
        <w:rFonts w:eastAsia="MS Gothic"/>
      </w:rPr>
      <w:fldChar w:fldCharType="end"/>
    </w:r>
    <w:r>
      <w:rPr>
        <w:rStyle w:val="PageNumber"/>
        <w:rFonts w:eastAsia="MS Gothic"/>
      </w:rPr>
      <w:t>/</w:t>
    </w:r>
    <w:r w:rsidR="00536B56">
      <w:rPr>
        <w:rStyle w:val="PageNumber"/>
        <w:rFonts w:eastAsia="MS Gothic"/>
      </w:rPr>
      <w:fldChar w:fldCharType="begin"/>
    </w:r>
    <w:r>
      <w:rPr>
        <w:rStyle w:val="PageNumber"/>
        <w:rFonts w:eastAsia="MS Gothic"/>
      </w:rPr>
      <w:instrText xml:space="preserve"> NUMPAGES </w:instrText>
    </w:r>
    <w:r w:rsidR="00536B56">
      <w:rPr>
        <w:rStyle w:val="PageNumber"/>
        <w:rFonts w:eastAsia="MS Gothic"/>
      </w:rPr>
      <w:fldChar w:fldCharType="separate"/>
    </w:r>
    <w:r w:rsidR="00925147">
      <w:rPr>
        <w:rStyle w:val="PageNumber"/>
        <w:rFonts w:eastAsia="MS Gothic"/>
        <w:noProof/>
      </w:rPr>
      <w:t>4</w:t>
    </w:r>
    <w:r w:rsidR="00536B56">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4F0" w:rsidRDefault="006224F0">
      <w:r>
        <w:separator/>
      </w:r>
    </w:p>
  </w:footnote>
  <w:footnote w:type="continuationSeparator" w:id="0">
    <w:p w:rsidR="006224F0" w:rsidRDefault="00622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10D43BA6"/>
    <w:multiLevelType w:val="hybridMultilevel"/>
    <w:tmpl w:val="31A02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6">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63667AE2"/>
    <w:multiLevelType w:val="hybridMultilevel"/>
    <w:tmpl w:val="58529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4"/>
  </w:num>
  <w:num w:numId="5">
    <w:abstractNumId w:val="3"/>
  </w:num>
  <w:num w:numId="6">
    <w:abstractNumId w:val="12"/>
  </w:num>
  <w:num w:numId="7">
    <w:abstractNumId w:val="2"/>
  </w:num>
  <w:num w:numId="8">
    <w:abstractNumId w:val="10"/>
  </w:num>
  <w:num w:numId="9">
    <w:abstractNumId w:val="5"/>
  </w:num>
  <w:num w:numId="10">
    <w:abstractNumId w:val="7"/>
  </w:num>
  <w:num w:numId="11">
    <w:abstractNumId w:val="11"/>
  </w:num>
  <w:num w:numId="12">
    <w:abstractNumId w:val="6"/>
  </w:num>
  <w:num w:numId="13">
    <w:abstractNumId w:val="8"/>
  </w:num>
  <w:num w:numId="14">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stylePaneFormatFilter w:val="3F01"/>
  <w:doNotTrackMoves/>
  <w:defaultTabStop w:val="720"/>
  <w:doNotHyphenateCaps/>
  <w:displayHorizontalDrawingGridEvery w:val="0"/>
  <w:displayVerticalDrawingGridEvery w:val="0"/>
  <w:characterSpacingControl w:val="doNotCompress"/>
  <w:hdrShapeDefaults>
    <o:shapedefaults v:ext="edit" spidmax="9218">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81697"/>
    <w:rsid w:val="00081C3F"/>
    <w:rsid w:val="0008201A"/>
    <w:rsid w:val="00082A22"/>
    <w:rsid w:val="0008390F"/>
    <w:rsid w:val="000840C3"/>
    <w:rsid w:val="000850E1"/>
    <w:rsid w:val="00086246"/>
    <w:rsid w:val="00086C10"/>
    <w:rsid w:val="00086D89"/>
    <w:rsid w:val="0008771A"/>
    <w:rsid w:val="000900C9"/>
    <w:rsid w:val="00090B3B"/>
    <w:rsid w:val="00092BE4"/>
    <w:rsid w:val="00092D77"/>
    <w:rsid w:val="00093F84"/>
    <w:rsid w:val="00094631"/>
    <w:rsid w:val="0009490A"/>
    <w:rsid w:val="00095181"/>
    <w:rsid w:val="0009643A"/>
    <w:rsid w:val="000966A3"/>
    <w:rsid w:val="00096C08"/>
    <w:rsid w:val="00097021"/>
    <w:rsid w:val="00097E0F"/>
    <w:rsid w:val="000A0315"/>
    <w:rsid w:val="000A053B"/>
    <w:rsid w:val="000A0C59"/>
    <w:rsid w:val="000A0D64"/>
    <w:rsid w:val="000A0D90"/>
    <w:rsid w:val="000A0F1E"/>
    <w:rsid w:val="000A101B"/>
    <w:rsid w:val="000A104D"/>
    <w:rsid w:val="000A10B9"/>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4A4"/>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6509"/>
    <w:rsid w:val="000D6548"/>
    <w:rsid w:val="000D6B81"/>
    <w:rsid w:val="000D6FD8"/>
    <w:rsid w:val="000D7D6C"/>
    <w:rsid w:val="000D7E41"/>
    <w:rsid w:val="000E0145"/>
    <w:rsid w:val="000E0529"/>
    <w:rsid w:val="000E070C"/>
    <w:rsid w:val="000E2243"/>
    <w:rsid w:val="000E31E6"/>
    <w:rsid w:val="000E44C6"/>
    <w:rsid w:val="000E504E"/>
    <w:rsid w:val="000E50BF"/>
    <w:rsid w:val="000E571C"/>
    <w:rsid w:val="000E58B4"/>
    <w:rsid w:val="000E598D"/>
    <w:rsid w:val="000E5AA1"/>
    <w:rsid w:val="000E715B"/>
    <w:rsid w:val="000F0059"/>
    <w:rsid w:val="000F01EC"/>
    <w:rsid w:val="000F1F9D"/>
    <w:rsid w:val="000F27F8"/>
    <w:rsid w:val="000F2C7F"/>
    <w:rsid w:val="000F336B"/>
    <w:rsid w:val="000F3A57"/>
    <w:rsid w:val="000F45A0"/>
    <w:rsid w:val="000F470C"/>
    <w:rsid w:val="000F4A86"/>
    <w:rsid w:val="000F4D77"/>
    <w:rsid w:val="000F64C4"/>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0D0"/>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586"/>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058"/>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2FFC"/>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6FD"/>
    <w:rsid w:val="001C2D37"/>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2DC6"/>
    <w:rsid w:val="001F316B"/>
    <w:rsid w:val="001F330C"/>
    <w:rsid w:val="001F442F"/>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18E6"/>
    <w:rsid w:val="002D217F"/>
    <w:rsid w:val="002D2D99"/>
    <w:rsid w:val="002D3C3B"/>
    <w:rsid w:val="002D3C6C"/>
    <w:rsid w:val="002D4040"/>
    <w:rsid w:val="002D4A75"/>
    <w:rsid w:val="002D4FD6"/>
    <w:rsid w:val="002D5FE1"/>
    <w:rsid w:val="002D72BF"/>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595"/>
    <w:rsid w:val="00302BA1"/>
    <w:rsid w:val="00303010"/>
    <w:rsid w:val="00303298"/>
    <w:rsid w:val="00303765"/>
    <w:rsid w:val="00303E7C"/>
    <w:rsid w:val="00304149"/>
    <w:rsid w:val="00305C70"/>
    <w:rsid w:val="003072BE"/>
    <w:rsid w:val="003073D5"/>
    <w:rsid w:val="003122E5"/>
    <w:rsid w:val="00312C11"/>
    <w:rsid w:val="00313299"/>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71F"/>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9CF"/>
    <w:rsid w:val="00350480"/>
    <w:rsid w:val="003518D6"/>
    <w:rsid w:val="00351FD6"/>
    <w:rsid w:val="00354D50"/>
    <w:rsid w:val="003557A2"/>
    <w:rsid w:val="00356823"/>
    <w:rsid w:val="003568E5"/>
    <w:rsid w:val="00356E3D"/>
    <w:rsid w:val="003575AA"/>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6BB"/>
    <w:rsid w:val="00393A2B"/>
    <w:rsid w:val="00394DE8"/>
    <w:rsid w:val="0039530E"/>
    <w:rsid w:val="0039566C"/>
    <w:rsid w:val="00395793"/>
    <w:rsid w:val="00396AAD"/>
    <w:rsid w:val="003A09AA"/>
    <w:rsid w:val="003A0BD9"/>
    <w:rsid w:val="003A0E65"/>
    <w:rsid w:val="003A0F1E"/>
    <w:rsid w:val="003A2DAA"/>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1EBF"/>
    <w:rsid w:val="003D297D"/>
    <w:rsid w:val="003D2E3C"/>
    <w:rsid w:val="003D352C"/>
    <w:rsid w:val="003D3782"/>
    <w:rsid w:val="003D3AE8"/>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72"/>
    <w:rsid w:val="004365AB"/>
    <w:rsid w:val="004369DD"/>
    <w:rsid w:val="0043785F"/>
    <w:rsid w:val="004405CB"/>
    <w:rsid w:val="00441324"/>
    <w:rsid w:val="0044313B"/>
    <w:rsid w:val="00443356"/>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5EF8"/>
    <w:rsid w:val="00465F0A"/>
    <w:rsid w:val="00467AB5"/>
    <w:rsid w:val="00470C44"/>
    <w:rsid w:val="00472E74"/>
    <w:rsid w:val="004730D0"/>
    <w:rsid w:val="00473370"/>
    <w:rsid w:val="00473E46"/>
    <w:rsid w:val="00474979"/>
    <w:rsid w:val="00474A99"/>
    <w:rsid w:val="00474CF1"/>
    <w:rsid w:val="00475023"/>
    <w:rsid w:val="004776C5"/>
    <w:rsid w:val="004806B7"/>
    <w:rsid w:val="00480953"/>
    <w:rsid w:val="00480A00"/>
    <w:rsid w:val="0048374A"/>
    <w:rsid w:val="004837BD"/>
    <w:rsid w:val="00483BCF"/>
    <w:rsid w:val="0048430D"/>
    <w:rsid w:val="0048553F"/>
    <w:rsid w:val="00485566"/>
    <w:rsid w:val="00485AA9"/>
    <w:rsid w:val="00485B60"/>
    <w:rsid w:val="00486F48"/>
    <w:rsid w:val="00487507"/>
    <w:rsid w:val="00490150"/>
    <w:rsid w:val="00490AA3"/>
    <w:rsid w:val="00490FEE"/>
    <w:rsid w:val="00491266"/>
    <w:rsid w:val="00491799"/>
    <w:rsid w:val="004919E9"/>
    <w:rsid w:val="00492460"/>
    <w:rsid w:val="00493C92"/>
    <w:rsid w:val="00494C2B"/>
    <w:rsid w:val="00494D12"/>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961"/>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B56"/>
    <w:rsid w:val="00536DEF"/>
    <w:rsid w:val="005375C9"/>
    <w:rsid w:val="00537971"/>
    <w:rsid w:val="00537A09"/>
    <w:rsid w:val="00537C33"/>
    <w:rsid w:val="00537CD2"/>
    <w:rsid w:val="00540415"/>
    <w:rsid w:val="005404D9"/>
    <w:rsid w:val="005409E6"/>
    <w:rsid w:val="00540F5A"/>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C17"/>
    <w:rsid w:val="00581D34"/>
    <w:rsid w:val="00582394"/>
    <w:rsid w:val="0058412F"/>
    <w:rsid w:val="005849CD"/>
    <w:rsid w:val="00584B23"/>
    <w:rsid w:val="00584B85"/>
    <w:rsid w:val="00585798"/>
    <w:rsid w:val="0058620C"/>
    <w:rsid w:val="00586B37"/>
    <w:rsid w:val="005875A2"/>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FAC"/>
    <w:rsid w:val="0062189F"/>
    <w:rsid w:val="00621B6F"/>
    <w:rsid w:val="00621C6F"/>
    <w:rsid w:val="006223A6"/>
    <w:rsid w:val="006224F0"/>
    <w:rsid w:val="00622823"/>
    <w:rsid w:val="006230FA"/>
    <w:rsid w:val="00624129"/>
    <w:rsid w:val="0062432F"/>
    <w:rsid w:val="006244E4"/>
    <w:rsid w:val="006251ED"/>
    <w:rsid w:val="006253C7"/>
    <w:rsid w:val="00625BC9"/>
    <w:rsid w:val="00626532"/>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684"/>
    <w:rsid w:val="006B7AAD"/>
    <w:rsid w:val="006C02A7"/>
    <w:rsid w:val="006C064B"/>
    <w:rsid w:val="006C0A14"/>
    <w:rsid w:val="006C1A33"/>
    <w:rsid w:val="006C26D8"/>
    <w:rsid w:val="006C317E"/>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C24"/>
    <w:rsid w:val="006E275A"/>
    <w:rsid w:val="006E2EEC"/>
    <w:rsid w:val="006E3CD5"/>
    <w:rsid w:val="006E3D07"/>
    <w:rsid w:val="006E3EF7"/>
    <w:rsid w:val="006E466F"/>
    <w:rsid w:val="006E4C76"/>
    <w:rsid w:val="006E6188"/>
    <w:rsid w:val="006E75B7"/>
    <w:rsid w:val="006F024D"/>
    <w:rsid w:val="006F11CB"/>
    <w:rsid w:val="006F1D99"/>
    <w:rsid w:val="006F208E"/>
    <w:rsid w:val="006F229E"/>
    <w:rsid w:val="006F23FC"/>
    <w:rsid w:val="006F2EA1"/>
    <w:rsid w:val="006F70D3"/>
    <w:rsid w:val="006F71FF"/>
    <w:rsid w:val="007003EA"/>
    <w:rsid w:val="00700B12"/>
    <w:rsid w:val="00700CBF"/>
    <w:rsid w:val="00701BA9"/>
    <w:rsid w:val="00701EBC"/>
    <w:rsid w:val="00703368"/>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5A4"/>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4318"/>
    <w:rsid w:val="007847D8"/>
    <w:rsid w:val="00784BDD"/>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69A3"/>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A99"/>
    <w:rsid w:val="007F15C8"/>
    <w:rsid w:val="007F1CBA"/>
    <w:rsid w:val="007F2A38"/>
    <w:rsid w:val="007F3D81"/>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C7A"/>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6A49"/>
    <w:rsid w:val="008872C9"/>
    <w:rsid w:val="008906F0"/>
    <w:rsid w:val="00891026"/>
    <w:rsid w:val="008911D5"/>
    <w:rsid w:val="008912D7"/>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62BE"/>
    <w:rsid w:val="008B6C52"/>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7973"/>
    <w:rsid w:val="008D7A2B"/>
    <w:rsid w:val="008D7B3F"/>
    <w:rsid w:val="008D7EC4"/>
    <w:rsid w:val="008D7F25"/>
    <w:rsid w:val="008E03BF"/>
    <w:rsid w:val="008E0DB1"/>
    <w:rsid w:val="008E10FE"/>
    <w:rsid w:val="008E1552"/>
    <w:rsid w:val="008E214E"/>
    <w:rsid w:val="008E263A"/>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34F1"/>
    <w:rsid w:val="008F469B"/>
    <w:rsid w:val="008F4945"/>
    <w:rsid w:val="008F54D0"/>
    <w:rsid w:val="008F69DD"/>
    <w:rsid w:val="008F722F"/>
    <w:rsid w:val="008F764B"/>
    <w:rsid w:val="009009DE"/>
    <w:rsid w:val="00900C98"/>
    <w:rsid w:val="00900DAE"/>
    <w:rsid w:val="00900FA3"/>
    <w:rsid w:val="00901B54"/>
    <w:rsid w:val="00901C14"/>
    <w:rsid w:val="00901C75"/>
    <w:rsid w:val="00902C1C"/>
    <w:rsid w:val="00902E40"/>
    <w:rsid w:val="00902F6D"/>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147"/>
    <w:rsid w:val="0092574F"/>
    <w:rsid w:val="00926073"/>
    <w:rsid w:val="0092662C"/>
    <w:rsid w:val="009269EC"/>
    <w:rsid w:val="00926A9B"/>
    <w:rsid w:val="009274CF"/>
    <w:rsid w:val="00927D48"/>
    <w:rsid w:val="0093057F"/>
    <w:rsid w:val="00930AFA"/>
    <w:rsid w:val="00931B04"/>
    <w:rsid w:val="0093204B"/>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4CA"/>
    <w:rsid w:val="009A14EB"/>
    <w:rsid w:val="009A16BB"/>
    <w:rsid w:val="009A18AB"/>
    <w:rsid w:val="009A1A62"/>
    <w:rsid w:val="009A1CB4"/>
    <w:rsid w:val="009A285B"/>
    <w:rsid w:val="009A28C0"/>
    <w:rsid w:val="009A2FDA"/>
    <w:rsid w:val="009A2FE1"/>
    <w:rsid w:val="009A3310"/>
    <w:rsid w:val="009A37B0"/>
    <w:rsid w:val="009A4024"/>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9B3"/>
    <w:rsid w:val="009E2765"/>
    <w:rsid w:val="009E374C"/>
    <w:rsid w:val="009E38AB"/>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71E8"/>
    <w:rsid w:val="00A378CB"/>
    <w:rsid w:val="00A37C27"/>
    <w:rsid w:val="00A40166"/>
    <w:rsid w:val="00A41237"/>
    <w:rsid w:val="00A41C93"/>
    <w:rsid w:val="00A423FA"/>
    <w:rsid w:val="00A42646"/>
    <w:rsid w:val="00A4295A"/>
    <w:rsid w:val="00A42D9C"/>
    <w:rsid w:val="00A42F67"/>
    <w:rsid w:val="00A433A5"/>
    <w:rsid w:val="00A4395F"/>
    <w:rsid w:val="00A43ADA"/>
    <w:rsid w:val="00A43D9C"/>
    <w:rsid w:val="00A4405D"/>
    <w:rsid w:val="00A4421B"/>
    <w:rsid w:val="00A44762"/>
    <w:rsid w:val="00A44808"/>
    <w:rsid w:val="00A452ED"/>
    <w:rsid w:val="00A453D0"/>
    <w:rsid w:val="00A467D4"/>
    <w:rsid w:val="00A46D00"/>
    <w:rsid w:val="00A4796C"/>
    <w:rsid w:val="00A47F87"/>
    <w:rsid w:val="00A501C9"/>
    <w:rsid w:val="00A53579"/>
    <w:rsid w:val="00A54103"/>
    <w:rsid w:val="00A54592"/>
    <w:rsid w:val="00A55412"/>
    <w:rsid w:val="00A55CC2"/>
    <w:rsid w:val="00A56027"/>
    <w:rsid w:val="00A6003E"/>
    <w:rsid w:val="00A6045E"/>
    <w:rsid w:val="00A62EB4"/>
    <w:rsid w:val="00A6304A"/>
    <w:rsid w:val="00A63C59"/>
    <w:rsid w:val="00A63EA9"/>
    <w:rsid w:val="00A6443A"/>
    <w:rsid w:val="00A64F1A"/>
    <w:rsid w:val="00A65F3D"/>
    <w:rsid w:val="00A65F7E"/>
    <w:rsid w:val="00A661F2"/>
    <w:rsid w:val="00A663AF"/>
    <w:rsid w:val="00A67C8B"/>
    <w:rsid w:val="00A700F3"/>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CC0"/>
    <w:rsid w:val="00A80453"/>
    <w:rsid w:val="00A806E1"/>
    <w:rsid w:val="00A80A03"/>
    <w:rsid w:val="00A80F24"/>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21F"/>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90C"/>
    <w:rsid w:val="00B12E99"/>
    <w:rsid w:val="00B13624"/>
    <w:rsid w:val="00B13D8F"/>
    <w:rsid w:val="00B15A25"/>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5643"/>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E3C"/>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35E"/>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5254"/>
    <w:rsid w:val="00C95903"/>
    <w:rsid w:val="00C973B5"/>
    <w:rsid w:val="00C97B64"/>
    <w:rsid w:val="00C97EF8"/>
    <w:rsid w:val="00CA0A6E"/>
    <w:rsid w:val="00CA1BCC"/>
    <w:rsid w:val="00CA4884"/>
    <w:rsid w:val="00CA4C47"/>
    <w:rsid w:val="00CA5900"/>
    <w:rsid w:val="00CA5C05"/>
    <w:rsid w:val="00CA5E2B"/>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C6C9B"/>
    <w:rsid w:val="00CD0B39"/>
    <w:rsid w:val="00CD1069"/>
    <w:rsid w:val="00CD1B1F"/>
    <w:rsid w:val="00CD1D47"/>
    <w:rsid w:val="00CD288B"/>
    <w:rsid w:val="00CD289E"/>
    <w:rsid w:val="00CD2999"/>
    <w:rsid w:val="00CD2D59"/>
    <w:rsid w:val="00CD5261"/>
    <w:rsid w:val="00CD6D1E"/>
    <w:rsid w:val="00CD77F8"/>
    <w:rsid w:val="00CE1510"/>
    <w:rsid w:val="00CE19D6"/>
    <w:rsid w:val="00CE41C5"/>
    <w:rsid w:val="00CE50DD"/>
    <w:rsid w:val="00CE5578"/>
    <w:rsid w:val="00CE5618"/>
    <w:rsid w:val="00CE5839"/>
    <w:rsid w:val="00CE5DAA"/>
    <w:rsid w:val="00CE6B6F"/>
    <w:rsid w:val="00CF0B05"/>
    <w:rsid w:val="00CF0D83"/>
    <w:rsid w:val="00CF119F"/>
    <w:rsid w:val="00CF174D"/>
    <w:rsid w:val="00CF1761"/>
    <w:rsid w:val="00CF2DBA"/>
    <w:rsid w:val="00CF35BC"/>
    <w:rsid w:val="00CF3EDA"/>
    <w:rsid w:val="00CF4D7E"/>
    <w:rsid w:val="00CF54DA"/>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40C9"/>
    <w:rsid w:val="00D34AEA"/>
    <w:rsid w:val="00D34DD3"/>
    <w:rsid w:val="00D3521C"/>
    <w:rsid w:val="00D3537C"/>
    <w:rsid w:val="00D3584E"/>
    <w:rsid w:val="00D359E2"/>
    <w:rsid w:val="00D3616F"/>
    <w:rsid w:val="00D36D52"/>
    <w:rsid w:val="00D36F08"/>
    <w:rsid w:val="00D370C8"/>
    <w:rsid w:val="00D4121A"/>
    <w:rsid w:val="00D4160F"/>
    <w:rsid w:val="00D42319"/>
    <w:rsid w:val="00D430FB"/>
    <w:rsid w:val="00D433F2"/>
    <w:rsid w:val="00D43933"/>
    <w:rsid w:val="00D43B2A"/>
    <w:rsid w:val="00D44352"/>
    <w:rsid w:val="00D44806"/>
    <w:rsid w:val="00D44982"/>
    <w:rsid w:val="00D44B75"/>
    <w:rsid w:val="00D45D02"/>
    <w:rsid w:val="00D46093"/>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413C"/>
    <w:rsid w:val="00D744AC"/>
    <w:rsid w:val="00D7455E"/>
    <w:rsid w:val="00D74588"/>
    <w:rsid w:val="00D7500C"/>
    <w:rsid w:val="00D772AF"/>
    <w:rsid w:val="00D8113E"/>
    <w:rsid w:val="00D826EC"/>
    <w:rsid w:val="00D82CEE"/>
    <w:rsid w:val="00D83214"/>
    <w:rsid w:val="00D83406"/>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165"/>
    <w:rsid w:val="00D94352"/>
    <w:rsid w:val="00D943AA"/>
    <w:rsid w:val="00D95A44"/>
    <w:rsid w:val="00D95F13"/>
    <w:rsid w:val="00D96C22"/>
    <w:rsid w:val="00D96C25"/>
    <w:rsid w:val="00D96E69"/>
    <w:rsid w:val="00D97528"/>
    <w:rsid w:val="00D977AF"/>
    <w:rsid w:val="00DA0115"/>
    <w:rsid w:val="00DA0F5A"/>
    <w:rsid w:val="00DA0FC3"/>
    <w:rsid w:val="00DA131F"/>
    <w:rsid w:val="00DA2F52"/>
    <w:rsid w:val="00DA376E"/>
    <w:rsid w:val="00DA3B01"/>
    <w:rsid w:val="00DA41BD"/>
    <w:rsid w:val="00DA4ADA"/>
    <w:rsid w:val="00DA554C"/>
    <w:rsid w:val="00DA6E95"/>
    <w:rsid w:val="00DA713C"/>
    <w:rsid w:val="00DA78E3"/>
    <w:rsid w:val="00DB038E"/>
    <w:rsid w:val="00DB1AA5"/>
    <w:rsid w:val="00DB2E8C"/>
    <w:rsid w:val="00DB3459"/>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8A2"/>
    <w:rsid w:val="00DD3EDD"/>
    <w:rsid w:val="00DD61DD"/>
    <w:rsid w:val="00DD6514"/>
    <w:rsid w:val="00DD7AB9"/>
    <w:rsid w:val="00DE055D"/>
    <w:rsid w:val="00DE19A1"/>
    <w:rsid w:val="00DE1A02"/>
    <w:rsid w:val="00DE2BDC"/>
    <w:rsid w:val="00DE2D53"/>
    <w:rsid w:val="00DE3C1B"/>
    <w:rsid w:val="00DE4323"/>
    <w:rsid w:val="00DE5606"/>
    <w:rsid w:val="00DE5C63"/>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B7EBD"/>
    <w:rsid w:val="00EC052E"/>
    <w:rsid w:val="00EC0D05"/>
    <w:rsid w:val="00EC0F91"/>
    <w:rsid w:val="00EC110F"/>
    <w:rsid w:val="00EC17BA"/>
    <w:rsid w:val="00EC1C35"/>
    <w:rsid w:val="00EC2575"/>
    <w:rsid w:val="00EC3B3B"/>
    <w:rsid w:val="00EC4821"/>
    <w:rsid w:val="00EC48EE"/>
    <w:rsid w:val="00EC51F3"/>
    <w:rsid w:val="00EC5423"/>
    <w:rsid w:val="00EC5892"/>
    <w:rsid w:val="00EC59AC"/>
    <w:rsid w:val="00EC633F"/>
    <w:rsid w:val="00EC6A4F"/>
    <w:rsid w:val="00EC7021"/>
    <w:rsid w:val="00ED04D1"/>
    <w:rsid w:val="00ED0839"/>
    <w:rsid w:val="00ED0A5B"/>
    <w:rsid w:val="00ED12AE"/>
    <w:rsid w:val="00ED1CFC"/>
    <w:rsid w:val="00ED3714"/>
    <w:rsid w:val="00ED4151"/>
    <w:rsid w:val="00ED43B8"/>
    <w:rsid w:val="00ED5C21"/>
    <w:rsid w:val="00ED62FC"/>
    <w:rsid w:val="00EE083D"/>
    <w:rsid w:val="00EE153B"/>
    <w:rsid w:val="00EE22ED"/>
    <w:rsid w:val="00EE28D1"/>
    <w:rsid w:val="00EE2F9D"/>
    <w:rsid w:val="00EE3318"/>
    <w:rsid w:val="00EE44D1"/>
    <w:rsid w:val="00EE48F7"/>
    <w:rsid w:val="00EE5A37"/>
    <w:rsid w:val="00EE62A1"/>
    <w:rsid w:val="00EE64E0"/>
    <w:rsid w:val="00EE7117"/>
    <w:rsid w:val="00EE7282"/>
    <w:rsid w:val="00EE7408"/>
    <w:rsid w:val="00EF072B"/>
    <w:rsid w:val="00EF1498"/>
    <w:rsid w:val="00EF2F79"/>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9B0"/>
    <w:rsid w:val="00F05DA4"/>
    <w:rsid w:val="00F06022"/>
    <w:rsid w:val="00F063BC"/>
    <w:rsid w:val="00F06613"/>
    <w:rsid w:val="00F06823"/>
    <w:rsid w:val="00F06E86"/>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CAC"/>
    <w:rsid w:val="00F30EA0"/>
    <w:rsid w:val="00F31169"/>
    <w:rsid w:val="00F31662"/>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1B1D"/>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6CF1"/>
    <w:rsid w:val="00F70179"/>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64"/>
    <w:rsid w:val="00F85788"/>
    <w:rsid w:val="00F85A2B"/>
    <w:rsid w:val="00F85C47"/>
    <w:rsid w:val="00F8656C"/>
    <w:rsid w:val="00F868D3"/>
    <w:rsid w:val="00F8718A"/>
    <w:rsid w:val="00F87E5C"/>
    <w:rsid w:val="00F919CE"/>
    <w:rsid w:val="00F92727"/>
    <w:rsid w:val="00F93511"/>
    <w:rsid w:val="00F9389C"/>
    <w:rsid w:val="00F93AF3"/>
    <w:rsid w:val="00F94457"/>
    <w:rsid w:val="00F95012"/>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5EBB"/>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3406"/>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D83406"/>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83406"/>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D83406"/>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83406"/>
    <w:pPr>
      <w:keepNext/>
      <w:numPr>
        <w:ilvl w:val="3"/>
        <w:numId w:val="3"/>
      </w:numPr>
      <w:jc w:val="right"/>
      <w:outlineLvl w:val="3"/>
    </w:pPr>
    <w:rPr>
      <w:rFonts w:ascii="Arial" w:hAnsi="Arial"/>
      <w:i/>
    </w:rPr>
  </w:style>
  <w:style w:type="paragraph" w:styleId="Heading5">
    <w:name w:val="heading 5"/>
    <w:aliases w:val="H5"/>
    <w:basedOn w:val="Normal"/>
    <w:next w:val="Normal"/>
    <w:qFormat/>
    <w:rsid w:val="00D83406"/>
    <w:pPr>
      <w:keepNext/>
      <w:spacing w:line="360" w:lineRule="auto"/>
      <w:outlineLvl w:val="4"/>
    </w:pPr>
    <w:rPr>
      <w:sz w:val="26"/>
      <w:u w:val="single"/>
    </w:rPr>
  </w:style>
  <w:style w:type="paragraph" w:styleId="Heading6">
    <w:name w:val="heading 6"/>
    <w:basedOn w:val="Normal"/>
    <w:next w:val="Normal"/>
    <w:qFormat/>
    <w:rsid w:val="00D83406"/>
    <w:pPr>
      <w:spacing w:before="240" w:after="60"/>
      <w:outlineLvl w:val="5"/>
    </w:pPr>
    <w:rPr>
      <w:i/>
      <w:sz w:val="22"/>
    </w:rPr>
  </w:style>
  <w:style w:type="paragraph" w:styleId="Heading7">
    <w:name w:val="heading 7"/>
    <w:basedOn w:val="Normal"/>
    <w:next w:val="Normal"/>
    <w:qFormat/>
    <w:rsid w:val="00D83406"/>
    <w:pPr>
      <w:spacing w:before="240" w:after="60"/>
      <w:outlineLvl w:val="6"/>
    </w:pPr>
    <w:rPr>
      <w:rFonts w:ascii="Arial" w:hAnsi="Arial"/>
    </w:rPr>
  </w:style>
  <w:style w:type="paragraph" w:styleId="Heading8">
    <w:name w:val="heading 8"/>
    <w:aliases w:val="Table Heading"/>
    <w:basedOn w:val="Normal"/>
    <w:next w:val="Normal"/>
    <w:qFormat/>
    <w:rsid w:val="00D83406"/>
    <w:pPr>
      <w:spacing w:before="240" w:after="60"/>
      <w:outlineLvl w:val="7"/>
    </w:pPr>
    <w:rPr>
      <w:rFonts w:ascii="Arial" w:hAnsi="Arial"/>
      <w:i/>
    </w:rPr>
  </w:style>
  <w:style w:type="paragraph" w:styleId="Heading9">
    <w:name w:val="heading 9"/>
    <w:aliases w:val="Figure Heading,FH"/>
    <w:basedOn w:val="Normal"/>
    <w:next w:val="Normal"/>
    <w:qFormat/>
    <w:rsid w:val="00D8340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83406"/>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83406"/>
    <w:pPr>
      <w:spacing w:after="120"/>
    </w:pPr>
  </w:style>
  <w:style w:type="paragraph" w:styleId="BodyTextIndent">
    <w:name w:val="Body Text Indent"/>
    <w:basedOn w:val="Normal"/>
    <w:rsid w:val="00D83406"/>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83406"/>
    <w:pPr>
      <w:widowControl w:val="0"/>
    </w:pPr>
    <w:rPr>
      <w:rFonts w:ascii="Arial" w:eastAsia="MS Mincho" w:hAnsi="Arial"/>
      <w:b/>
      <w:noProof/>
      <w:sz w:val="18"/>
    </w:rPr>
  </w:style>
  <w:style w:type="paragraph" w:styleId="DocumentMap">
    <w:name w:val="Document Map"/>
    <w:basedOn w:val="Normal"/>
    <w:semiHidden/>
    <w:rsid w:val="00D83406"/>
    <w:pPr>
      <w:shd w:val="clear" w:color="auto" w:fill="000080"/>
    </w:pPr>
    <w:rPr>
      <w:rFonts w:ascii="Tahoma" w:hAnsi="Tahoma"/>
    </w:rPr>
  </w:style>
  <w:style w:type="paragraph" w:styleId="PlainText">
    <w:name w:val="Plain Text"/>
    <w:basedOn w:val="Normal"/>
    <w:rsid w:val="00D83406"/>
    <w:rPr>
      <w:rFonts w:ascii="Courier New" w:hAnsi="Courier New"/>
    </w:rPr>
  </w:style>
  <w:style w:type="paragraph" w:customStyle="1" w:styleId="ZT">
    <w:name w:val="ZT"/>
    <w:rsid w:val="00D83406"/>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83406"/>
  </w:style>
  <w:style w:type="paragraph" w:customStyle="1" w:styleId="TF">
    <w:name w:val="TF"/>
    <w:basedOn w:val="TH"/>
    <w:rsid w:val="00D83406"/>
    <w:pPr>
      <w:keepNext w:val="0"/>
      <w:spacing w:before="0" w:after="240"/>
    </w:pPr>
  </w:style>
  <w:style w:type="paragraph" w:customStyle="1" w:styleId="TH">
    <w:name w:val="TH"/>
    <w:basedOn w:val="Normal"/>
    <w:link w:val="THChar"/>
    <w:rsid w:val="00D83406"/>
    <w:pPr>
      <w:keepNext/>
      <w:keepLines/>
      <w:spacing w:before="60" w:after="180"/>
      <w:jc w:val="center"/>
    </w:pPr>
    <w:rPr>
      <w:rFonts w:ascii="Arial" w:hAnsi="Arial"/>
      <w:b/>
    </w:rPr>
  </w:style>
  <w:style w:type="paragraph" w:customStyle="1" w:styleId="B1">
    <w:name w:val="B1"/>
    <w:basedOn w:val="List"/>
    <w:rsid w:val="00D83406"/>
  </w:style>
  <w:style w:type="paragraph" w:styleId="List">
    <w:name w:val="List"/>
    <w:basedOn w:val="Normal"/>
    <w:rsid w:val="00D83406"/>
    <w:pPr>
      <w:spacing w:after="180"/>
      <w:ind w:left="568" w:hanging="284"/>
    </w:pPr>
  </w:style>
  <w:style w:type="paragraph" w:customStyle="1" w:styleId="EQ">
    <w:name w:val="EQ"/>
    <w:basedOn w:val="Normal"/>
    <w:next w:val="Normal"/>
    <w:rsid w:val="00D83406"/>
    <w:pPr>
      <w:keepLines/>
      <w:tabs>
        <w:tab w:val="center" w:pos="4536"/>
        <w:tab w:val="right" w:pos="9072"/>
      </w:tabs>
      <w:spacing w:after="180"/>
    </w:pPr>
    <w:rPr>
      <w:noProof/>
    </w:rPr>
  </w:style>
  <w:style w:type="paragraph" w:customStyle="1" w:styleId="lptext">
    <w:name w:val="lˆptext"/>
    <w:basedOn w:val="Normal"/>
    <w:rsid w:val="00D83406"/>
    <w:pPr>
      <w:spacing w:before="100" w:after="100"/>
      <w:ind w:left="860"/>
    </w:pPr>
    <w:rPr>
      <w:rFonts w:ascii="Times" w:hAnsi="Times"/>
    </w:rPr>
  </w:style>
  <w:style w:type="character" w:styleId="FootnoteReference">
    <w:name w:val="footnote reference"/>
    <w:basedOn w:val="DefaultParagraphFont"/>
    <w:semiHidden/>
    <w:rsid w:val="00D83406"/>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3406"/>
    <w:pPr>
      <w:keepLines/>
      <w:ind w:left="454" w:hanging="454"/>
    </w:pPr>
    <w:rPr>
      <w:sz w:val="16"/>
    </w:rPr>
  </w:style>
  <w:style w:type="paragraph" w:styleId="Caption">
    <w:name w:val="caption"/>
    <w:aliases w:val="cap,cap Char"/>
    <w:basedOn w:val="Normal"/>
    <w:next w:val="Normal"/>
    <w:qFormat/>
    <w:rsid w:val="00D83406"/>
    <w:pPr>
      <w:spacing w:before="120" w:after="120"/>
    </w:pPr>
    <w:rPr>
      <w:b/>
    </w:rPr>
  </w:style>
  <w:style w:type="paragraph" w:customStyle="1" w:styleId="a">
    <w:name w:val="佐藤２"/>
    <w:basedOn w:val="Normal"/>
    <w:rsid w:val="00D83406"/>
    <w:pPr>
      <w:numPr>
        <w:numId w:val="4"/>
      </w:numPr>
      <w:spacing w:after="180"/>
    </w:pPr>
  </w:style>
  <w:style w:type="paragraph" w:styleId="BodyTextIndent2">
    <w:name w:val="Body Text Indent 2"/>
    <w:basedOn w:val="Normal"/>
    <w:rsid w:val="00D83406"/>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83406"/>
    <w:pPr>
      <w:tabs>
        <w:tab w:val="clear" w:pos="360"/>
      </w:tabs>
      <w:spacing w:after="60"/>
      <w:ind w:left="1080" w:hanging="357"/>
    </w:pPr>
    <w:rPr>
      <w:rFonts w:ascii="Arial" w:hAnsi="Arial"/>
    </w:rPr>
  </w:style>
  <w:style w:type="paragraph" w:styleId="ListBullet">
    <w:name w:val="List Bullet"/>
    <w:basedOn w:val="Normal"/>
    <w:autoRedefine/>
    <w:rsid w:val="00D83406"/>
    <w:pPr>
      <w:numPr>
        <w:numId w:val="1"/>
      </w:numPr>
    </w:pPr>
  </w:style>
  <w:style w:type="paragraph" w:customStyle="1" w:styleId="ListBulletLast">
    <w:name w:val="List Bullet Last"/>
    <w:aliases w:val="lbl"/>
    <w:basedOn w:val="ListBullet"/>
    <w:next w:val="BodyText"/>
    <w:rsid w:val="00D83406"/>
    <w:pPr>
      <w:tabs>
        <w:tab w:val="clear" w:pos="360"/>
      </w:tabs>
      <w:spacing w:after="240"/>
      <w:ind w:left="714" w:hanging="357"/>
    </w:pPr>
    <w:rPr>
      <w:rFonts w:ascii="Arial" w:hAnsi="Arial"/>
    </w:rPr>
  </w:style>
  <w:style w:type="paragraph" w:styleId="Footer">
    <w:name w:val="footer"/>
    <w:basedOn w:val="Normal"/>
    <w:link w:val="FooterChar"/>
    <w:uiPriority w:val="99"/>
    <w:rsid w:val="00D83406"/>
    <w:pPr>
      <w:tabs>
        <w:tab w:val="center" w:pos="4536"/>
        <w:tab w:val="right" w:pos="9072"/>
      </w:tabs>
      <w:spacing w:before="120"/>
    </w:pPr>
    <w:rPr>
      <w:lang w:val="de-DE"/>
    </w:rPr>
  </w:style>
  <w:style w:type="paragraph" w:styleId="List2">
    <w:name w:val="List 2"/>
    <w:basedOn w:val="List"/>
    <w:rsid w:val="00D83406"/>
    <w:pPr>
      <w:ind w:left="851"/>
    </w:pPr>
  </w:style>
  <w:style w:type="paragraph" w:customStyle="1" w:styleId="TitleText">
    <w:name w:val="Title Text"/>
    <w:basedOn w:val="Normal"/>
    <w:next w:val="Normal"/>
    <w:rsid w:val="00D83406"/>
    <w:pPr>
      <w:spacing w:after="220"/>
    </w:pPr>
    <w:rPr>
      <w:rFonts w:ascii="Arial" w:hAnsi="Arial"/>
      <w:b/>
      <w:sz w:val="22"/>
    </w:rPr>
  </w:style>
  <w:style w:type="paragraph" w:styleId="Title">
    <w:name w:val="Title"/>
    <w:basedOn w:val="Normal"/>
    <w:link w:val="TitleChar"/>
    <w:uiPriority w:val="10"/>
    <w:qFormat/>
    <w:rsid w:val="00D83406"/>
    <w:pPr>
      <w:jc w:val="center"/>
    </w:pPr>
    <w:rPr>
      <w:rFonts w:ascii="Arial" w:hAnsi="Arial"/>
      <w:b/>
    </w:rPr>
  </w:style>
  <w:style w:type="paragraph" w:styleId="TableofFigures">
    <w:name w:val="table of figures"/>
    <w:basedOn w:val="TOC1"/>
    <w:next w:val="Normal"/>
    <w:semiHidden/>
    <w:rsid w:val="00D83406"/>
    <w:pPr>
      <w:tabs>
        <w:tab w:val="right" w:leader="dot" w:pos="9360"/>
      </w:tabs>
      <w:spacing w:before="120" w:after="120"/>
    </w:pPr>
    <w:rPr>
      <w:caps/>
    </w:rPr>
  </w:style>
  <w:style w:type="paragraph" w:styleId="TOC1">
    <w:name w:val="toc 1"/>
    <w:basedOn w:val="Normal"/>
    <w:next w:val="Normal"/>
    <w:autoRedefine/>
    <w:semiHidden/>
    <w:rsid w:val="00D83406"/>
  </w:style>
  <w:style w:type="character" w:styleId="PageNumber">
    <w:name w:val="page number"/>
    <w:basedOn w:val="DefaultParagraphFont"/>
    <w:rsid w:val="00D83406"/>
    <w:rPr>
      <w:rFonts w:eastAsia="Times New Roman"/>
      <w:noProof w:val="0"/>
      <w:kern w:val="2"/>
      <w:sz w:val="21"/>
      <w:lang w:val="en-GB"/>
    </w:rPr>
  </w:style>
  <w:style w:type="paragraph" w:styleId="BodyText3">
    <w:name w:val="Body Text 3"/>
    <w:basedOn w:val="Normal"/>
    <w:rsid w:val="00D83406"/>
    <w:pPr>
      <w:jc w:val="both"/>
    </w:pPr>
  </w:style>
  <w:style w:type="paragraph" w:customStyle="1" w:styleId="TableText">
    <w:name w:val="Table_Text"/>
    <w:basedOn w:val="Normal"/>
    <w:rsid w:val="00D83406"/>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83406"/>
    <w:pPr>
      <w:spacing w:after="240"/>
      <w:jc w:val="both"/>
    </w:pPr>
    <w:rPr>
      <w:lang w:val="en-US"/>
    </w:rPr>
  </w:style>
  <w:style w:type="paragraph" w:customStyle="1" w:styleId="textintend1">
    <w:name w:val="text intend 1"/>
    <w:basedOn w:val="text"/>
    <w:rsid w:val="00D83406"/>
    <w:pPr>
      <w:numPr>
        <w:numId w:val="2"/>
      </w:numPr>
      <w:spacing w:after="120"/>
    </w:pPr>
  </w:style>
  <w:style w:type="paragraph" w:customStyle="1" w:styleId="shortcode">
    <w:name w:val="shortcode"/>
    <w:basedOn w:val="BodyText"/>
    <w:rsid w:val="00D8340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83406"/>
    <w:pPr>
      <w:overflowPunct w:val="0"/>
      <w:autoSpaceDE w:val="0"/>
      <w:autoSpaceDN w:val="0"/>
      <w:adjustRightInd w:val="0"/>
      <w:textAlignment w:val="baseline"/>
    </w:pPr>
  </w:style>
  <w:style w:type="paragraph" w:customStyle="1" w:styleId="B3">
    <w:name w:val="B3"/>
    <w:basedOn w:val="List3"/>
    <w:rsid w:val="00D83406"/>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83406"/>
    <w:pPr>
      <w:ind w:leftChars="400" w:left="100" w:hangingChars="200" w:hanging="200"/>
    </w:pPr>
  </w:style>
  <w:style w:type="paragraph" w:customStyle="1" w:styleId="RecCCITT">
    <w:name w:val="Rec_CCITT_#"/>
    <w:basedOn w:val="Normal"/>
    <w:rsid w:val="00D83406"/>
    <w:pPr>
      <w:keepNext/>
      <w:keepLines/>
      <w:spacing w:after="180"/>
    </w:pPr>
    <w:rPr>
      <w:b/>
    </w:rPr>
  </w:style>
  <w:style w:type="character" w:styleId="Hyperlink">
    <w:name w:val="Hyperlink"/>
    <w:basedOn w:val="DefaultParagraphFont"/>
    <w:rsid w:val="00D83406"/>
    <w:rPr>
      <w:rFonts w:eastAsia="Times New Roman"/>
      <w:noProof w:val="0"/>
      <w:color w:val="0000FF"/>
      <w:kern w:val="2"/>
      <w:sz w:val="21"/>
      <w:u w:val="single"/>
      <w:lang w:val="en-GB"/>
    </w:rPr>
  </w:style>
  <w:style w:type="character" w:styleId="FollowedHyperlink">
    <w:name w:val="FollowedHyperlink"/>
    <w:basedOn w:val="DefaultParagraphFont"/>
    <w:rsid w:val="00D83406"/>
    <w:rPr>
      <w:rFonts w:eastAsia="Times New Roman"/>
      <w:noProof w:val="0"/>
      <w:color w:val="800080"/>
      <w:kern w:val="2"/>
      <w:sz w:val="21"/>
      <w:u w:val="single"/>
      <w:lang w:val="en-GB"/>
    </w:rPr>
  </w:style>
  <w:style w:type="character" w:styleId="CommentReference">
    <w:name w:val="annotation reference"/>
    <w:basedOn w:val="DefaultParagraphFont"/>
    <w:semiHidden/>
    <w:rsid w:val="00D83406"/>
    <w:rPr>
      <w:rFonts w:eastAsia="Times New Roman"/>
      <w:noProof w:val="0"/>
      <w:kern w:val="2"/>
      <w:sz w:val="16"/>
      <w:lang w:val="en-GB"/>
    </w:rPr>
  </w:style>
  <w:style w:type="paragraph" w:styleId="BalloonText">
    <w:name w:val="Balloon Text"/>
    <w:basedOn w:val="Normal"/>
    <w:rsid w:val="00D83406"/>
    <w:rPr>
      <w:rFonts w:ascii="Arial" w:hAnsi="Arial"/>
      <w:sz w:val="18"/>
    </w:rPr>
  </w:style>
  <w:style w:type="paragraph" w:customStyle="1" w:styleId="Reference">
    <w:name w:val="Reference"/>
    <w:basedOn w:val="Normal"/>
    <w:rsid w:val="00D83406"/>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D83406"/>
    <w:rPr>
      <w:sz w:val="20"/>
    </w:rPr>
  </w:style>
  <w:style w:type="paragraph" w:customStyle="1" w:styleId="HTMLBody">
    <w:name w:val="HTML Body"/>
    <w:rsid w:val="00D83406"/>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D83406"/>
    <w:rPr>
      <w:rFonts w:eastAsia="MS Gothic"/>
      <w:b/>
      <w:noProof w:val="0"/>
      <w:kern w:val="2"/>
      <w:sz w:val="24"/>
      <w:lang w:val="en-GB"/>
    </w:rPr>
  </w:style>
  <w:style w:type="paragraph" w:customStyle="1" w:styleId="Normal1CharChar">
    <w:name w:val="Normal1 Char Char"/>
    <w:rsid w:val="00D83406"/>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D83406"/>
    <w:rPr>
      <w:b/>
      <w:sz w:val="24"/>
    </w:rPr>
  </w:style>
  <w:style w:type="paragraph" w:customStyle="1" w:styleId="CharCharCharCarCarCharCharCarCar">
    <w:name w:val="Char Char Char Car Car Char Char Car Car"/>
    <w:rsid w:val="00D8340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8F469B"/>
    <w:rPr>
      <w:rFonts w:ascii="Arial" w:eastAsia="MS Gothic" w:hAnsi="Arial"/>
      <w:kern w:val="28"/>
      <w:sz w:val="28"/>
      <w:lang w:val="en-GB" w:eastAsia="ja-JP"/>
    </w:rPr>
  </w:style>
  <w:style w:type="character" w:customStyle="1" w:styleId="TitleChar">
    <w:name w:val="Title Char"/>
    <w:link w:val="Title"/>
    <w:uiPriority w:val="10"/>
    <w:rsid w:val="007B69A3"/>
    <w:rPr>
      <w:rFonts w:ascii="Arial" w:eastAsia="MS Gothic" w:hAnsi="Arial"/>
      <w:b/>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7B69A3"/>
    <w:rPr>
      <w:rFonts w:ascii="Arial" w:hAnsi="Arial"/>
      <w:b/>
      <w:noProof/>
      <w:sz w:val="18"/>
      <w:lang w:val="en-GB" w:eastAsia="ja-JP"/>
    </w:rPr>
  </w:style>
  <w:style w:type="character" w:customStyle="1" w:styleId="FooterChar">
    <w:name w:val="Footer Char"/>
    <w:link w:val="Footer"/>
    <w:uiPriority w:val="99"/>
    <w:rsid w:val="007B69A3"/>
    <w:rPr>
      <w:rFonts w:ascii="Times New Roman" w:eastAsia="MS Gothic" w:hAnsi="Times New Roman"/>
      <w:sz w:val="24"/>
      <w:lang w:val="de-DE"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B27B5-3417-4B71-95DE-F72A346BB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2010-05-04T19:18:00Z</cp:lastPrinted>
  <dcterms:created xsi:type="dcterms:W3CDTF">2012-02-06T11:05:00Z</dcterms:created>
  <dcterms:modified xsi:type="dcterms:W3CDTF">2012-02-06T11:05:00Z</dcterms:modified>
</cp:coreProperties>
</file>