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rawings/drawing3.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99E" w:rsidRPr="00EE76A9" w:rsidRDefault="006F699E" w:rsidP="006F699E">
      <w:pPr>
        <w:pStyle w:val="Header"/>
        <w:tabs>
          <w:tab w:val="right" w:pos="9639"/>
        </w:tabs>
        <w:rPr>
          <w:bCs/>
          <w:i/>
          <w:noProof w:val="0"/>
          <w:sz w:val="32"/>
          <w:lang w:val="en-GB" w:eastAsia="ja-JP"/>
        </w:rPr>
      </w:pPr>
      <w:r w:rsidRPr="004A1A55">
        <w:rPr>
          <w:bCs/>
          <w:noProof w:val="0"/>
          <w:sz w:val="24"/>
          <w:szCs w:val="24"/>
          <w:lang w:val="en-GB"/>
        </w:rPr>
        <w:t>3GPP T</w:t>
      </w:r>
      <w:bookmarkStart w:id="0" w:name="_Ref452454252"/>
      <w:bookmarkEnd w:id="0"/>
      <w:r w:rsidRPr="004A1A55">
        <w:rPr>
          <w:bCs/>
          <w:noProof w:val="0"/>
          <w:sz w:val="24"/>
          <w:szCs w:val="24"/>
          <w:lang w:val="en-GB"/>
        </w:rPr>
        <w:t xml:space="preserve">SG-RAN </w:t>
      </w:r>
      <w:r w:rsidRPr="004A1A55">
        <w:rPr>
          <w:noProof w:val="0"/>
          <w:sz w:val="24"/>
          <w:szCs w:val="24"/>
          <w:lang w:val="en-GB"/>
        </w:rPr>
        <w:t>WG</w:t>
      </w:r>
      <w:r>
        <w:rPr>
          <w:noProof w:val="0"/>
          <w:sz w:val="24"/>
          <w:szCs w:val="24"/>
          <w:lang w:val="en-GB"/>
        </w:rPr>
        <w:t>4</w:t>
      </w:r>
      <w:r w:rsidRPr="004A1A55">
        <w:rPr>
          <w:noProof w:val="0"/>
          <w:sz w:val="24"/>
          <w:szCs w:val="24"/>
          <w:lang w:val="en-GB"/>
        </w:rPr>
        <w:t xml:space="preserve"> Meeting #</w:t>
      </w:r>
      <w:r>
        <w:rPr>
          <w:noProof w:val="0"/>
          <w:sz w:val="24"/>
          <w:szCs w:val="24"/>
          <w:lang w:val="en-GB"/>
        </w:rPr>
        <w:t>61</w:t>
      </w:r>
      <w:r w:rsidRPr="007B7496">
        <w:rPr>
          <w:bCs/>
          <w:noProof w:val="0"/>
          <w:sz w:val="24"/>
          <w:lang w:val="en-GB"/>
        </w:rPr>
        <w:tab/>
      </w:r>
      <w:r w:rsidRPr="002A7E6A">
        <w:rPr>
          <w:bCs/>
          <w:noProof w:val="0"/>
          <w:sz w:val="24"/>
          <w:lang w:val="en-GB" w:eastAsia="ja-JP"/>
        </w:rPr>
        <w:t>R4-11</w:t>
      </w:r>
      <w:r w:rsidR="00293F75" w:rsidRPr="002A7E6A">
        <w:rPr>
          <w:bCs/>
          <w:noProof w:val="0"/>
          <w:sz w:val="24"/>
          <w:lang w:val="en-GB" w:eastAsia="ja-JP"/>
        </w:rPr>
        <w:t>5788</w:t>
      </w:r>
    </w:p>
    <w:p w:rsidR="006F699E" w:rsidRPr="007B7496" w:rsidRDefault="006F699E" w:rsidP="006F699E">
      <w:pPr>
        <w:pStyle w:val="Header"/>
        <w:rPr>
          <w:bCs/>
          <w:noProof w:val="0"/>
          <w:sz w:val="24"/>
          <w:lang w:val="en-GB" w:eastAsia="ja-JP"/>
        </w:rPr>
      </w:pPr>
      <w:r>
        <w:rPr>
          <w:rFonts w:eastAsia="SimSun"/>
          <w:sz w:val="24"/>
          <w:lang w:eastAsia="zh-CN"/>
        </w:rPr>
        <w:t>San Francisco, California, USA,</w:t>
      </w:r>
      <w:r w:rsidRPr="005A565D">
        <w:rPr>
          <w:rFonts w:eastAsia="SimSun"/>
          <w:sz w:val="24"/>
          <w:lang w:eastAsia="zh-CN"/>
        </w:rPr>
        <w:t xml:space="preserve"> </w:t>
      </w:r>
      <w:r w:rsidR="00293F75">
        <w:rPr>
          <w:rFonts w:eastAsia="SimSun"/>
          <w:sz w:val="24"/>
          <w:lang w:eastAsia="zh-CN"/>
        </w:rPr>
        <w:t>14-18</w:t>
      </w:r>
      <w:r>
        <w:rPr>
          <w:rFonts w:eastAsia="SimSun"/>
          <w:sz w:val="24"/>
          <w:lang w:eastAsia="zh-CN"/>
        </w:rPr>
        <w:t xml:space="preserve"> November</w:t>
      </w:r>
      <w:r w:rsidRPr="005A565D">
        <w:rPr>
          <w:rFonts w:eastAsia="SimSun"/>
          <w:sz w:val="24"/>
          <w:lang w:eastAsia="zh-CN"/>
        </w:rPr>
        <w:t xml:space="preserve"> 2011</w:t>
      </w:r>
    </w:p>
    <w:p w:rsidR="006F699E" w:rsidRPr="007B7496" w:rsidRDefault="006F699E" w:rsidP="006F699E">
      <w:pPr>
        <w:pStyle w:val="Header"/>
        <w:rPr>
          <w:bCs/>
          <w:noProof w:val="0"/>
          <w:sz w:val="24"/>
          <w:lang w:val="en-GB" w:eastAsia="ja-JP"/>
        </w:rPr>
      </w:pPr>
    </w:p>
    <w:p w:rsidR="006F699E" w:rsidRPr="007B7496" w:rsidRDefault="006F699E" w:rsidP="006F699E">
      <w:pPr>
        <w:pStyle w:val="Header"/>
        <w:rPr>
          <w:bCs/>
          <w:noProof w:val="0"/>
          <w:sz w:val="24"/>
          <w:lang w:val="en-GB" w:eastAsia="ja-JP"/>
        </w:rPr>
      </w:pPr>
    </w:p>
    <w:p w:rsidR="006F699E" w:rsidRPr="00822807" w:rsidRDefault="006F699E" w:rsidP="006F699E">
      <w:pPr>
        <w:pStyle w:val="CRCoverPage"/>
        <w:rPr>
          <w:rFonts w:cs="Arial"/>
          <w:b/>
          <w:bCs/>
          <w:sz w:val="24"/>
          <w:lang w:eastAsia="ja-JP"/>
        </w:rPr>
      </w:pPr>
      <w:r>
        <w:rPr>
          <w:rFonts w:cs="Arial"/>
          <w:b/>
          <w:bCs/>
          <w:sz w:val="24"/>
        </w:rPr>
        <w:t>Agenda item:</w:t>
      </w:r>
      <w:r>
        <w:rPr>
          <w:rFonts w:cs="Arial"/>
          <w:b/>
          <w:bCs/>
          <w:sz w:val="24"/>
        </w:rPr>
        <w:tab/>
      </w:r>
      <w:r w:rsidR="00293F75">
        <w:rPr>
          <w:rFonts w:cs="Arial"/>
          <w:b/>
          <w:bCs/>
          <w:sz w:val="24"/>
        </w:rPr>
        <w:t xml:space="preserve"> 6.4.4</w:t>
      </w:r>
    </w:p>
    <w:p w:rsidR="006F699E" w:rsidRPr="00822807" w:rsidRDefault="006F699E" w:rsidP="006F699E">
      <w:pPr>
        <w:tabs>
          <w:tab w:val="left" w:pos="1985"/>
        </w:tabs>
        <w:ind w:left="1985" w:hanging="1985"/>
        <w:rPr>
          <w:rFonts w:ascii="Arial" w:hAnsi="Arial" w:cs="Arial"/>
          <w:b/>
          <w:bCs/>
        </w:rPr>
      </w:pPr>
      <w:r w:rsidRPr="00822807">
        <w:rPr>
          <w:rFonts w:ascii="Arial" w:hAnsi="Arial" w:cs="Arial"/>
          <w:b/>
          <w:bCs/>
        </w:rPr>
        <w:t>Source:</w:t>
      </w:r>
      <w:r w:rsidRPr="00822807">
        <w:rPr>
          <w:rFonts w:ascii="Arial" w:hAnsi="Arial" w:cs="Arial"/>
          <w:b/>
          <w:bCs/>
        </w:rPr>
        <w:tab/>
      </w:r>
      <w:r w:rsidR="00293F75">
        <w:rPr>
          <w:rFonts w:ascii="Arial" w:hAnsi="Arial" w:cs="Arial"/>
          <w:b/>
          <w:bCs/>
        </w:rPr>
        <w:tab/>
      </w:r>
      <w:r>
        <w:rPr>
          <w:rFonts w:ascii="Arial" w:hAnsi="Arial" w:cs="Arial"/>
          <w:b/>
          <w:bCs/>
        </w:rPr>
        <w:t>ST-Ericsson/Ericsson</w:t>
      </w:r>
    </w:p>
    <w:p w:rsidR="006F699E" w:rsidRPr="00DB604C" w:rsidRDefault="006F699E" w:rsidP="006F699E">
      <w:pPr>
        <w:ind w:left="1985" w:hanging="1985"/>
        <w:rPr>
          <w:rFonts w:ascii="Arial" w:hAnsi="Arial" w:cs="Arial"/>
          <w:b/>
          <w:bCs/>
        </w:rPr>
      </w:pPr>
      <w:r w:rsidRPr="00822807">
        <w:rPr>
          <w:rFonts w:ascii="Arial" w:hAnsi="Arial" w:cs="Arial"/>
          <w:b/>
          <w:bCs/>
        </w:rPr>
        <w:t>Title:</w:t>
      </w:r>
      <w:r w:rsidRPr="00822807">
        <w:rPr>
          <w:rFonts w:ascii="Arial" w:hAnsi="Arial" w:cs="Arial"/>
          <w:b/>
          <w:bCs/>
        </w:rPr>
        <w:tab/>
      </w:r>
      <w:r w:rsidR="00293F75">
        <w:rPr>
          <w:rFonts w:ascii="Arial" w:hAnsi="Arial" w:cs="Arial"/>
          <w:b/>
          <w:bCs/>
        </w:rPr>
        <w:tab/>
        <w:t xml:space="preserve">Way forward on </w:t>
      </w:r>
      <w:r w:rsidR="007B00CA">
        <w:rPr>
          <w:rFonts w:ascii="Arial" w:hAnsi="Arial" w:cs="Arial"/>
          <w:b/>
          <w:lang w:val="en-US"/>
        </w:rPr>
        <w:t>Rank Indication</w:t>
      </w:r>
    </w:p>
    <w:p w:rsidR="006F699E" w:rsidRPr="007B7496" w:rsidRDefault="006F699E" w:rsidP="006F699E">
      <w:pPr>
        <w:rPr>
          <w:rFonts w:ascii="Arial" w:hAnsi="Arial" w:cs="Arial"/>
          <w:b/>
          <w:bCs/>
        </w:rPr>
      </w:pPr>
      <w:r>
        <w:rPr>
          <w:rFonts w:ascii="Arial" w:hAnsi="Arial" w:cs="Arial"/>
          <w:b/>
          <w:bCs/>
        </w:rPr>
        <w:t xml:space="preserve">Document for:     </w:t>
      </w:r>
      <w:r w:rsidR="00293F75">
        <w:rPr>
          <w:rFonts w:ascii="Arial" w:hAnsi="Arial" w:cs="Arial"/>
          <w:b/>
          <w:bCs/>
        </w:rPr>
        <w:tab/>
        <w:t>Approval</w:t>
      </w:r>
    </w:p>
    <w:p w:rsidR="006F699E" w:rsidRPr="00B6233A" w:rsidRDefault="006F699E" w:rsidP="006F699E"/>
    <w:p w:rsidR="006F699E" w:rsidRDefault="006F699E" w:rsidP="006F699E">
      <w:pPr>
        <w:pStyle w:val="Heading1"/>
      </w:pPr>
      <w:r>
        <w:t>1</w:t>
      </w:r>
      <w:r>
        <w:tab/>
        <w:t>Introduction</w:t>
      </w:r>
    </w:p>
    <w:p w:rsidR="007B00CA" w:rsidRPr="00293F75" w:rsidRDefault="007B00CA" w:rsidP="007B00CA">
      <w:r w:rsidRPr="00293F75">
        <w:t>In the last meeting several companies provided the results for all the metrics.</w:t>
      </w:r>
    </w:p>
    <w:p w:rsidR="005B4E3F" w:rsidRPr="00293F75" w:rsidRDefault="005B4E3F" w:rsidP="007B00CA">
      <w:r w:rsidRPr="00293F75">
        <w:t>In particular the following metrics have been evaluated with MMSE baseline receiver and Advanced receiver:</w:t>
      </w:r>
    </w:p>
    <w:p w:rsidR="005B4E3F" w:rsidRPr="00293F75" w:rsidRDefault="005B4E3F" w:rsidP="005B4E3F">
      <w:pPr>
        <w:numPr>
          <w:ilvl w:val="0"/>
          <w:numId w:val="1"/>
        </w:numPr>
        <w:tabs>
          <w:tab w:val="left" w:pos="1080"/>
        </w:tabs>
        <w:spacing w:after="120"/>
        <w:ind w:left="1080"/>
        <w:rPr>
          <w:lang w:val="en-US" w:eastAsia="ja-JP"/>
        </w:rPr>
      </w:pPr>
      <w:r w:rsidRPr="00293F75">
        <w:rPr>
          <w:lang w:eastAsia="ja-JP"/>
        </w:rPr>
        <w:t>Metric 1: T</w:t>
      </w:r>
      <w:r w:rsidRPr="00293F75">
        <w:rPr>
          <w:vertAlign w:val="subscript"/>
          <w:lang w:eastAsia="ja-JP"/>
        </w:rPr>
        <w:t>RA</w:t>
      </w:r>
      <w:r w:rsidRPr="00293F75">
        <w:rPr>
          <w:lang w:eastAsia="ja-JP"/>
        </w:rPr>
        <w:t xml:space="preserve"> / T</w:t>
      </w:r>
      <w:r w:rsidRPr="00293F75">
        <w:rPr>
          <w:vertAlign w:val="subscript"/>
          <w:lang w:eastAsia="ja-JP"/>
        </w:rPr>
        <w:t>R1</w:t>
      </w:r>
      <w:r w:rsidRPr="00293F75">
        <w:rPr>
          <w:lang w:eastAsia="ja-JP"/>
        </w:rPr>
        <w:t xml:space="preserve"> ≥ </w:t>
      </w:r>
      <w:r w:rsidRPr="00293F75">
        <w:rPr>
          <w:lang w:eastAsia="ja-JP"/>
        </w:rPr>
        <w:sym w:font="Symbol" w:char="F067"/>
      </w:r>
      <w:r w:rsidRPr="00293F75">
        <w:rPr>
          <w:vertAlign w:val="subscript"/>
          <w:lang w:eastAsia="ja-JP"/>
        </w:rPr>
        <w:t>1</w:t>
      </w:r>
    </w:p>
    <w:p w:rsidR="005B4E3F" w:rsidRPr="00293F75" w:rsidRDefault="005B4E3F" w:rsidP="005B4E3F">
      <w:pPr>
        <w:numPr>
          <w:ilvl w:val="0"/>
          <w:numId w:val="1"/>
        </w:numPr>
        <w:tabs>
          <w:tab w:val="left" w:pos="1080"/>
        </w:tabs>
        <w:spacing w:after="120"/>
        <w:ind w:left="1080"/>
        <w:rPr>
          <w:lang w:eastAsia="ja-JP"/>
        </w:rPr>
      </w:pPr>
      <w:r w:rsidRPr="00293F75">
        <w:rPr>
          <w:lang w:eastAsia="ja-JP"/>
        </w:rPr>
        <w:t>Metric 2: T</w:t>
      </w:r>
      <w:r w:rsidRPr="00293F75">
        <w:rPr>
          <w:vertAlign w:val="subscript"/>
          <w:lang w:eastAsia="ja-JP"/>
        </w:rPr>
        <w:t>RA</w:t>
      </w:r>
      <w:r w:rsidRPr="00293F75">
        <w:rPr>
          <w:lang w:eastAsia="ja-JP"/>
        </w:rPr>
        <w:t xml:space="preserve"> / T</w:t>
      </w:r>
      <w:r w:rsidRPr="00293F75">
        <w:rPr>
          <w:vertAlign w:val="subscript"/>
          <w:lang w:eastAsia="ja-JP"/>
        </w:rPr>
        <w:t>R2</w:t>
      </w:r>
      <w:r w:rsidRPr="00293F75">
        <w:rPr>
          <w:lang w:eastAsia="ja-JP"/>
        </w:rPr>
        <w:t xml:space="preserve"> ≥ </w:t>
      </w:r>
      <w:r w:rsidRPr="00293F75">
        <w:rPr>
          <w:lang w:eastAsia="ja-JP"/>
        </w:rPr>
        <w:sym w:font="Symbol" w:char="F067"/>
      </w:r>
      <w:r w:rsidRPr="00293F75">
        <w:rPr>
          <w:vertAlign w:val="subscript"/>
          <w:lang w:eastAsia="ja-JP"/>
        </w:rPr>
        <w:t>2</w:t>
      </w:r>
    </w:p>
    <w:p w:rsidR="005B4E3F" w:rsidRPr="00293F75" w:rsidRDefault="005B4E3F" w:rsidP="005B4E3F">
      <w:pPr>
        <w:numPr>
          <w:ilvl w:val="0"/>
          <w:numId w:val="1"/>
        </w:numPr>
        <w:tabs>
          <w:tab w:val="left" w:pos="1080"/>
        </w:tabs>
        <w:spacing w:after="120"/>
        <w:ind w:left="1080"/>
        <w:rPr>
          <w:lang w:val="en-US" w:eastAsia="ja-JP"/>
        </w:rPr>
      </w:pPr>
      <w:r w:rsidRPr="00293F75">
        <w:rPr>
          <w:lang w:eastAsia="ja-JP"/>
        </w:rPr>
        <w:t>Metric 3: T</w:t>
      </w:r>
      <w:r w:rsidRPr="00293F75">
        <w:rPr>
          <w:vertAlign w:val="subscript"/>
          <w:lang w:eastAsia="ja-JP"/>
        </w:rPr>
        <w:t>RA</w:t>
      </w:r>
      <w:r w:rsidRPr="00293F75">
        <w:rPr>
          <w:lang w:eastAsia="ja-JP"/>
        </w:rPr>
        <w:t xml:space="preserve"> / min(T</w:t>
      </w:r>
      <w:r w:rsidRPr="00293F75">
        <w:rPr>
          <w:vertAlign w:val="subscript"/>
          <w:lang w:eastAsia="ja-JP"/>
        </w:rPr>
        <w:t>R1</w:t>
      </w:r>
      <w:r w:rsidRPr="00293F75">
        <w:rPr>
          <w:lang w:eastAsia="ja-JP"/>
        </w:rPr>
        <w:t>,T</w:t>
      </w:r>
      <w:r w:rsidRPr="00293F75">
        <w:rPr>
          <w:vertAlign w:val="subscript"/>
          <w:lang w:eastAsia="ja-JP"/>
        </w:rPr>
        <w:t>R2</w:t>
      </w:r>
      <w:r w:rsidRPr="00293F75">
        <w:rPr>
          <w:lang w:eastAsia="ja-JP"/>
        </w:rPr>
        <w:t xml:space="preserve">) ≥ </w:t>
      </w:r>
      <w:r w:rsidRPr="00293F75">
        <w:rPr>
          <w:lang w:eastAsia="ja-JP"/>
        </w:rPr>
        <w:sym w:font="Symbol" w:char="F067"/>
      </w:r>
      <w:r w:rsidRPr="00293F75">
        <w:rPr>
          <w:vertAlign w:val="subscript"/>
          <w:lang w:eastAsia="ja-JP"/>
        </w:rPr>
        <w:t>12</w:t>
      </w:r>
    </w:p>
    <w:p w:rsidR="005B4E3F" w:rsidRPr="00293F75" w:rsidRDefault="005B4E3F" w:rsidP="005B4E3F">
      <w:pPr>
        <w:numPr>
          <w:ilvl w:val="0"/>
          <w:numId w:val="1"/>
        </w:numPr>
        <w:tabs>
          <w:tab w:val="left" w:pos="1080"/>
        </w:tabs>
        <w:spacing w:after="120"/>
        <w:ind w:left="1080"/>
        <w:rPr>
          <w:sz w:val="18"/>
          <w:lang w:eastAsia="ja-JP"/>
        </w:rPr>
      </w:pPr>
      <w:r w:rsidRPr="00293F75">
        <w:rPr>
          <w:lang w:eastAsia="ja-JP"/>
        </w:rPr>
        <w:t>Metric 4: T</w:t>
      </w:r>
      <w:r w:rsidRPr="00293F75">
        <w:rPr>
          <w:vertAlign w:val="subscript"/>
          <w:lang w:eastAsia="ja-JP"/>
        </w:rPr>
        <w:t>RA</w:t>
      </w:r>
      <w:r w:rsidRPr="00293F75">
        <w:rPr>
          <w:lang w:eastAsia="ja-JP"/>
        </w:rPr>
        <w:t xml:space="preserve"> ≥ min(T</w:t>
      </w:r>
      <w:r w:rsidRPr="00293F75">
        <w:rPr>
          <w:vertAlign w:val="subscript"/>
          <w:lang w:eastAsia="ja-JP"/>
        </w:rPr>
        <w:t>R1</w:t>
      </w:r>
      <w:r w:rsidRPr="00293F75">
        <w:rPr>
          <w:lang w:eastAsia="ja-JP"/>
        </w:rPr>
        <w:t>,T</w:t>
      </w:r>
      <w:r w:rsidRPr="00293F75">
        <w:rPr>
          <w:vertAlign w:val="subscript"/>
          <w:lang w:eastAsia="ja-JP"/>
        </w:rPr>
        <w:t>R2</w:t>
      </w:r>
      <w:r w:rsidRPr="00293F75">
        <w:rPr>
          <w:lang w:eastAsia="ja-JP"/>
        </w:rPr>
        <w:t>) + β|T</w:t>
      </w:r>
      <w:r w:rsidRPr="00293F75">
        <w:rPr>
          <w:vertAlign w:val="subscript"/>
          <w:lang w:eastAsia="ja-JP"/>
        </w:rPr>
        <w:t>R2</w:t>
      </w:r>
      <w:r w:rsidRPr="00293F75">
        <w:rPr>
          <w:lang w:eastAsia="ja-JP"/>
        </w:rPr>
        <w:t xml:space="preserve"> - T</w:t>
      </w:r>
      <w:r w:rsidRPr="00293F75">
        <w:rPr>
          <w:vertAlign w:val="subscript"/>
          <w:lang w:eastAsia="ja-JP"/>
        </w:rPr>
        <w:t>R1</w:t>
      </w:r>
      <w:r w:rsidRPr="00293F75">
        <w:rPr>
          <w:lang w:eastAsia="ja-JP"/>
        </w:rPr>
        <w:t>|</w:t>
      </w:r>
    </w:p>
    <w:p w:rsidR="005B4E3F" w:rsidRPr="00293F75" w:rsidRDefault="005B4E3F" w:rsidP="005B4E3F">
      <w:pPr>
        <w:numPr>
          <w:ilvl w:val="0"/>
          <w:numId w:val="1"/>
        </w:numPr>
        <w:tabs>
          <w:tab w:val="left" w:pos="1080"/>
        </w:tabs>
        <w:spacing w:after="240"/>
        <w:ind w:left="1080"/>
        <w:rPr>
          <w:lang w:eastAsia="ja-JP"/>
        </w:rPr>
      </w:pPr>
      <w:r w:rsidRPr="00293F75">
        <w:rPr>
          <w:lang w:eastAsia="ja-JP"/>
        </w:rPr>
        <w:t>Metric 5: # reported R2 / # reported R1 ≥ 1</w:t>
      </w:r>
    </w:p>
    <w:p w:rsidR="005B4E3F" w:rsidRPr="00293F75" w:rsidRDefault="00293F75" w:rsidP="007B00CA">
      <w:r>
        <w:t>The discussion on the possible new metric came from the fact that certain metrics penalize the advanced receiver compared to an MMSE baseline receiver.</w:t>
      </w:r>
      <w:r w:rsidRPr="00293F75">
        <w:t xml:space="preserve"> </w:t>
      </w:r>
      <w:r w:rsidR="005B4E3F" w:rsidRPr="00293F75">
        <w:t xml:space="preserve">In particular most of the companies showed that the test for which there is a high penalization of the advanced receiver </w:t>
      </w:r>
      <w:proofErr w:type="spellStart"/>
      <w:r w:rsidR="005B4E3F" w:rsidRPr="00293F75">
        <w:t>w.r.t</w:t>
      </w:r>
      <w:proofErr w:type="spellEnd"/>
      <w:r w:rsidR="005B4E3F" w:rsidRPr="00293F75">
        <w:t>. the MMSE receiver is at high SNR and high correlation.</w:t>
      </w:r>
    </w:p>
    <w:p w:rsidR="005B4E3F" w:rsidRPr="00293F75" w:rsidRDefault="00FE54B0" w:rsidP="007B00CA">
      <w:r w:rsidRPr="00293F75">
        <w:t>In the current specification three tests are defined</w:t>
      </w:r>
    </w:p>
    <w:p w:rsidR="00FE54B0" w:rsidRPr="00293F75" w:rsidRDefault="00FE54B0" w:rsidP="007B00CA"/>
    <w:p w:rsidR="00FE54B0" w:rsidRPr="00293F75" w:rsidRDefault="00FE54B0" w:rsidP="007B00CA">
      <w:r w:rsidRPr="00293F75">
        <w:t>Test 1: Low correlation-Low SNR</w:t>
      </w:r>
      <w:r w:rsidR="00293F75">
        <w:t xml:space="preserve">: the current metric is </w:t>
      </w:r>
      <w:r w:rsidR="00293F75" w:rsidRPr="00293F75">
        <w:rPr>
          <w:lang w:eastAsia="ja-JP"/>
        </w:rPr>
        <w:t>T</w:t>
      </w:r>
      <w:r w:rsidR="00293F75" w:rsidRPr="00293F75">
        <w:rPr>
          <w:vertAlign w:val="subscript"/>
          <w:lang w:eastAsia="ja-JP"/>
        </w:rPr>
        <w:t>RA</w:t>
      </w:r>
      <w:r w:rsidR="00293F75" w:rsidRPr="00293F75">
        <w:rPr>
          <w:lang w:eastAsia="ja-JP"/>
        </w:rPr>
        <w:t xml:space="preserve"> / T</w:t>
      </w:r>
      <w:r w:rsidR="00293F75" w:rsidRPr="00293F75">
        <w:rPr>
          <w:vertAlign w:val="subscript"/>
          <w:lang w:eastAsia="ja-JP"/>
        </w:rPr>
        <w:t>R2</w:t>
      </w:r>
      <w:r w:rsidR="00293F75" w:rsidRPr="00293F75">
        <w:rPr>
          <w:lang w:eastAsia="ja-JP"/>
        </w:rPr>
        <w:t xml:space="preserve"> ≥ </w:t>
      </w:r>
      <w:r w:rsidR="00293F75" w:rsidRPr="00293F75">
        <w:rPr>
          <w:lang w:eastAsia="ja-JP"/>
        </w:rPr>
        <w:sym w:font="Symbol" w:char="F067"/>
      </w:r>
      <w:r w:rsidR="00293F75" w:rsidRPr="00293F75">
        <w:rPr>
          <w:vertAlign w:val="subscript"/>
          <w:lang w:eastAsia="ja-JP"/>
        </w:rPr>
        <w:t>2</w:t>
      </w:r>
    </w:p>
    <w:p w:rsidR="00FE54B0" w:rsidRPr="00293F75" w:rsidRDefault="00FE54B0" w:rsidP="007B00CA">
      <w:r w:rsidRPr="00293F75">
        <w:t>Test 2: Low correlation-High SNR</w:t>
      </w:r>
      <w:r w:rsidR="00293F75">
        <w:t xml:space="preserve">: the current metric is </w:t>
      </w:r>
      <w:r w:rsidR="00293F75" w:rsidRPr="00293F75">
        <w:rPr>
          <w:lang w:eastAsia="ja-JP"/>
        </w:rPr>
        <w:t>T</w:t>
      </w:r>
      <w:r w:rsidR="00293F75" w:rsidRPr="00293F75">
        <w:rPr>
          <w:vertAlign w:val="subscript"/>
          <w:lang w:eastAsia="ja-JP"/>
        </w:rPr>
        <w:t>RA</w:t>
      </w:r>
      <w:r w:rsidR="00293F75" w:rsidRPr="00293F75">
        <w:rPr>
          <w:lang w:eastAsia="ja-JP"/>
        </w:rPr>
        <w:t xml:space="preserve"> / T</w:t>
      </w:r>
      <w:r w:rsidR="00293F75" w:rsidRPr="00293F75">
        <w:rPr>
          <w:vertAlign w:val="subscript"/>
          <w:lang w:eastAsia="ja-JP"/>
        </w:rPr>
        <w:t>R1</w:t>
      </w:r>
      <w:r w:rsidR="00293F75" w:rsidRPr="00293F75">
        <w:rPr>
          <w:lang w:eastAsia="ja-JP"/>
        </w:rPr>
        <w:t xml:space="preserve"> ≥ </w:t>
      </w:r>
      <w:r w:rsidR="00293F75" w:rsidRPr="00293F75">
        <w:rPr>
          <w:lang w:eastAsia="ja-JP"/>
        </w:rPr>
        <w:sym w:font="Symbol" w:char="F067"/>
      </w:r>
      <w:r w:rsidR="00293F75" w:rsidRPr="00293F75">
        <w:rPr>
          <w:vertAlign w:val="subscript"/>
          <w:lang w:eastAsia="ja-JP"/>
        </w:rPr>
        <w:t>1</w:t>
      </w:r>
    </w:p>
    <w:p w:rsidR="00FE54B0" w:rsidRPr="00293F75" w:rsidRDefault="00FE54B0" w:rsidP="007B00CA">
      <w:r w:rsidRPr="00293F75">
        <w:t>Test 3: High correlation-High SNR</w:t>
      </w:r>
      <w:r w:rsidR="00293F75">
        <w:t xml:space="preserve">: the current metric is </w:t>
      </w:r>
      <w:r w:rsidR="00293F75" w:rsidRPr="00293F75">
        <w:rPr>
          <w:lang w:eastAsia="ja-JP"/>
        </w:rPr>
        <w:t>T</w:t>
      </w:r>
      <w:r w:rsidR="00293F75" w:rsidRPr="00293F75">
        <w:rPr>
          <w:vertAlign w:val="subscript"/>
          <w:lang w:eastAsia="ja-JP"/>
        </w:rPr>
        <w:t>RA</w:t>
      </w:r>
      <w:r w:rsidR="00293F75" w:rsidRPr="00293F75">
        <w:rPr>
          <w:lang w:eastAsia="ja-JP"/>
        </w:rPr>
        <w:t xml:space="preserve"> / T</w:t>
      </w:r>
      <w:r w:rsidR="00293F75" w:rsidRPr="00293F75">
        <w:rPr>
          <w:vertAlign w:val="subscript"/>
          <w:lang w:eastAsia="ja-JP"/>
        </w:rPr>
        <w:t>R2</w:t>
      </w:r>
      <w:r w:rsidR="00293F75" w:rsidRPr="00293F75">
        <w:rPr>
          <w:lang w:eastAsia="ja-JP"/>
        </w:rPr>
        <w:t xml:space="preserve"> ≥ </w:t>
      </w:r>
      <w:r w:rsidR="00293F75" w:rsidRPr="00293F75">
        <w:rPr>
          <w:lang w:eastAsia="ja-JP"/>
        </w:rPr>
        <w:sym w:font="Symbol" w:char="F067"/>
      </w:r>
      <w:r w:rsidR="00293F75" w:rsidRPr="00293F75">
        <w:rPr>
          <w:vertAlign w:val="subscript"/>
          <w:lang w:eastAsia="ja-JP"/>
        </w:rPr>
        <w:t>2</w:t>
      </w:r>
    </w:p>
    <w:p w:rsidR="00FE54B0" w:rsidRDefault="00FE54B0" w:rsidP="007B00CA"/>
    <w:p w:rsidR="005B4E3F" w:rsidRDefault="00FE54B0" w:rsidP="007B00CA">
      <w:r>
        <w:t>An informal vote took place and it seems that most of the companies believe that for Test 2 no changes are needed. Test 1 and Test 3 may need additional discussions</w:t>
      </w:r>
      <w:r w:rsidR="004C6AD2">
        <w:t xml:space="preserve"> [1]</w:t>
      </w:r>
      <w:r>
        <w:t>.</w:t>
      </w:r>
    </w:p>
    <w:p w:rsidR="00A0712E" w:rsidRDefault="00A0712E" w:rsidP="007B00CA"/>
    <w:p w:rsidR="001E1000" w:rsidRDefault="001E1000" w:rsidP="007B00CA">
      <w:r>
        <w:t>This contribution discusses Test 1 and Test 3 and provides a way forward.</w:t>
      </w:r>
    </w:p>
    <w:p w:rsidR="001E1000" w:rsidRDefault="001E1000" w:rsidP="007B00CA"/>
    <w:p w:rsidR="00C15BC7" w:rsidRDefault="001E1000" w:rsidP="00C15BC7">
      <w:pPr>
        <w:pStyle w:val="Heading1"/>
      </w:pPr>
      <w:r>
        <w:t>2</w:t>
      </w:r>
      <w:r>
        <w:tab/>
        <w:t>Discussion</w:t>
      </w:r>
    </w:p>
    <w:p w:rsidR="001E1000" w:rsidRDefault="00C15BC7" w:rsidP="00C15BC7">
      <w:pPr>
        <w:pStyle w:val="Heading1"/>
      </w:pPr>
      <w:r>
        <w:t>2.1</w:t>
      </w:r>
      <w:r>
        <w:tab/>
        <w:t xml:space="preserve">    Test 1</w:t>
      </w:r>
    </w:p>
    <w:p w:rsidR="005B4E3F" w:rsidRDefault="00A0712E" w:rsidP="007B00CA">
      <w:r>
        <w:t>For Test 1, it seems t</w:t>
      </w:r>
      <w:r w:rsidR="00293F75">
        <w:t>hat most of the companies think</w:t>
      </w:r>
      <w:r>
        <w:t xml:space="preserve"> that test metric 1 or 2 could be used</w:t>
      </w:r>
      <w:r w:rsidR="001E1000">
        <w:t>. Note that metric 2 is the metric which is used currently in the specification.</w:t>
      </w:r>
      <w:r>
        <w:t xml:space="preserve"> </w:t>
      </w:r>
    </w:p>
    <w:p w:rsidR="005B4E3F" w:rsidRDefault="005B4E3F" w:rsidP="007B00CA"/>
    <w:p w:rsidR="001E1000" w:rsidRDefault="00257513" w:rsidP="007B00CA">
      <w:r>
        <w:t>Figure 1 and 2 shows the difference between baseline receiver and advanced receiver for metric 1 and 2 respectively.</w:t>
      </w:r>
    </w:p>
    <w:p w:rsidR="00257513" w:rsidRDefault="00257513" w:rsidP="007B00CA"/>
    <w:p w:rsidR="00257513" w:rsidRDefault="00257513" w:rsidP="00257513"/>
    <w:p w:rsidR="00257513" w:rsidRDefault="00257513" w:rsidP="00257513">
      <w:r w:rsidRPr="00257513">
        <w:rPr>
          <w:noProof/>
          <w:lang w:val="en-US"/>
        </w:rPr>
        <w:drawing>
          <wp:inline distT="0" distB="0" distL="0" distR="0">
            <wp:extent cx="5732145" cy="2071778"/>
            <wp:effectExtent l="19050" t="0" r="20955" b="4672"/>
            <wp:docPr id="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257513" w:rsidRDefault="00257513" w:rsidP="00257513"/>
    <w:p w:rsidR="00257513" w:rsidRDefault="00257513" w:rsidP="00257513">
      <w:proofErr w:type="gramStart"/>
      <w:r>
        <w:t>Figure 1.</w:t>
      </w:r>
      <w:proofErr w:type="gramEnd"/>
      <w:r>
        <w:t xml:space="preserve"> Baseline and advanced receiver, metric 1, low correlation</w:t>
      </w:r>
      <w:r w:rsidR="00C15BC7">
        <w:t>, SNR=0dB</w:t>
      </w:r>
    </w:p>
    <w:p w:rsidR="00257513" w:rsidRDefault="00257513" w:rsidP="007B00CA"/>
    <w:p w:rsidR="001E1000" w:rsidRDefault="001E1000" w:rsidP="007B00CA"/>
    <w:p w:rsidR="00A0712E" w:rsidRDefault="00D8717E" w:rsidP="007B00CA">
      <w:r w:rsidRPr="00D8717E">
        <w:rPr>
          <w:noProof/>
          <w:lang w:val="en-US"/>
        </w:rPr>
        <w:drawing>
          <wp:inline distT="0" distB="0" distL="0" distR="0">
            <wp:extent cx="5732145" cy="2743200"/>
            <wp:effectExtent l="19050" t="0" r="2095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57513" w:rsidRDefault="00257513" w:rsidP="007B00CA"/>
    <w:p w:rsidR="00A0712E" w:rsidRDefault="00257513" w:rsidP="007B00CA">
      <w:proofErr w:type="gramStart"/>
      <w:r>
        <w:t>Figure 2</w:t>
      </w:r>
      <w:r w:rsidR="001E1000">
        <w:t>.</w:t>
      </w:r>
      <w:proofErr w:type="gramEnd"/>
      <w:r w:rsidR="001E1000">
        <w:t xml:space="preserve"> Baseline </w:t>
      </w:r>
      <w:r>
        <w:t xml:space="preserve">and advanced </w:t>
      </w:r>
      <w:r w:rsidR="001E1000">
        <w:t>receiver,</w:t>
      </w:r>
      <w:r>
        <w:t xml:space="preserve"> metric 2, </w:t>
      </w:r>
      <w:r w:rsidR="001E1000">
        <w:t>low correlation</w:t>
      </w:r>
      <w:r w:rsidR="00C15BC7">
        <w:t>, SNR=0dB</w:t>
      </w:r>
    </w:p>
    <w:p w:rsidR="001E1000" w:rsidRDefault="001E1000" w:rsidP="007B00CA"/>
    <w:p w:rsidR="00257513" w:rsidRDefault="00257513" w:rsidP="007B00CA">
      <w:r>
        <w:t>From the plot it can be seen that metric 1 is more stable metric (less changes between baseline receiver and advanced receiver), and it can be preferable.</w:t>
      </w:r>
    </w:p>
    <w:p w:rsidR="001E1000" w:rsidRDefault="00257513" w:rsidP="007B00CA">
      <w:r>
        <w:t>However it seems that the new requirement will need to be</w:t>
      </w:r>
    </w:p>
    <w:p w:rsidR="00257513" w:rsidRDefault="00257513" w:rsidP="007B00CA"/>
    <w:p w:rsidR="00257513" w:rsidRPr="00257513" w:rsidRDefault="00257513" w:rsidP="00C15BC7">
      <w:pPr>
        <w:tabs>
          <w:tab w:val="left" w:pos="1080"/>
        </w:tabs>
        <w:spacing w:after="120"/>
        <w:jc w:val="center"/>
        <w:rPr>
          <w:rFonts w:ascii="Arial" w:hAnsi="Arial" w:cs="Arial"/>
          <w:b/>
          <w:lang w:val="en-US" w:eastAsia="ja-JP"/>
        </w:rPr>
      </w:pPr>
      <w:r w:rsidRPr="00257513">
        <w:rPr>
          <w:rFonts w:ascii="Arial" w:hAnsi="Arial" w:cs="Arial"/>
          <w:b/>
          <w:lang w:eastAsia="ja-JP"/>
        </w:rPr>
        <w:t>T</w:t>
      </w:r>
      <w:r w:rsidRPr="00257513">
        <w:rPr>
          <w:rFonts w:ascii="Arial" w:hAnsi="Arial" w:cs="Arial"/>
          <w:b/>
          <w:vertAlign w:val="subscript"/>
          <w:lang w:eastAsia="ja-JP"/>
        </w:rPr>
        <w:t>RA</w:t>
      </w:r>
      <w:r w:rsidRPr="00257513">
        <w:rPr>
          <w:rFonts w:ascii="Arial" w:hAnsi="Arial" w:cs="Arial"/>
          <w:b/>
          <w:lang w:eastAsia="ja-JP"/>
        </w:rPr>
        <w:t xml:space="preserve"> / T</w:t>
      </w:r>
      <w:r w:rsidRPr="00257513">
        <w:rPr>
          <w:rFonts w:ascii="Arial" w:hAnsi="Arial" w:cs="Arial"/>
          <w:b/>
          <w:vertAlign w:val="subscript"/>
          <w:lang w:eastAsia="ja-JP"/>
        </w:rPr>
        <w:t>R1</w:t>
      </w:r>
      <w:r w:rsidRPr="00257513">
        <w:rPr>
          <w:rFonts w:ascii="Arial" w:hAnsi="Arial" w:cs="Arial"/>
          <w:b/>
          <w:lang w:eastAsia="ja-JP"/>
        </w:rPr>
        <w:t xml:space="preserve"> ≥ </w:t>
      </w:r>
      <w:r w:rsidRPr="00257513">
        <w:rPr>
          <w:rFonts w:ascii="Arial" w:hAnsi="Arial" w:cs="Arial"/>
          <w:b/>
          <w:lang w:eastAsia="ja-JP"/>
        </w:rPr>
        <w:sym w:font="Symbol" w:char="F067"/>
      </w:r>
      <w:r w:rsidRPr="00257513">
        <w:rPr>
          <w:rFonts w:ascii="Arial" w:hAnsi="Arial" w:cs="Arial"/>
          <w:b/>
          <w:vertAlign w:val="subscript"/>
          <w:lang w:eastAsia="ja-JP"/>
        </w:rPr>
        <w:t>1</w:t>
      </w:r>
      <w:r w:rsidRPr="00257513">
        <w:rPr>
          <w:rFonts w:ascii="Arial" w:hAnsi="Arial" w:cs="Arial"/>
          <w:b/>
          <w:lang w:eastAsia="ja-JP"/>
        </w:rPr>
        <w:t>&lt;1</w:t>
      </w:r>
    </w:p>
    <w:p w:rsidR="00257513" w:rsidRPr="00257513" w:rsidRDefault="00257513" w:rsidP="007B00CA">
      <w:pPr>
        <w:rPr>
          <w:lang w:val="en-US"/>
        </w:rPr>
      </w:pPr>
    </w:p>
    <w:p w:rsidR="001E1000" w:rsidRDefault="00257513" w:rsidP="007B00CA">
      <w:proofErr w:type="gramStart"/>
      <w:r>
        <w:t>Hence ,</w:t>
      </w:r>
      <w:proofErr w:type="gramEnd"/>
      <w:r>
        <w:t xml:space="preserve"> an additional test should be used to make sure that the throughput obtained with follow RI is not lower than the minimum achieved throughput with fixed R1 or R2 (this was proposed already in the last meeting by some companies).</w:t>
      </w:r>
      <w:r w:rsidR="007D102F">
        <w:t xml:space="preserve"> This corresponds to an additional test on metric 3 (this is shown in Figure 3).</w:t>
      </w:r>
      <w:r>
        <w:t xml:space="preserve"> Hence,</w:t>
      </w:r>
      <w:r w:rsidR="00C15BC7">
        <w:t xml:space="preserve"> the total metric would be</w:t>
      </w:r>
    </w:p>
    <w:p w:rsidR="00C15BC7" w:rsidRDefault="00C15BC7" w:rsidP="007B00CA"/>
    <w:p w:rsidR="00C15BC7" w:rsidRPr="00C15BC7" w:rsidRDefault="00C15BC7" w:rsidP="00C15BC7">
      <w:pPr>
        <w:tabs>
          <w:tab w:val="left" w:pos="1080"/>
        </w:tabs>
        <w:spacing w:after="120"/>
        <w:jc w:val="center"/>
        <w:rPr>
          <w:rFonts w:ascii="Arial" w:hAnsi="Arial" w:cs="Arial"/>
          <w:b/>
          <w:lang w:val="en-US" w:eastAsia="ja-JP"/>
        </w:rPr>
      </w:pPr>
      <w:r w:rsidRPr="00257513">
        <w:rPr>
          <w:rFonts w:ascii="Arial" w:hAnsi="Arial" w:cs="Arial"/>
          <w:b/>
          <w:lang w:eastAsia="ja-JP"/>
        </w:rPr>
        <w:t>T</w:t>
      </w:r>
      <w:r w:rsidRPr="00257513">
        <w:rPr>
          <w:rFonts w:ascii="Arial" w:hAnsi="Arial" w:cs="Arial"/>
          <w:b/>
          <w:vertAlign w:val="subscript"/>
          <w:lang w:eastAsia="ja-JP"/>
        </w:rPr>
        <w:t>RA</w:t>
      </w:r>
      <w:r w:rsidRPr="00257513">
        <w:rPr>
          <w:rFonts w:ascii="Arial" w:hAnsi="Arial" w:cs="Arial"/>
          <w:b/>
          <w:lang w:eastAsia="ja-JP"/>
        </w:rPr>
        <w:t xml:space="preserve"> / T</w:t>
      </w:r>
      <w:r w:rsidRPr="00257513">
        <w:rPr>
          <w:rFonts w:ascii="Arial" w:hAnsi="Arial" w:cs="Arial"/>
          <w:b/>
          <w:vertAlign w:val="subscript"/>
          <w:lang w:eastAsia="ja-JP"/>
        </w:rPr>
        <w:t>R1</w:t>
      </w:r>
      <w:r w:rsidRPr="00257513">
        <w:rPr>
          <w:rFonts w:ascii="Arial" w:hAnsi="Arial" w:cs="Arial"/>
          <w:b/>
          <w:lang w:eastAsia="ja-JP"/>
        </w:rPr>
        <w:t xml:space="preserve"> ≥ </w:t>
      </w:r>
      <w:r w:rsidRPr="00257513">
        <w:rPr>
          <w:rFonts w:ascii="Arial" w:hAnsi="Arial" w:cs="Arial"/>
          <w:b/>
          <w:lang w:eastAsia="ja-JP"/>
        </w:rPr>
        <w:sym w:font="Symbol" w:char="F067"/>
      </w:r>
      <w:r w:rsidRPr="00257513">
        <w:rPr>
          <w:rFonts w:ascii="Arial" w:hAnsi="Arial" w:cs="Arial"/>
          <w:b/>
          <w:vertAlign w:val="subscript"/>
          <w:lang w:eastAsia="ja-JP"/>
        </w:rPr>
        <w:t>1</w:t>
      </w:r>
      <w:r w:rsidRPr="00257513">
        <w:rPr>
          <w:rFonts w:ascii="Arial" w:hAnsi="Arial" w:cs="Arial"/>
          <w:b/>
          <w:lang w:eastAsia="ja-JP"/>
        </w:rPr>
        <w:t>&lt;1</w:t>
      </w:r>
      <w:r>
        <w:rPr>
          <w:rFonts w:ascii="Arial" w:hAnsi="Arial" w:cs="Arial"/>
          <w:b/>
          <w:lang w:val="en-US" w:eastAsia="ja-JP"/>
        </w:rPr>
        <w:t xml:space="preserve">    </w:t>
      </w:r>
      <w:proofErr w:type="gramStart"/>
      <w:r>
        <w:rPr>
          <w:rFonts w:ascii="Arial" w:hAnsi="Arial" w:cs="Arial"/>
          <w:b/>
          <w:lang w:val="en-US" w:eastAsia="ja-JP"/>
        </w:rPr>
        <w:t xml:space="preserve">AND  </w:t>
      </w:r>
      <w:r w:rsidRPr="00C15BC7">
        <w:rPr>
          <w:rFonts w:ascii="Arial" w:hAnsi="Arial" w:cs="Arial"/>
          <w:b/>
          <w:lang w:eastAsia="ja-JP"/>
        </w:rPr>
        <w:t>T</w:t>
      </w:r>
      <w:r w:rsidRPr="00C15BC7">
        <w:rPr>
          <w:rFonts w:ascii="Arial" w:hAnsi="Arial" w:cs="Arial"/>
          <w:b/>
          <w:vertAlign w:val="subscript"/>
          <w:lang w:eastAsia="ja-JP"/>
        </w:rPr>
        <w:t>RA</w:t>
      </w:r>
      <w:proofErr w:type="gramEnd"/>
      <w:r w:rsidRPr="00C15BC7">
        <w:rPr>
          <w:rFonts w:ascii="Arial" w:hAnsi="Arial" w:cs="Arial"/>
          <w:b/>
          <w:lang w:eastAsia="ja-JP"/>
        </w:rPr>
        <w:t xml:space="preserve"> / min(T</w:t>
      </w:r>
      <w:r w:rsidRPr="00C15BC7">
        <w:rPr>
          <w:rFonts w:ascii="Arial" w:hAnsi="Arial" w:cs="Arial"/>
          <w:b/>
          <w:vertAlign w:val="subscript"/>
          <w:lang w:eastAsia="ja-JP"/>
        </w:rPr>
        <w:t>R1</w:t>
      </w:r>
      <w:r w:rsidRPr="00C15BC7">
        <w:rPr>
          <w:rFonts w:ascii="Arial" w:hAnsi="Arial" w:cs="Arial"/>
          <w:b/>
          <w:lang w:eastAsia="ja-JP"/>
        </w:rPr>
        <w:t>,T</w:t>
      </w:r>
      <w:r w:rsidRPr="00C15BC7">
        <w:rPr>
          <w:rFonts w:ascii="Arial" w:hAnsi="Arial" w:cs="Arial"/>
          <w:b/>
          <w:vertAlign w:val="subscript"/>
          <w:lang w:eastAsia="ja-JP"/>
        </w:rPr>
        <w:t>R2</w:t>
      </w:r>
      <w:r w:rsidRPr="00C15BC7">
        <w:rPr>
          <w:rFonts w:ascii="Arial" w:hAnsi="Arial" w:cs="Arial"/>
          <w:b/>
          <w:lang w:eastAsia="ja-JP"/>
        </w:rPr>
        <w:t>) ≥ 1</w:t>
      </w:r>
    </w:p>
    <w:p w:rsidR="00C15BC7" w:rsidRDefault="00C15BC7" w:rsidP="007B00CA"/>
    <w:p w:rsidR="00C15BC7" w:rsidRDefault="00C15BC7" w:rsidP="007B00CA"/>
    <w:p w:rsidR="00C15BC7" w:rsidRDefault="00C15BC7" w:rsidP="007B00CA">
      <w:r w:rsidRPr="00C15BC7">
        <w:rPr>
          <w:noProof/>
          <w:lang w:val="en-US"/>
        </w:rPr>
        <w:lastRenderedPageBreak/>
        <w:drawing>
          <wp:inline distT="0" distB="0" distL="0" distR="0">
            <wp:extent cx="5732145" cy="2830553"/>
            <wp:effectExtent l="19050" t="0" r="20955" b="7897"/>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15BC7" w:rsidRDefault="00C15BC7" w:rsidP="007B00CA">
      <w:proofErr w:type="gramStart"/>
      <w:r>
        <w:t>Figure 3.</w:t>
      </w:r>
      <w:proofErr w:type="gramEnd"/>
      <w:r>
        <w:t xml:space="preserve"> Baseline and advanced receiver, metric 3 for low correlation at SNR=0dB</w:t>
      </w:r>
    </w:p>
    <w:p w:rsidR="00257513" w:rsidRDefault="00257513" w:rsidP="007B00CA"/>
    <w:p w:rsidR="00A0712E" w:rsidRDefault="00A0712E" w:rsidP="007B00CA"/>
    <w:p w:rsidR="00C15BC7" w:rsidRDefault="00C15BC7" w:rsidP="007B00CA">
      <w:r>
        <w:t>Alternatively metric 2 as in legacy case is also acceptable.</w:t>
      </w:r>
    </w:p>
    <w:p w:rsidR="00C15BC7" w:rsidRDefault="00C15BC7" w:rsidP="007B00CA"/>
    <w:p w:rsidR="00C15BC7" w:rsidRDefault="00C15BC7" w:rsidP="007B00CA"/>
    <w:p w:rsidR="00C15BC7" w:rsidRDefault="00C15BC7" w:rsidP="00C15BC7">
      <w:pPr>
        <w:pStyle w:val="Heading1"/>
        <w:ind w:left="0" w:firstLine="0"/>
      </w:pPr>
      <w:r>
        <w:t>2</w:t>
      </w:r>
      <w:r w:rsidR="007D102F">
        <w:t>.2</w:t>
      </w:r>
      <w:r>
        <w:tab/>
        <w:t xml:space="preserve">    Test 3</w:t>
      </w:r>
    </w:p>
    <w:p w:rsidR="00C15BC7" w:rsidRDefault="00C15BC7" w:rsidP="007B00CA">
      <w:r>
        <w:t xml:space="preserve">For test 3 most of the </w:t>
      </w:r>
      <w:proofErr w:type="spellStart"/>
      <w:r>
        <w:t>companies</w:t>
      </w:r>
      <w:proofErr w:type="spellEnd"/>
      <w:r>
        <w:t xml:space="preserve"> preferred metric 1. </w:t>
      </w:r>
      <w:r w:rsidR="007D102F">
        <w:t>Also in this case the same arguments mentioned in Section 2.1 about t</w:t>
      </w:r>
      <w:r w:rsidR="00611E29">
        <w:t xml:space="preserve">he additional test of metric 3 </w:t>
      </w:r>
      <w:r w:rsidR="007D102F">
        <w:t>are applicable</w:t>
      </w:r>
    </w:p>
    <w:p w:rsidR="00C15BC7" w:rsidRDefault="00C15BC7" w:rsidP="007B00CA"/>
    <w:p w:rsidR="007D102F" w:rsidRDefault="007D102F" w:rsidP="007D102F">
      <w:r>
        <w:t>Figure 4 and 5 show the difference between baseline receiver and advanced receiver for metric 1 and 3 respectively. Also in this case the total metric would be</w:t>
      </w:r>
    </w:p>
    <w:p w:rsidR="007D102F" w:rsidRDefault="007D102F" w:rsidP="007D102F"/>
    <w:p w:rsidR="007D102F" w:rsidRPr="00C15BC7" w:rsidRDefault="007D102F" w:rsidP="007D102F">
      <w:pPr>
        <w:tabs>
          <w:tab w:val="left" w:pos="1080"/>
        </w:tabs>
        <w:spacing w:after="120"/>
        <w:jc w:val="center"/>
        <w:rPr>
          <w:rFonts w:ascii="Arial" w:hAnsi="Arial" w:cs="Arial"/>
          <w:b/>
          <w:lang w:val="en-US" w:eastAsia="ja-JP"/>
        </w:rPr>
      </w:pPr>
      <w:r w:rsidRPr="00257513">
        <w:rPr>
          <w:rFonts w:ascii="Arial" w:hAnsi="Arial" w:cs="Arial"/>
          <w:b/>
          <w:lang w:eastAsia="ja-JP"/>
        </w:rPr>
        <w:t>T</w:t>
      </w:r>
      <w:r w:rsidRPr="00257513">
        <w:rPr>
          <w:rFonts w:ascii="Arial" w:hAnsi="Arial" w:cs="Arial"/>
          <w:b/>
          <w:vertAlign w:val="subscript"/>
          <w:lang w:eastAsia="ja-JP"/>
        </w:rPr>
        <w:t>RA</w:t>
      </w:r>
      <w:r w:rsidRPr="00257513">
        <w:rPr>
          <w:rFonts w:ascii="Arial" w:hAnsi="Arial" w:cs="Arial"/>
          <w:b/>
          <w:lang w:eastAsia="ja-JP"/>
        </w:rPr>
        <w:t xml:space="preserve"> / T</w:t>
      </w:r>
      <w:r w:rsidRPr="00257513">
        <w:rPr>
          <w:rFonts w:ascii="Arial" w:hAnsi="Arial" w:cs="Arial"/>
          <w:b/>
          <w:vertAlign w:val="subscript"/>
          <w:lang w:eastAsia="ja-JP"/>
        </w:rPr>
        <w:t>R1</w:t>
      </w:r>
      <w:r w:rsidRPr="00257513">
        <w:rPr>
          <w:rFonts w:ascii="Arial" w:hAnsi="Arial" w:cs="Arial"/>
          <w:b/>
          <w:lang w:eastAsia="ja-JP"/>
        </w:rPr>
        <w:t xml:space="preserve"> ≥ </w:t>
      </w:r>
      <w:r w:rsidRPr="00257513">
        <w:rPr>
          <w:rFonts w:ascii="Arial" w:hAnsi="Arial" w:cs="Arial"/>
          <w:b/>
          <w:lang w:eastAsia="ja-JP"/>
        </w:rPr>
        <w:sym w:font="Symbol" w:char="F067"/>
      </w:r>
      <w:r w:rsidRPr="00257513">
        <w:rPr>
          <w:rFonts w:ascii="Arial" w:hAnsi="Arial" w:cs="Arial"/>
          <w:b/>
          <w:vertAlign w:val="subscript"/>
          <w:lang w:eastAsia="ja-JP"/>
        </w:rPr>
        <w:t>1</w:t>
      </w:r>
      <w:r w:rsidRPr="00257513">
        <w:rPr>
          <w:rFonts w:ascii="Arial" w:hAnsi="Arial" w:cs="Arial"/>
          <w:b/>
          <w:lang w:eastAsia="ja-JP"/>
        </w:rPr>
        <w:t>&lt;1</w:t>
      </w:r>
      <w:r>
        <w:rPr>
          <w:rFonts w:ascii="Arial" w:hAnsi="Arial" w:cs="Arial"/>
          <w:b/>
          <w:lang w:val="en-US" w:eastAsia="ja-JP"/>
        </w:rPr>
        <w:t xml:space="preserve">    </w:t>
      </w:r>
      <w:proofErr w:type="gramStart"/>
      <w:r>
        <w:rPr>
          <w:rFonts w:ascii="Arial" w:hAnsi="Arial" w:cs="Arial"/>
          <w:b/>
          <w:lang w:val="en-US" w:eastAsia="ja-JP"/>
        </w:rPr>
        <w:t xml:space="preserve">AND  </w:t>
      </w:r>
      <w:r w:rsidRPr="00C15BC7">
        <w:rPr>
          <w:rFonts w:ascii="Arial" w:hAnsi="Arial" w:cs="Arial"/>
          <w:b/>
          <w:lang w:eastAsia="ja-JP"/>
        </w:rPr>
        <w:t>T</w:t>
      </w:r>
      <w:r w:rsidRPr="00C15BC7">
        <w:rPr>
          <w:rFonts w:ascii="Arial" w:hAnsi="Arial" w:cs="Arial"/>
          <w:b/>
          <w:vertAlign w:val="subscript"/>
          <w:lang w:eastAsia="ja-JP"/>
        </w:rPr>
        <w:t>RA</w:t>
      </w:r>
      <w:proofErr w:type="gramEnd"/>
      <w:r w:rsidRPr="00C15BC7">
        <w:rPr>
          <w:rFonts w:ascii="Arial" w:hAnsi="Arial" w:cs="Arial"/>
          <w:b/>
          <w:lang w:eastAsia="ja-JP"/>
        </w:rPr>
        <w:t xml:space="preserve"> / min(T</w:t>
      </w:r>
      <w:r w:rsidRPr="00C15BC7">
        <w:rPr>
          <w:rFonts w:ascii="Arial" w:hAnsi="Arial" w:cs="Arial"/>
          <w:b/>
          <w:vertAlign w:val="subscript"/>
          <w:lang w:eastAsia="ja-JP"/>
        </w:rPr>
        <w:t>R1</w:t>
      </w:r>
      <w:r w:rsidRPr="00C15BC7">
        <w:rPr>
          <w:rFonts w:ascii="Arial" w:hAnsi="Arial" w:cs="Arial"/>
          <w:b/>
          <w:lang w:eastAsia="ja-JP"/>
        </w:rPr>
        <w:t>,T</w:t>
      </w:r>
      <w:r w:rsidRPr="00C15BC7">
        <w:rPr>
          <w:rFonts w:ascii="Arial" w:hAnsi="Arial" w:cs="Arial"/>
          <w:b/>
          <w:vertAlign w:val="subscript"/>
          <w:lang w:eastAsia="ja-JP"/>
        </w:rPr>
        <w:t>R2</w:t>
      </w:r>
      <w:r w:rsidRPr="00C15BC7">
        <w:rPr>
          <w:rFonts w:ascii="Arial" w:hAnsi="Arial" w:cs="Arial"/>
          <w:b/>
          <w:lang w:eastAsia="ja-JP"/>
        </w:rPr>
        <w:t>) ≥ 1</w:t>
      </w:r>
    </w:p>
    <w:p w:rsidR="007D102F" w:rsidRDefault="007D102F" w:rsidP="007D102F"/>
    <w:p w:rsidR="007D102F" w:rsidRDefault="007D102F" w:rsidP="007D102F"/>
    <w:p w:rsidR="007D102F" w:rsidRDefault="00C15BC7" w:rsidP="007D102F">
      <w:r>
        <w:lastRenderedPageBreak/>
        <w:t xml:space="preserve"> </w:t>
      </w:r>
      <w:r w:rsidR="007D102F" w:rsidRPr="007D102F">
        <w:rPr>
          <w:noProof/>
          <w:lang w:val="en-US"/>
        </w:rPr>
        <w:drawing>
          <wp:inline distT="0" distB="0" distL="0" distR="0">
            <wp:extent cx="5732145" cy="2490054"/>
            <wp:effectExtent l="19050" t="0" r="20955" b="5496"/>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roofErr w:type="gramStart"/>
      <w:r w:rsidR="007D102F">
        <w:t>Figure 4.</w:t>
      </w:r>
      <w:proofErr w:type="gramEnd"/>
      <w:r w:rsidR="007D102F">
        <w:t xml:space="preserve"> Baseline and advanced receiver, metric 1, high correlation, SNR=20dB</w:t>
      </w:r>
    </w:p>
    <w:p w:rsidR="007D102F" w:rsidRDefault="007D102F" w:rsidP="007B00CA"/>
    <w:p w:rsidR="007D102F" w:rsidRDefault="007D102F" w:rsidP="007B00CA"/>
    <w:p w:rsidR="007D102F" w:rsidRDefault="007D102F" w:rsidP="007B00CA"/>
    <w:p w:rsidR="007D102F" w:rsidRDefault="007D102F" w:rsidP="007B00CA">
      <w:r w:rsidRPr="007D102F">
        <w:rPr>
          <w:noProof/>
          <w:lang w:val="en-US"/>
        </w:rPr>
        <w:drawing>
          <wp:inline distT="0" distB="0" distL="0" distR="0">
            <wp:extent cx="5732145" cy="2490054"/>
            <wp:effectExtent l="19050" t="0" r="20955" b="5496"/>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D102F" w:rsidRDefault="007D102F" w:rsidP="007B00CA"/>
    <w:p w:rsidR="007D102F" w:rsidRDefault="007D102F" w:rsidP="007B00CA">
      <w:proofErr w:type="gramStart"/>
      <w:r>
        <w:t>Figure 5.</w:t>
      </w:r>
      <w:proofErr w:type="gramEnd"/>
      <w:r>
        <w:t xml:space="preserve"> Baseline and advanced receiver, metric 3, high correlation, SNR=20dB</w:t>
      </w:r>
    </w:p>
    <w:p w:rsidR="007D102F" w:rsidRDefault="007D102F" w:rsidP="007B00CA"/>
    <w:p w:rsidR="007D102F" w:rsidRDefault="007D102F" w:rsidP="007B00CA"/>
    <w:p w:rsidR="007B00CA" w:rsidRDefault="007B00CA" w:rsidP="007B00CA"/>
    <w:p w:rsidR="007D102F" w:rsidRDefault="007D102F" w:rsidP="007D102F">
      <w:pPr>
        <w:pStyle w:val="Heading1"/>
        <w:ind w:left="0" w:firstLine="0"/>
      </w:pPr>
      <w:r>
        <w:t>3</w:t>
      </w:r>
      <w:r>
        <w:tab/>
        <w:t xml:space="preserve">   Combining the two metrics into a single metric</w:t>
      </w:r>
    </w:p>
    <w:p w:rsidR="007D102F" w:rsidRDefault="000C773E" w:rsidP="007B00CA">
      <w:r>
        <w:t>Instead of considering 2 metrics for the definition of the test one metric could be considered. It can be noticed that the test time is increased when considering the metric 1 plus the metric 3 because three quantities need to be computed TRA, TR1 and TR2.  This combination unfortunately does not reduce the test time (the three metrics are still needed)</w:t>
      </w:r>
      <w:r w:rsidR="00DB4230">
        <w:t>.</w:t>
      </w:r>
    </w:p>
    <w:p w:rsidR="00DB4230" w:rsidRDefault="00DB4230" w:rsidP="007B00CA"/>
    <w:p w:rsidR="00DB4230" w:rsidRPr="00DB4230" w:rsidRDefault="006A7D40" w:rsidP="007B00CA">
      <m:oMathPara>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RA</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m:t>
                  </m:r>
                  <m:r>
                    <w:rPr>
                      <w:rFonts w:ascii="Cambria Math" w:hAnsi="Cambria Math"/>
                    </w:rPr>
                    <m:t>A</m:t>
                  </m:r>
                </m:sub>
              </m:sSub>
            </m:num>
            <m:den>
              <m:sSub>
                <m:sSubPr>
                  <m:ctrlPr>
                    <w:rPr>
                      <w:rFonts w:ascii="Cambria Math" w:hAnsi="Cambria Math"/>
                      <w:i/>
                    </w:rPr>
                  </m:ctrlPr>
                </m:sSubPr>
                <m:e>
                  <m:r>
                    <m:rPr>
                      <m:sty m:val="p"/>
                    </m:rPr>
                    <w:rPr>
                      <w:rFonts w:ascii="Cambria Math" w:hAnsi="Cambria Math"/>
                    </w:rPr>
                    <m:t>min⁡</m:t>
                  </m:r>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en>
          </m:f>
          <m:r>
            <w:rPr>
              <w:rFonts w:ascii="Cambria Math" w:hAnsi="Cambria Math"/>
            </w:rPr>
            <m:t>≥1+</m:t>
          </m:r>
          <m:sSub>
            <m:sSubPr>
              <m:ctrlPr>
                <w:rPr>
                  <w:rFonts w:ascii="Cambria Math" w:hAnsi="Cambria Math"/>
                  <w:i/>
                </w:rPr>
              </m:ctrlPr>
            </m:sSubPr>
            <m:e>
              <m:r>
                <w:rPr>
                  <w:rFonts w:ascii="Cambria Math" w:hAnsi="Cambria Math"/>
                </w:rPr>
                <m:t>γ</m:t>
              </m:r>
            </m:e>
            <m:sub>
              <m:r>
                <w:rPr>
                  <w:rFonts w:ascii="Cambria Math" w:hAnsi="Cambria Math"/>
                </w:rPr>
                <m:t>1</m:t>
              </m:r>
            </m:sub>
          </m:sSub>
        </m:oMath>
      </m:oMathPara>
    </w:p>
    <w:p w:rsidR="00DB4230" w:rsidRDefault="006A7D40" w:rsidP="00DB4230">
      <m:oMathPara>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e>
                  </m:d>
                  <m:ctrlPr>
                    <w:rPr>
                      <w:rFonts w:ascii="Cambria Math" w:hAnsi="Cambria Math"/>
                      <w:i/>
                    </w:rPr>
                  </m:ctrlPr>
                </m:e>
              </m:func>
            </m:num>
            <m:den>
              <m:sSub>
                <m:sSubPr>
                  <m:ctrlPr>
                    <w:rPr>
                      <w:rFonts w:ascii="Cambria Math" w:hAnsi="Cambria Math"/>
                      <w:i/>
                    </w:rPr>
                  </m:ctrlPr>
                </m:sSubPr>
                <m:e>
                  <m:r>
                    <w:rPr>
                      <w:rFonts w:ascii="Cambria Math" w:hAnsi="Cambria Math"/>
                    </w:rPr>
                    <m:t>T</m:t>
                  </m:r>
                </m:e>
                <m:sub>
                  <m:r>
                    <w:rPr>
                      <w:rFonts w:ascii="Cambria Math" w:hAnsi="Cambria Math"/>
                    </w:rPr>
                    <m:t>RA</m:t>
                  </m:r>
                </m:sub>
              </m:sSub>
            </m:den>
          </m:f>
          <m:r>
            <w:rPr>
              <w:rFonts w:ascii="Cambria Math" w:hAnsi="Cambria Math"/>
            </w:rPr>
            <m:t>≤1+</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γ</m:t>
                  </m:r>
                </m:e>
                <m:sub>
                  <m:r>
                    <w:rPr>
                      <w:rFonts w:ascii="Cambria Math" w:hAnsi="Cambria Math"/>
                    </w:rPr>
                    <m:t>1</m:t>
                  </m:r>
                </m:sub>
              </m:sSub>
            </m:den>
          </m:f>
        </m:oMath>
      </m:oMathPara>
    </w:p>
    <w:p w:rsidR="00DB4230" w:rsidRDefault="00DB4230" w:rsidP="00DB4230"/>
    <w:p w:rsidR="00DB4230" w:rsidRDefault="006A7D40" w:rsidP="00DB4230">
      <m:oMathPara>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RA</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γ</m:t>
                  </m:r>
                </m:e>
                <m:sub>
                  <m:r>
                    <w:rPr>
                      <w:rFonts w:ascii="Cambria Math" w:hAnsi="Cambria Math"/>
                    </w:rPr>
                    <m:t>1</m:t>
                  </m:r>
                </m:sub>
              </m:sSub>
            </m:num>
            <m:den>
              <m:sSub>
                <m:sSubPr>
                  <m:ctrlPr>
                    <w:rPr>
                      <w:rFonts w:ascii="Cambria Math" w:hAnsi="Cambria Math"/>
                      <w:i/>
                    </w:rPr>
                  </m:ctrlPr>
                </m:sSubPr>
                <m:e>
                  <m:r>
                    <w:rPr>
                      <w:rFonts w:ascii="Cambria Math" w:hAnsi="Cambria Math"/>
                    </w:rPr>
                    <m:t>γ</m:t>
                  </m:r>
                </m:e>
                <m:sub>
                  <m:r>
                    <w:rPr>
                      <w:rFonts w:ascii="Cambria Math" w:hAnsi="Cambria Math"/>
                    </w:rPr>
                    <m:t>1</m:t>
                  </m:r>
                </m:sub>
              </m:sSub>
              <m:r>
                <w:rPr>
                  <w:rFonts w:ascii="Cambria Math" w:hAnsi="Cambria Math"/>
                </w:rPr>
                <m:t>+1</m:t>
              </m:r>
            </m:den>
          </m:f>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γ</m:t>
                  </m:r>
                </m:e>
                <m:sub>
                  <m:r>
                    <w:rPr>
                      <w:rFonts w:ascii="Cambria Math" w:hAnsi="Cambria Math"/>
                    </w:rPr>
                    <m:t>1</m:t>
                  </m:r>
                </m:sub>
              </m:sSub>
            </m:num>
            <m:den>
              <m:sSub>
                <m:sSubPr>
                  <m:ctrlPr>
                    <w:rPr>
                      <w:rFonts w:ascii="Cambria Math" w:hAnsi="Cambria Math"/>
                      <w:i/>
                    </w:rPr>
                  </m:ctrlPr>
                </m:sSubPr>
                <m:e>
                  <m:r>
                    <w:rPr>
                      <w:rFonts w:ascii="Cambria Math" w:hAnsi="Cambria Math"/>
                    </w:rPr>
                    <m:t>γ</m:t>
                  </m:r>
                </m:e>
                <m:sub>
                  <m:r>
                    <w:rPr>
                      <w:rFonts w:ascii="Cambria Math" w:hAnsi="Cambria Math"/>
                    </w:rPr>
                    <m:t>1</m:t>
                  </m:r>
                </m:sub>
              </m:sSub>
              <m:r>
                <w:rPr>
                  <w:rFonts w:ascii="Cambria Math" w:hAnsi="Cambria Math"/>
                </w:rPr>
                <m:t>+1</m:t>
              </m:r>
            </m:den>
          </m:f>
          <m:f>
            <m:fPr>
              <m:ctrlPr>
                <w:rPr>
                  <w:rFonts w:ascii="Cambria Math" w:hAnsi="Cambria Math"/>
                  <w:i/>
                </w:rPr>
              </m:ctrlPr>
            </m:fPr>
            <m:num>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den>
          </m:f>
        </m:oMath>
      </m:oMathPara>
    </w:p>
    <w:p w:rsidR="00AF4940" w:rsidRDefault="00AF4940" w:rsidP="00DB4230"/>
    <w:p w:rsidR="00AF4940" w:rsidRDefault="00AF4940" w:rsidP="00DB4230"/>
    <w:p w:rsidR="00AF4940" w:rsidRPr="00DF1039" w:rsidRDefault="006A7D40" w:rsidP="00AF4940">
      <w:pPr>
        <w:rPr>
          <w:b/>
        </w:rPr>
      </w:pPr>
      <m:oMathPara>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RA</m:t>
                  </m:r>
                </m:sub>
              </m:sSub>
            </m:num>
            <m:den>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den>
          </m:f>
          <m:r>
            <m:rPr>
              <m:sty m:val="bi"/>
            </m:rPr>
            <w:rPr>
              <w:rFonts w:ascii="Cambria Math" w:hAnsi="Cambria Math"/>
            </w:rPr>
            <m:t>≥α+α</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min(T</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num>
            <m:den>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den>
          </m:f>
        </m:oMath>
      </m:oMathPara>
    </w:p>
    <w:p w:rsidR="00AF4940" w:rsidRPr="00DB4230" w:rsidRDefault="00AF4940" w:rsidP="00DB4230"/>
    <w:p w:rsidR="00DB4230" w:rsidRPr="00DB4230" w:rsidRDefault="00DB4230" w:rsidP="00DB4230">
      <w:proofErr w:type="gramStart"/>
      <w:r>
        <w:t xml:space="preserve">Where </w:t>
      </w:r>
      <m:oMath>
        <w:proofErr w:type="gramEnd"/>
        <m:r>
          <w:rPr>
            <w:rFonts w:ascii="Cambria Math" w:hAnsi="Cambria Math"/>
          </w:rPr>
          <m:t>α=</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γ</m:t>
                    </m:r>
                  </m:e>
                  <m:sub>
                    <m:r>
                      <w:rPr>
                        <w:rFonts w:ascii="Cambria Math" w:hAnsi="Cambria Math"/>
                      </w:rPr>
                      <m:t>1</m:t>
                    </m:r>
                  </m:sub>
                </m:sSub>
              </m:den>
            </m:f>
          </m:den>
        </m:f>
      </m:oMath>
      <w:r>
        <w:t>.</w:t>
      </w:r>
    </w:p>
    <w:p w:rsidR="00DB4230" w:rsidRDefault="00DB4230" w:rsidP="007B00CA"/>
    <w:p w:rsidR="00811ED4" w:rsidRDefault="00811ED4" w:rsidP="007B00CA"/>
    <w:p w:rsidR="00811ED4" w:rsidRDefault="00DF1039" w:rsidP="007B00CA">
      <w:r>
        <w:t>Figure 6-9 show</w:t>
      </w:r>
      <w:r w:rsidR="003E4927">
        <w:t xml:space="preserve"> the performance of this combined metric for all the companies (by post-processing the results)</w:t>
      </w:r>
      <w:r>
        <w:t xml:space="preserve"> for </w:t>
      </w:r>
      <w:r w:rsidR="00611E29">
        <w:t xml:space="preserve">baseline and advanced receiver </w:t>
      </w:r>
      <w:r>
        <w:t>for Test 1 and Test 3</w:t>
      </w:r>
    </w:p>
    <w:p w:rsidR="003E4927" w:rsidRDefault="003E4927" w:rsidP="007B00CA"/>
    <w:p w:rsidR="003E4927" w:rsidRDefault="003E4927" w:rsidP="007B00CA"/>
    <w:p w:rsidR="00DF1039" w:rsidRDefault="009B725E" w:rsidP="007B00CA">
      <w:r w:rsidRPr="009B725E">
        <w:drawing>
          <wp:inline distT="0" distB="0" distL="0" distR="0">
            <wp:extent cx="5732145" cy="2600900"/>
            <wp:effectExtent l="19050" t="0" r="20955" b="8950"/>
            <wp:docPr id="2"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F1039" w:rsidRDefault="00DF1039" w:rsidP="007B00CA">
      <w:proofErr w:type="gramStart"/>
      <w:r>
        <w:t>Figure 6.</w:t>
      </w:r>
      <w:proofErr w:type="gramEnd"/>
      <w:r>
        <w:t xml:space="preserve">  Metric </w:t>
      </w:r>
      <w:proofErr w:type="gramStart"/>
      <w:r>
        <w:t>above  for</w:t>
      </w:r>
      <w:proofErr w:type="gramEnd"/>
      <w:r>
        <w:t xml:space="preserve"> varying gamma1 for baseline receiver for Test 1</w:t>
      </w:r>
      <w:r w:rsidR="00611E29">
        <w:t xml:space="preserve"> (low correlation and low SNR)</w:t>
      </w:r>
    </w:p>
    <w:p w:rsidR="00DF1039" w:rsidRDefault="00DF1039" w:rsidP="007B00CA"/>
    <w:p w:rsidR="00DF1039" w:rsidRDefault="00DF1039" w:rsidP="007B00CA"/>
    <w:p w:rsidR="00DF1039" w:rsidRDefault="00DF1039" w:rsidP="007B00CA"/>
    <w:p w:rsidR="00DF1039" w:rsidRDefault="009B725E" w:rsidP="007B00CA">
      <w:r w:rsidRPr="009B725E">
        <w:lastRenderedPageBreak/>
        <w:drawing>
          <wp:inline distT="0" distB="0" distL="0" distR="0">
            <wp:extent cx="5732145" cy="2600900"/>
            <wp:effectExtent l="19050" t="0" r="20955" b="8950"/>
            <wp:docPr id="4"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F1039" w:rsidRDefault="00DF1039" w:rsidP="00DF1039">
      <w:proofErr w:type="gramStart"/>
      <w:r>
        <w:t>Figure 7.</w:t>
      </w:r>
      <w:proofErr w:type="gramEnd"/>
      <w:r>
        <w:t xml:space="preserve">  Metric above for varying gamma1 for advanced receiver for Test 1</w:t>
      </w:r>
      <w:r w:rsidR="00611E29">
        <w:t xml:space="preserve"> (low correlation and low SNR)</w:t>
      </w:r>
    </w:p>
    <w:p w:rsidR="00DF1039" w:rsidRDefault="00DF1039" w:rsidP="007B00CA"/>
    <w:p w:rsidR="00DF1039" w:rsidRDefault="00DF1039" w:rsidP="007B00CA"/>
    <w:p w:rsidR="00DF1039" w:rsidRDefault="00DF1039" w:rsidP="007B00CA"/>
    <w:p w:rsidR="00DF1039" w:rsidRDefault="00DF1039" w:rsidP="007B00CA"/>
    <w:p w:rsidR="00DF1039" w:rsidRDefault="009B725E" w:rsidP="007B00CA">
      <w:r w:rsidRPr="009B725E">
        <w:drawing>
          <wp:inline distT="0" distB="0" distL="0" distR="0">
            <wp:extent cx="5732145" cy="2505976"/>
            <wp:effectExtent l="19050" t="0" r="20955" b="8624"/>
            <wp:docPr id="15"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11E29" w:rsidRDefault="00DF1039" w:rsidP="00611E29">
      <w:proofErr w:type="gramStart"/>
      <w:r>
        <w:t>Figure 8.</w:t>
      </w:r>
      <w:proofErr w:type="gramEnd"/>
      <w:r>
        <w:t xml:space="preserve">  Metric </w:t>
      </w:r>
      <w:proofErr w:type="gramStart"/>
      <w:r>
        <w:t>above  for</w:t>
      </w:r>
      <w:proofErr w:type="gramEnd"/>
      <w:r>
        <w:t xml:space="preserve"> varying gamma1 for baseline receiver</w:t>
      </w:r>
      <w:r w:rsidR="008C7628">
        <w:t xml:space="preserve"> for Test 3</w:t>
      </w:r>
      <w:r w:rsidR="00611E29">
        <w:t>,</w:t>
      </w:r>
      <w:r w:rsidR="00611E29" w:rsidRPr="00611E29">
        <w:t xml:space="preserve"> </w:t>
      </w:r>
      <w:r w:rsidR="00611E29">
        <w:t>(high correlation and high SNR)</w:t>
      </w:r>
    </w:p>
    <w:p w:rsidR="00DF1039" w:rsidRPr="00611E29" w:rsidRDefault="00DF1039" w:rsidP="007B00CA"/>
    <w:p w:rsidR="00DF1039" w:rsidRDefault="00DF1039" w:rsidP="007B00CA"/>
    <w:p w:rsidR="003E4927" w:rsidRDefault="003E4927" w:rsidP="007B00CA"/>
    <w:p w:rsidR="008C7628" w:rsidRDefault="008C7628" w:rsidP="007B00CA"/>
    <w:p w:rsidR="008C7628" w:rsidRDefault="008C7628" w:rsidP="007B00CA"/>
    <w:p w:rsidR="008C7628" w:rsidRDefault="008C7628" w:rsidP="007B00CA"/>
    <w:p w:rsidR="008C7628" w:rsidRDefault="008C7628" w:rsidP="007B00CA"/>
    <w:p w:rsidR="008C7628" w:rsidRDefault="008C7628" w:rsidP="007B00CA"/>
    <w:p w:rsidR="008C7628" w:rsidRDefault="008C7628" w:rsidP="007B00CA"/>
    <w:p w:rsidR="008C7628" w:rsidRDefault="008C7628" w:rsidP="007B00CA"/>
    <w:p w:rsidR="008C7628" w:rsidRDefault="008C7628" w:rsidP="007B00CA"/>
    <w:p w:rsidR="008C7628" w:rsidRDefault="008C7628" w:rsidP="007B00CA"/>
    <w:p w:rsidR="008C7628" w:rsidRDefault="008C7628" w:rsidP="007B00CA"/>
    <w:p w:rsidR="008C7628" w:rsidRDefault="008C7628" w:rsidP="007B00CA"/>
    <w:p w:rsidR="008C7628" w:rsidRDefault="008C7628" w:rsidP="007B00CA"/>
    <w:p w:rsidR="008C7628" w:rsidRDefault="009B725E" w:rsidP="007B00CA">
      <w:r w:rsidRPr="009B725E">
        <w:drawing>
          <wp:inline distT="0" distB="0" distL="0" distR="0">
            <wp:extent cx="5732145" cy="2505976"/>
            <wp:effectExtent l="19050" t="0" r="20955" b="8624"/>
            <wp:docPr id="14"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C7628" w:rsidRDefault="008C7628" w:rsidP="008C7628">
      <w:proofErr w:type="gramStart"/>
      <w:r>
        <w:t>Figure 9.</w:t>
      </w:r>
      <w:proofErr w:type="gramEnd"/>
      <w:r>
        <w:t xml:space="preserve">  Metric </w:t>
      </w:r>
      <w:proofErr w:type="gramStart"/>
      <w:r>
        <w:t>above  for</w:t>
      </w:r>
      <w:proofErr w:type="gramEnd"/>
      <w:r>
        <w:t xml:space="preserve"> varying gamma1 for advanced receiver for Test 3</w:t>
      </w:r>
    </w:p>
    <w:p w:rsidR="008C7628" w:rsidRPr="00DB4230" w:rsidRDefault="008C7628" w:rsidP="007B00CA"/>
    <w:p w:rsidR="00684585" w:rsidRDefault="00684585" w:rsidP="00684585">
      <w:pPr>
        <w:pStyle w:val="Heading1"/>
        <w:ind w:left="0" w:firstLine="0"/>
      </w:pPr>
      <w:r>
        <w:t>4</w:t>
      </w:r>
      <w:r>
        <w:tab/>
        <w:t xml:space="preserve">   Conclusions and proposals</w:t>
      </w:r>
    </w:p>
    <w:p w:rsidR="008C7628" w:rsidRDefault="00811ED4" w:rsidP="007B00CA">
      <w:r>
        <w:t>In this paper</w:t>
      </w:r>
      <w:r w:rsidR="008C7628">
        <w:t xml:space="preserve"> we have discussed the metrics for rank indication test.</w:t>
      </w:r>
    </w:p>
    <w:p w:rsidR="00DB4230" w:rsidRDefault="008C7628" w:rsidP="007B00CA">
      <w:r>
        <w:t xml:space="preserve"> </w:t>
      </w:r>
    </w:p>
    <w:p w:rsidR="008C7628" w:rsidRPr="008C7628" w:rsidRDefault="008C7628" w:rsidP="007B00CA">
      <w:pPr>
        <w:rPr>
          <w:b/>
        </w:rPr>
      </w:pPr>
      <w:r w:rsidRPr="008C7628">
        <w:rPr>
          <w:b/>
        </w:rPr>
        <w:t>We propose the following:</w:t>
      </w:r>
    </w:p>
    <w:p w:rsidR="008C7628" w:rsidRPr="002A7E6A" w:rsidRDefault="008C7628" w:rsidP="007B00CA">
      <w:pPr>
        <w:rPr>
          <w:b/>
        </w:rPr>
      </w:pPr>
      <w:r w:rsidRPr="002A7E6A">
        <w:rPr>
          <w:b/>
        </w:rPr>
        <w:t xml:space="preserve">Test 1: </w:t>
      </w:r>
    </w:p>
    <w:p w:rsidR="008C7628" w:rsidRPr="002A7E6A" w:rsidRDefault="008C7628" w:rsidP="007B00CA">
      <w:pPr>
        <w:rPr>
          <w:b/>
        </w:rPr>
      </w:pPr>
    </w:p>
    <w:p w:rsidR="008C7628" w:rsidRPr="002A7E6A" w:rsidRDefault="008C7628" w:rsidP="007B00CA">
      <w:pPr>
        <w:rPr>
          <w:b/>
        </w:rPr>
      </w:pPr>
      <w:r w:rsidRPr="002A7E6A">
        <w:rPr>
          <w:b/>
        </w:rPr>
        <w:t xml:space="preserve">Use combination of Metric 1 and Metric 3 </w:t>
      </w:r>
    </w:p>
    <w:p w:rsidR="008C7628" w:rsidRPr="002A7E6A" w:rsidRDefault="004C6AD2" w:rsidP="004C6AD2">
      <w:pPr>
        <w:rPr>
          <w:b/>
        </w:rPr>
      </w:pPr>
      <m:oMathPara>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RA</m:t>
                  </m:r>
                </m:sub>
              </m:sSub>
            </m:num>
            <m:den>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den>
          </m:f>
          <m:r>
            <m:rPr>
              <m:sty m:val="bi"/>
            </m:rPr>
            <w:rPr>
              <w:rFonts w:ascii="Cambria Math" w:hAnsi="Cambria Math"/>
            </w:rPr>
            <m:t>≥α+α</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min(T</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num>
            <m:den>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den>
          </m:f>
        </m:oMath>
      </m:oMathPara>
    </w:p>
    <w:p w:rsidR="007D102F" w:rsidRPr="002A7E6A" w:rsidRDefault="007D102F" w:rsidP="007B00CA">
      <w:pPr>
        <w:rPr>
          <w:b/>
        </w:rPr>
      </w:pPr>
    </w:p>
    <w:p w:rsidR="002A7E6A" w:rsidRPr="002A7E6A" w:rsidRDefault="002A7E6A" w:rsidP="002A7E6A">
      <w:pPr>
        <w:rPr>
          <w:b/>
        </w:rPr>
      </w:pPr>
      <w:proofErr w:type="gramStart"/>
      <w:r w:rsidRPr="002A7E6A">
        <w:rPr>
          <w:b/>
        </w:rPr>
        <w:t xml:space="preserve">Where </w:t>
      </w:r>
      <m:oMath>
        <w:proofErr w:type="gramEnd"/>
        <m:r>
          <m:rPr>
            <m:sty m:val="bi"/>
          </m:rPr>
          <w:rPr>
            <w:rFonts w:ascii="Cambria Math" w:hAnsi="Cambria Math"/>
          </w:rPr>
          <m:t>α=</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i/>
                  </w:rPr>
                </m:ctrlPr>
              </m:fPr>
              <m:num>
                <m:r>
                  <m:rPr>
                    <m:sty m:val="bi"/>
                  </m:rPr>
                  <w:rPr>
                    <w:rFonts w:ascii="Cambria Math" w:hAnsi="Cambria Math"/>
                  </w:rPr>
                  <m:t>1</m:t>
                </m:r>
              </m:num>
              <m:den>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den>
            </m:f>
          </m:den>
        </m:f>
      </m:oMath>
      <w:r w:rsidRPr="002A7E6A">
        <w:rPr>
          <w:b/>
        </w:rPr>
        <w:t>.</w:t>
      </w:r>
    </w:p>
    <w:p w:rsidR="007D102F" w:rsidRPr="002A7E6A" w:rsidRDefault="008C7628" w:rsidP="007B00CA">
      <w:pPr>
        <w:rPr>
          <w:b/>
        </w:rPr>
      </w:pPr>
      <w:r w:rsidRPr="002A7E6A">
        <w:rPr>
          <w:b/>
        </w:rPr>
        <w:t>The gamma1 value should be discussed further.</w:t>
      </w:r>
    </w:p>
    <w:p w:rsidR="008C7628" w:rsidRPr="002A7E6A" w:rsidRDefault="008C7628" w:rsidP="007B00CA">
      <w:pPr>
        <w:rPr>
          <w:b/>
        </w:rPr>
      </w:pPr>
    </w:p>
    <w:p w:rsidR="008C7628" w:rsidRPr="002A7E6A" w:rsidRDefault="008C7628" w:rsidP="007B00CA">
      <w:pPr>
        <w:rPr>
          <w:b/>
        </w:rPr>
      </w:pPr>
      <w:proofErr w:type="gramStart"/>
      <w:r w:rsidRPr="002A7E6A">
        <w:rPr>
          <w:b/>
        </w:rPr>
        <w:t>Test 2.</w:t>
      </w:r>
      <w:proofErr w:type="gramEnd"/>
    </w:p>
    <w:p w:rsidR="008C7628" w:rsidRPr="002A7E6A" w:rsidRDefault="008C7628" w:rsidP="007B00CA">
      <w:pPr>
        <w:rPr>
          <w:b/>
        </w:rPr>
      </w:pPr>
      <w:r w:rsidRPr="002A7E6A">
        <w:rPr>
          <w:b/>
        </w:rPr>
        <w:t>Use the same Metric as in legacy test</w:t>
      </w:r>
    </w:p>
    <w:p w:rsidR="008C7628" w:rsidRPr="002A7E6A" w:rsidRDefault="008C7628" w:rsidP="007B00CA">
      <w:pPr>
        <w:rPr>
          <w:b/>
        </w:rPr>
      </w:pPr>
    </w:p>
    <w:p w:rsidR="008C7628" w:rsidRPr="008C7628" w:rsidRDefault="008C7628" w:rsidP="007B00CA">
      <w:pPr>
        <w:rPr>
          <w:b/>
        </w:rPr>
      </w:pPr>
      <w:proofErr w:type="gramStart"/>
      <w:r w:rsidRPr="002A7E6A">
        <w:rPr>
          <w:b/>
        </w:rPr>
        <w:t>Test 3.</w:t>
      </w:r>
      <w:proofErr w:type="gramEnd"/>
    </w:p>
    <w:p w:rsidR="008C7628" w:rsidRDefault="008C7628" w:rsidP="004C6AD2">
      <w:pPr>
        <w:rPr>
          <w:b/>
        </w:rPr>
      </w:pPr>
      <w:r w:rsidRPr="008C7628">
        <w:rPr>
          <w:b/>
        </w:rPr>
        <w:t xml:space="preserve">Use combination of Metric 1 and Metric 3 </w:t>
      </w:r>
    </w:p>
    <w:p w:rsidR="004C6AD2" w:rsidRPr="008C7628" w:rsidRDefault="004C6AD2" w:rsidP="004C6AD2">
      <w:pPr>
        <w:rPr>
          <w:b/>
        </w:rPr>
      </w:pPr>
      <m:oMathPara>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RA</m:t>
                  </m:r>
                </m:sub>
              </m:sSub>
            </m:num>
            <m:den>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den>
          </m:f>
          <m:r>
            <m:rPr>
              <m:sty m:val="bi"/>
            </m:rPr>
            <w:rPr>
              <w:rFonts w:ascii="Cambria Math" w:hAnsi="Cambria Math"/>
            </w:rPr>
            <m:t>≥α+α</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min(T</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num>
            <m:den>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den>
          </m:f>
        </m:oMath>
      </m:oMathPara>
    </w:p>
    <w:p w:rsidR="008C7628" w:rsidRPr="008C7628" w:rsidRDefault="008C7628" w:rsidP="008C7628">
      <w:pPr>
        <w:rPr>
          <w:b/>
        </w:rPr>
      </w:pPr>
    </w:p>
    <w:p w:rsidR="002A7E6A" w:rsidRPr="002A7E6A" w:rsidRDefault="002A7E6A" w:rsidP="002A7E6A">
      <w:pPr>
        <w:rPr>
          <w:b/>
        </w:rPr>
      </w:pPr>
      <w:proofErr w:type="gramStart"/>
      <w:r w:rsidRPr="002A7E6A">
        <w:rPr>
          <w:b/>
        </w:rPr>
        <w:t xml:space="preserve">Where </w:t>
      </w:r>
      <m:oMath>
        <w:proofErr w:type="gramEnd"/>
        <m:r>
          <m:rPr>
            <m:sty m:val="bi"/>
          </m:rPr>
          <w:rPr>
            <w:rFonts w:ascii="Cambria Math" w:hAnsi="Cambria Math"/>
          </w:rPr>
          <m:t>α=</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i/>
                  </w:rPr>
                </m:ctrlPr>
              </m:fPr>
              <m:num>
                <m:r>
                  <m:rPr>
                    <m:sty m:val="bi"/>
                  </m:rPr>
                  <w:rPr>
                    <w:rFonts w:ascii="Cambria Math" w:hAnsi="Cambria Math"/>
                  </w:rPr>
                  <m:t>1</m:t>
                </m:r>
              </m:num>
              <m:den>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den>
            </m:f>
          </m:den>
        </m:f>
      </m:oMath>
      <w:r w:rsidRPr="002A7E6A">
        <w:rPr>
          <w:b/>
        </w:rPr>
        <w:t>.</w:t>
      </w:r>
    </w:p>
    <w:p w:rsidR="002A7E6A" w:rsidRDefault="002A7E6A" w:rsidP="008C7628">
      <w:pPr>
        <w:rPr>
          <w:b/>
        </w:rPr>
      </w:pPr>
    </w:p>
    <w:p w:rsidR="008C7628" w:rsidRPr="008C7628" w:rsidRDefault="008C7628" w:rsidP="008C7628">
      <w:pPr>
        <w:rPr>
          <w:b/>
        </w:rPr>
      </w:pPr>
      <w:r w:rsidRPr="008C7628">
        <w:rPr>
          <w:b/>
        </w:rPr>
        <w:t>The gamma1 value should be discussed further.</w:t>
      </w:r>
    </w:p>
    <w:p w:rsidR="008C7628" w:rsidRPr="007B00CA" w:rsidRDefault="008C7628" w:rsidP="007B00CA"/>
    <w:p w:rsidR="006F699E" w:rsidRDefault="00684585" w:rsidP="006F699E">
      <w:pPr>
        <w:pStyle w:val="Heading1"/>
      </w:pPr>
      <w:r>
        <w:lastRenderedPageBreak/>
        <w:t>5</w:t>
      </w:r>
      <w:r w:rsidR="006F699E">
        <w:tab/>
        <w:t>References</w:t>
      </w:r>
    </w:p>
    <w:p w:rsidR="001F2F22" w:rsidRDefault="006F699E" w:rsidP="00E43180">
      <w:r>
        <w:t>[1]</w:t>
      </w:r>
      <w:r w:rsidR="001F2F22">
        <w:tab/>
      </w:r>
      <w:r>
        <w:t>R4-115500</w:t>
      </w:r>
      <w:proofErr w:type="gramStart"/>
      <w:r>
        <w:t xml:space="preserve">, </w:t>
      </w:r>
      <w:r w:rsidR="001F2F22">
        <w:t xml:space="preserve"> </w:t>
      </w:r>
      <w:r>
        <w:t>“</w:t>
      </w:r>
      <w:proofErr w:type="spellStart"/>
      <w:proofErr w:type="gramEnd"/>
      <w:r>
        <w:rPr>
          <w:rFonts w:ascii="Arial" w:hAnsi="Arial"/>
          <w:sz w:val="22"/>
        </w:rPr>
        <w:t>eDL</w:t>
      </w:r>
      <w:proofErr w:type="spellEnd"/>
      <w:r>
        <w:rPr>
          <w:rFonts w:ascii="Arial" w:hAnsi="Arial"/>
          <w:sz w:val="22"/>
        </w:rPr>
        <w:t>-MIMO CSI ad-hoc agreements – Thursday evening”, NEC</w:t>
      </w:r>
      <w:r w:rsidR="001F2F22">
        <w:rPr>
          <w:rFonts w:ascii="Arial" w:hAnsi="Arial"/>
          <w:sz w:val="22"/>
        </w:rPr>
        <w:t xml:space="preserve"> </w:t>
      </w:r>
    </w:p>
    <w:sectPr w:rsidR="001F2F22" w:rsidSect="001B2CA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46B13"/>
    <w:multiLevelType w:val="hybridMultilevel"/>
    <w:tmpl w:val="0CC0A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D832B0A"/>
    <w:multiLevelType w:val="hybridMultilevel"/>
    <w:tmpl w:val="8728ABF2"/>
    <w:lvl w:ilvl="0" w:tplc="DE0E4906">
      <w:start w:val="1"/>
      <w:numFmt w:val="bullet"/>
      <w:lvlText w:val=""/>
      <w:lvlJc w:val="left"/>
      <w:pPr>
        <w:ind w:left="720" w:hanging="360"/>
      </w:pPr>
      <w:rPr>
        <w:rFonts w:ascii="Symbol" w:eastAsia="MS Mincho"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B12B12"/>
    <w:multiLevelType w:val="hybridMultilevel"/>
    <w:tmpl w:val="2438E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BB65655"/>
    <w:multiLevelType w:val="multilevel"/>
    <w:tmpl w:val="7F009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7DD1108A"/>
    <w:multiLevelType w:val="hybridMultilevel"/>
    <w:tmpl w:val="5CC43DB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6F699E"/>
    <w:rsid w:val="000A6B9D"/>
    <w:rsid w:val="000C773E"/>
    <w:rsid w:val="00131535"/>
    <w:rsid w:val="00177163"/>
    <w:rsid w:val="001B2CA2"/>
    <w:rsid w:val="001E1000"/>
    <w:rsid w:val="001F2F22"/>
    <w:rsid w:val="00201031"/>
    <w:rsid w:val="00224F8B"/>
    <w:rsid w:val="00257513"/>
    <w:rsid w:val="00293F75"/>
    <w:rsid w:val="002A7E6A"/>
    <w:rsid w:val="002C1BE4"/>
    <w:rsid w:val="003714A4"/>
    <w:rsid w:val="00376F89"/>
    <w:rsid w:val="003E4927"/>
    <w:rsid w:val="003F4C6D"/>
    <w:rsid w:val="00461AE3"/>
    <w:rsid w:val="00480392"/>
    <w:rsid w:val="00481BDB"/>
    <w:rsid w:val="004C6AD2"/>
    <w:rsid w:val="005B4E3F"/>
    <w:rsid w:val="005D3AFA"/>
    <w:rsid w:val="00611E29"/>
    <w:rsid w:val="00642A32"/>
    <w:rsid w:val="00684585"/>
    <w:rsid w:val="006A7D40"/>
    <w:rsid w:val="006F699E"/>
    <w:rsid w:val="007B00CA"/>
    <w:rsid w:val="007D102F"/>
    <w:rsid w:val="007F743D"/>
    <w:rsid w:val="00811ED4"/>
    <w:rsid w:val="00845890"/>
    <w:rsid w:val="008C7628"/>
    <w:rsid w:val="008F0389"/>
    <w:rsid w:val="009375C5"/>
    <w:rsid w:val="009B725E"/>
    <w:rsid w:val="00A0712E"/>
    <w:rsid w:val="00A278D9"/>
    <w:rsid w:val="00A56B82"/>
    <w:rsid w:val="00A92930"/>
    <w:rsid w:val="00AF4940"/>
    <w:rsid w:val="00B94B0C"/>
    <w:rsid w:val="00BA4581"/>
    <w:rsid w:val="00BF6FDC"/>
    <w:rsid w:val="00C15BC7"/>
    <w:rsid w:val="00C43971"/>
    <w:rsid w:val="00D8717E"/>
    <w:rsid w:val="00DB4230"/>
    <w:rsid w:val="00DF1039"/>
    <w:rsid w:val="00DF53D7"/>
    <w:rsid w:val="00E43180"/>
    <w:rsid w:val="00E47326"/>
    <w:rsid w:val="00E55F52"/>
    <w:rsid w:val="00EE717B"/>
    <w:rsid w:val="00F13C61"/>
    <w:rsid w:val="00F40E25"/>
    <w:rsid w:val="00FE54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99E"/>
    <w:pPr>
      <w:spacing w:after="0" w:line="240" w:lineRule="auto"/>
    </w:pPr>
    <w:rPr>
      <w:rFonts w:ascii="Times New Roman" w:eastAsia="Times New Roman" w:hAnsi="Times New Roman" w:cs="Times New Roman"/>
      <w:sz w:val="24"/>
      <w:szCs w:val="24"/>
      <w:lang w:val="en-GB"/>
    </w:rPr>
  </w:style>
  <w:style w:type="paragraph" w:styleId="Heading1">
    <w:name w:val="heading 1"/>
    <w:aliases w:val="H1,h1,Heading 1 3GPP"/>
    <w:next w:val="Normal"/>
    <w:link w:val="Heading1Char"/>
    <w:qFormat/>
    <w:rsid w:val="006F69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F699E"/>
    <w:rPr>
      <w:rFonts w:ascii="Arial" w:eastAsia="Times New Roman" w:hAnsi="Arial" w:cs="Times New Roman"/>
      <w:sz w:val="36"/>
      <w:szCs w:val="20"/>
      <w:lang w:val="en-GB"/>
    </w:rPr>
  </w:style>
  <w:style w:type="paragraph" w:styleId="Header">
    <w:name w:val="header"/>
    <w:aliases w:val="header odd"/>
    <w:link w:val="HeaderChar"/>
    <w:rsid w:val="006F699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6F699E"/>
    <w:rPr>
      <w:rFonts w:ascii="Arial" w:eastAsia="Times New Roman" w:hAnsi="Arial" w:cs="Times New Roman"/>
      <w:b/>
      <w:noProof/>
      <w:sz w:val="18"/>
      <w:szCs w:val="20"/>
    </w:rPr>
  </w:style>
  <w:style w:type="paragraph" w:customStyle="1" w:styleId="CRCoverPage">
    <w:name w:val="CR Cover Page"/>
    <w:rsid w:val="006F699E"/>
    <w:pPr>
      <w:spacing w:after="120" w:line="240" w:lineRule="auto"/>
    </w:pPr>
    <w:rPr>
      <w:rFonts w:ascii="Arial" w:eastAsia="MS Mincho" w:hAnsi="Arial" w:cs="Times New Roman"/>
      <w:sz w:val="20"/>
      <w:szCs w:val="20"/>
      <w:lang w:val="en-GB"/>
    </w:rPr>
  </w:style>
  <w:style w:type="character" w:styleId="Hyperlink">
    <w:name w:val="Hyperlink"/>
    <w:basedOn w:val="DefaultParagraphFont"/>
    <w:uiPriority w:val="99"/>
    <w:rsid w:val="006F699E"/>
    <w:rPr>
      <w:color w:val="0000FF"/>
      <w:u w:val="single"/>
    </w:rPr>
  </w:style>
  <w:style w:type="paragraph" w:styleId="ListParagraph">
    <w:name w:val="List Paragraph"/>
    <w:basedOn w:val="Normal"/>
    <w:uiPriority w:val="34"/>
    <w:qFormat/>
    <w:rsid w:val="006F699E"/>
    <w:pPr>
      <w:spacing w:after="180"/>
      <w:ind w:left="720"/>
    </w:pPr>
    <w:rPr>
      <w:rFonts w:eastAsia="MS Mincho"/>
      <w:sz w:val="20"/>
      <w:szCs w:val="20"/>
      <w:lang w:eastAsia="de-DE"/>
    </w:rPr>
  </w:style>
  <w:style w:type="paragraph" w:customStyle="1" w:styleId="EQ">
    <w:name w:val="EQ"/>
    <w:basedOn w:val="Normal"/>
    <w:next w:val="Normal"/>
    <w:rsid w:val="001F2F22"/>
    <w:pPr>
      <w:keepLines/>
      <w:tabs>
        <w:tab w:val="center" w:pos="4536"/>
        <w:tab w:val="right" w:pos="9072"/>
      </w:tabs>
      <w:overflowPunct w:val="0"/>
      <w:autoSpaceDE w:val="0"/>
      <w:autoSpaceDN w:val="0"/>
      <w:adjustRightInd w:val="0"/>
      <w:spacing w:after="180"/>
      <w:textAlignment w:val="baseline"/>
    </w:pPr>
    <w:rPr>
      <w:noProof/>
      <w:sz w:val="20"/>
      <w:szCs w:val="20"/>
      <w:lang w:eastAsia="en-GB"/>
    </w:rPr>
  </w:style>
  <w:style w:type="character" w:styleId="PlaceholderText">
    <w:name w:val="Placeholder Text"/>
    <w:basedOn w:val="DefaultParagraphFont"/>
    <w:uiPriority w:val="99"/>
    <w:semiHidden/>
    <w:rsid w:val="001F2F22"/>
    <w:rPr>
      <w:color w:val="808080"/>
    </w:rPr>
  </w:style>
  <w:style w:type="paragraph" w:styleId="BalloonText">
    <w:name w:val="Balloon Text"/>
    <w:basedOn w:val="Normal"/>
    <w:link w:val="BalloonTextChar"/>
    <w:uiPriority w:val="99"/>
    <w:semiHidden/>
    <w:unhideWhenUsed/>
    <w:rsid w:val="001F2F22"/>
    <w:rPr>
      <w:rFonts w:ascii="Tahoma" w:hAnsi="Tahoma" w:cs="Tahoma"/>
      <w:sz w:val="16"/>
      <w:szCs w:val="16"/>
    </w:rPr>
  </w:style>
  <w:style w:type="character" w:customStyle="1" w:styleId="BalloonTextChar">
    <w:name w:val="Balloon Text Char"/>
    <w:basedOn w:val="DefaultParagraphFont"/>
    <w:link w:val="BalloonText"/>
    <w:uiPriority w:val="99"/>
    <w:semiHidden/>
    <w:rsid w:val="001F2F22"/>
    <w:rPr>
      <w:rFonts w:ascii="Tahoma" w:eastAsia="Times New Roman"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chart" Target="charts/chart8.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5" Type="http://schemas.openxmlformats.org/officeDocument/2006/relationships/chart" Target="charts/chart1.xml"/><Relationship Id="rId15" Type="http://schemas.openxmlformats.org/officeDocument/2006/relationships/theme" Target="theme/theme1.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frq06682\My%20Documents\ST-E\3GPP%20Standaridization%20Activity\RAN%204\2011\RAN%204%2060bis%20Zuhai\Ad%20hoc%20sessions\eDLMIMO\RI_results_summary_v6-STE.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frq06682\My%20Documents\ST-E\3GPP%20Standaridization%20Activity\RAN%204\2011\RAN%204%2060bis%20Zuhai\Ad%20hoc%20sessions\eDLMIMO\RI_results_summary_v6-STE.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Documents%20and%20Settings\frq06682\My%20Documents\ST-E\3GPP%20Standaridization%20Activity\RAN%204\2011\RAN%204%2060bis%20Zuhai\Ad%20hoc%20sessions\eDLMIMO\RI_results_summary_v6-STE.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frq06682\My%20Documents\ST-E\3GPP%20Standaridization%20Activity\RAN%204\2011\RAN%204%2060bis%20Zuhai\Ad%20hoc%20sessions\eDLMIMO\RI_results_summary_v6-STE.xls"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Documents%20and%20Settings\frq06682\My%20Documents\ST-E\3GPP%20Standaridization%20Activity\RAN%204\2011\RAN%204%2060bis%20Zuhai\Ad%20hoc%20sessions\eDLMIMO\RI_results_summary_v6-STE.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frq06682\My%20Documents\ST-E\3GPP%20Standaridization%20Activity\RAN%204\2011\RAN%204%2060bis%20Zuhai\Ad%20hoc%20sessions\eDLMIMO\RI_results_summary_v7-STE.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frq06682\My%20Documents\ST-E\3GPP%20Standaridization%20Activity\RAN%204\2011\RAN%204%2060bis%20Zuhai\Ad%20hoc%20sessions\eDLMIMO\RI_results_summary_v7-STE.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frq06682\My%20Documents\ST-E\3GPP%20Standaridization%20Activity\RAN%204\2011\RAN%204%2060bis%20Zuhai\Ad%20hoc%20sessions\eDLMIMO\RI_results_summary_v7-STE.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frq06682\My%20Documents\ST-E\3GPP%20Standaridization%20Activity\RAN%204\2011\RAN%204%2060bis%20Zuhai\Ad%20hoc%20sessions\eDLMIMO\RI_results_summary_v7-STE.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v>Baseline Receiver</c:v>
          </c:tx>
          <c:cat>
            <c:strRef>
              <c:f>Sheet1!$B$26:$J$26</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Sheet1!$B$27:$J$27</c:f>
              <c:numCache>
                <c:formatCode>General</c:formatCode>
                <c:ptCount val="9"/>
                <c:pt idx="0">
                  <c:v>0.99888999999999961</c:v>
                </c:pt>
                <c:pt idx="1">
                  <c:v>0.99952226241592967</c:v>
                </c:pt>
                <c:pt idx="2" formatCode="0.0000">
                  <c:v>1.0284</c:v>
                </c:pt>
                <c:pt idx="3" formatCode="0.0000">
                  <c:v>1</c:v>
                </c:pt>
                <c:pt idx="4" formatCode="0.0000">
                  <c:v>1.0449999999999993</c:v>
                </c:pt>
                <c:pt idx="5" formatCode="0.0000">
                  <c:v>0.56944327928494876</c:v>
                </c:pt>
                <c:pt idx="6">
                  <c:v>1.012081784</c:v>
                </c:pt>
                <c:pt idx="8">
                  <c:v>1.0077115514689476</c:v>
                </c:pt>
              </c:numCache>
            </c:numRef>
          </c:val>
        </c:ser>
        <c:ser>
          <c:idx val="1"/>
          <c:order val="1"/>
          <c:tx>
            <c:v>Advanced Reciever</c:v>
          </c:tx>
          <c:cat>
            <c:strRef>
              <c:f>Sheet1!$B$26:$J$26</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Sheet1!$B$28:$J$28</c:f>
              <c:numCache>
                <c:formatCode>General</c:formatCode>
                <c:ptCount val="9"/>
                <c:pt idx="1">
                  <c:v>0.99952226241592967</c:v>
                </c:pt>
                <c:pt idx="2" formatCode="0.0000">
                  <c:v>1.0447</c:v>
                </c:pt>
                <c:pt idx="3" formatCode="0.0000">
                  <c:v>1</c:v>
                </c:pt>
                <c:pt idx="4" formatCode="0.0000">
                  <c:v>0.9152542370000003</c:v>
                </c:pt>
                <c:pt idx="5" formatCode="0.0000">
                  <c:v>0.5777700978645347</c:v>
                </c:pt>
                <c:pt idx="8" formatCode="0.0000">
                  <c:v>1.0077115514689476</c:v>
                </c:pt>
              </c:numCache>
            </c:numRef>
          </c:val>
        </c:ser>
        <c:axId val="149127936"/>
        <c:axId val="149129472"/>
      </c:barChart>
      <c:catAx>
        <c:axId val="149127936"/>
        <c:scaling>
          <c:orientation val="minMax"/>
        </c:scaling>
        <c:axPos val="b"/>
        <c:tickLblPos val="nextTo"/>
        <c:crossAx val="149129472"/>
        <c:crosses val="autoZero"/>
        <c:auto val="1"/>
        <c:lblAlgn val="ctr"/>
        <c:lblOffset val="100"/>
      </c:catAx>
      <c:valAx>
        <c:axId val="149129472"/>
        <c:scaling>
          <c:orientation val="minMax"/>
        </c:scaling>
        <c:axPos val="l"/>
        <c:majorGridlines/>
        <c:numFmt formatCode="General" sourceLinked="1"/>
        <c:tickLblPos val="nextTo"/>
        <c:crossAx val="149127936"/>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en-US"/>
  <c:chart>
    <c:plotArea>
      <c:layout/>
      <c:barChart>
        <c:barDir val="col"/>
        <c:grouping val="clustered"/>
        <c:ser>
          <c:idx val="1"/>
          <c:order val="0"/>
          <c:tx>
            <c:v>Baseline Receiver</c:v>
          </c:tx>
          <c:cat>
            <c:strRef>
              <c:f>Sheet1!$B$2:$J$2</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Sheet1!$B$3:$J$3</c:f>
              <c:numCache>
                <c:formatCode>General</c:formatCode>
                <c:ptCount val="9"/>
                <c:pt idx="0">
                  <c:v>1.5182</c:v>
                </c:pt>
                <c:pt idx="1">
                  <c:v>1.4507541338779799</c:v>
                </c:pt>
                <c:pt idx="2" formatCode="0.0000">
                  <c:v>1.2908999999999993</c:v>
                </c:pt>
                <c:pt idx="3" formatCode="0.0000">
                  <c:v>1.25</c:v>
                </c:pt>
                <c:pt idx="4" formatCode="0.0000">
                  <c:v>1.3144654090000001</c:v>
                </c:pt>
                <c:pt idx="5" formatCode="0.0000">
                  <c:v>1.3472940150149484</c:v>
                </c:pt>
                <c:pt idx="6">
                  <c:v>1.2665736219999999</c:v>
                </c:pt>
                <c:pt idx="8">
                  <c:v>1.8600798265465328</c:v>
                </c:pt>
              </c:numCache>
            </c:numRef>
          </c:val>
        </c:ser>
        <c:ser>
          <c:idx val="0"/>
          <c:order val="1"/>
          <c:tx>
            <c:v>Advanced Receiver</c:v>
          </c:tx>
          <c:cat>
            <c:strRef>
              <c:f>Sheet1!$B$2:$J$2</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Sheet1!$B$4:$J$4</c:f>
              <c:numCache>
                <c:formatCode>General</c:formatCode>
                <c:ptCount val="9"/>
                <c:pt idx="1">
                  <c:v>1.4057170347955901</c:v>
                </c:pt>
                <c:pt idx="2" formatCode="0.0000">
                  <c:v>1.2852999999999994</c:v>
                </c:pt>
                <c:pt idx="3" formatCode="0.0000">
                  <c:v>1.1179361179361178</c:v>
                </c:pt>
                <c:pt idx="4" formatCode="0.0000">
                  <c:v>1.35</c:v>
                </c:pt>
                <c:pt idx="5" formatCode="0.0000">
                  <c:v>1.3176981605856966</c:v>
                </c:pt>
                <c:pt idx="8" formatCode="0.0000">
                  <c:v>1.8226842908465091</c:v>
                </c:pt>
              </c:numCache>
            </c:numRef>
          </c:val>
        </c:ser>
        <c:axId val="149502976"/>
        <c:axId val="149504768"/>
      </c:barChart>
      <c:catAx>
        <c:axId val="149502976"/>
        <c:scaling>
          <c:orientation val="minMax"/>
        </c:scaling>
        <c:axPos val="b"/>
        <c:tickLblPos val="nextTo"/>
        <c:crossAx val="149504768"/>
        <c:crosses val="autoZero"/>
        <c:auto val="1"/>
        <c:lblAlgn val="ctr"/>
        <c:lblOffset val="100"/>
      </c:catAx>
      <c:valAx>
        <c:axId val="149504768"/>
        <c:scaling>
          <c:orientation val="minMax"/>
        </c:scaling>
        <c:axPos val="l"/>
        <c:majorGridlines/>
        <c:numFmt formatCode="General" sourceLinked="1"/>
        <c:tickLblPos val="nextTo"/>
        <c:crossAx val="149502976"/>
        <c:crosses val="autoZero"/>
        <c:crossBetween val="between"/>
      </c:valAx>
    </c:plotArea>
    <c:legend>
      <c:legendPos val="r"/>
    </c:legend>
    <c:plotVisOnly val="1"/>
  </c:chart>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2"/>
          <c:order val="0"/>
          <c:tx>
            <c:v>Baseline Receiver, Metric 3</c:v>
          </c:tx>
          <c:cat>
            <c:strRef>
              <c:f>Sheet1!$B$52:$J$52</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Sheet1!$B$53:$J$53</c:f>
              <c:numCache>
                <c:formatCode>General</c:formatCode>
                <c:ptCount val="9"/>
                <c:pt idx="0">
                  <c:v>1.5182</c:v>
                </c:pt>
                <c:pt idx="1">
                  <c:v>1.4507541338779799</c:v>
                </c:pt>
                <c:pt idx="2" formatCode="0.0000">
                  <c:v>1.2908999999999993</c:v>
                </c:pt>
                <c:pt idx="3" formatCode="0.0000">
                  <c:v>1.25</c:v>
                </c:pt>
                <c:pt idx="4" formatCode="0.0000">
                  <c:v>1.3144654090000001</c:v>
                </c:pt>
                <c:pt idx="5" formatCode="0.0000">
                  <c:v>1.3472940150149484</c:v>
                </c:pt>
                <c:pt idx="6">
                  <c:v>1.2665736219999999</c:v>
                </c:pt>
                <c:pt idx="8">
                  <c:v>1.8600798265465328</c:v>
                </c:pt>
              </c:numCache>
            </c:numRef>
          </c:val>
        </c:ser>
        <c:ser>
          <c:idx val="3"/>
          <c:order val="1"/>
          <c:tx>
            <c:v>Advanced Receiver, Metric 3</c:v>
          </c:tx>
          <c:cat>
            <c:strRef>
              <c:f>Sheet1!$B$52:$J$52</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Sheet1!$B$54:$J$54</c:f>
              <c:numCache>
                <c:formatCode>General</c:formatCode>
                <c:ptCount val="9"/>
                <c:pt idx="1">
                  <c:v>1.4057170347955901</c:v>
                </c:pt>
                <c:pt idx="2" formatCode="0.0000">
                  <c:v>1.2852999999999994</c:v>
                </c:pt>
                <c:pt idx="3" formatCode="0.0000">
                  <c:v>1.1179361179361178</c:v>
                </c:pt>
                <c:pt idx="4" formatCode="0.0000">
                  <c:v>1.35</c:v>
                </c:pt>
                <c:pt idx="5" formatCode="0.0000">
                  <c:v>1.3176981605856966</c:v>
                </c:pt>
                <c:pt idx="8" formatCode="0.0000">
                  <c:v>1.8226842908465091</c:v>
                </c:pt>
              </c:numCache>
            </c:numRef>
          </c:val>
        </c:ser>
        <c:axId val="152120704"/>
        <c:axId val="152146304"/>
      </c:barChart>
      <c:catAx>
        <c:axId val="152120704"/>
        <c:scaling>
          <c:orientation val="minMax"/>
        </c:scaling>
        <c:axPos val="b"/>
        <c:tickLblPos val="nextTo"/>
        <c:crossAx val="152146304"/>
        <c:crosses val="autoZero"/>
        <c:auto val="1"/>
        <c:lblAlgn val="ctr"/>
        <c:lblOffset val="100"/>
      </c:catAx>
      <c:valAx>
        <c:axId val="152146304"/>
        <c:scaling>
          <c:orientation val="minMax"/>
        </c:scaling>
        <c:axPos val="l"/>
        <c:majorGridlines/>
        <c:numFmt formatCode="General" sourceLinked="1"/>
        <c:tickLblPos val="nextTo"/>
        <c:crossAx val="152120704"/>
        <c:crosses val="autoZero"/>
        <c:crossBetween val="between"/>
      </c:valAx>
    </c:plotArea>
    <c:legend>
      <c:legendPos val="r"/>
    </c:legend>
    <c:plotVisOnly val="1"/>
  </c:chart>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v>Baseline Receiver</c:v>
          </c:tx>
          <c:cat>
            <c:strRef>
              <c:f>Sheet2!$B$2:$J$2</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Sheet2!$B$3:$J$3</c:f>
              <c:numCache>
                <c:formatCode>General</c:formatCode>
                <c:ptCount val="9"/>
                <c:pt idx="0">
                  <c:v>0.97643999999999997</c:v>
                </c:pt>
                <c:pt idx="1">
                  <c:v>0.99379151872164462</c:v>
                </c:pt>
                <c:pt idx="2" formatCode="0.0000">
                  <c:v>0.99619999999999997</c:v>
                </c:pt>
                <c:pt idx="3" formatCode="0.0000">
                  <c:v>0.98761865456046249</c:v>
                </c:pt>
                <c:pt idx="5" formatCode="0.0000">
                  <c:v>0.99936945717252545</c:v>
                </c:pt>
                <c:pt idx="6">
                  <c:v>0.98284197900000003</c:v>
                </c:pt>
              </c:numCache>
            </c:numRef>
          </c:val>
        </c:ser>
        <c:ser>
          <c:idx val="1"/>
          <c:order val="1"/>
          <c:tx>
            <c:v>Advanced Receiver</c:v>
          </c:tx>
          <c:cat>
            <c:strRef>
              <c:f>Sheet2!$B$2:$J$2</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Sheet2!$B$4:$J$4</c:f>
              <c:numCache>
                <c:formatCode>General</c:formatCode>
                <c:ptCount val="9"/>
                <c:pt idx="1">
                  <c:v>0.99457359404072865</c:v>
                </c:pt>
                <c:pt idx="2" formatCode="0.0000">
                  <c:v>0.99670000000000003</c:v>
                </c:pt>
                <c:pt idx="3" formatCode="0.0000">
                  <c:v>0.99504746182418491</c:v>
                </c:pt>
                <c:pt idx="4" formatCode="0.0000">
                  <c:v>1</c:v>
                </c:pt>
                <c:pt idx="5" formatCode="0.0000">
                  <c:v>1.0073890325589259</c:v>
                </c:pt>
                <c:pt idx="8" formatCode="0.0000">
                  <c:v>1.0011759260914561</c:v>
                </c:pt>
              </c:numCache>
            </c:numRef>
          </c:val>
        </c:ser>
        <c:axId val="152454656"/>
        <c:axId val="152456576"/>
      </c:barChart>
      <c:catAx>
        <c:axId val="152454656"/>
        <c:scaling>
          <c:orientation val="minMax"/>
        </c:scaling>
        <c:axPos val="b"/>
        <c:tickLblPos val="nextTo"/>
        <c:crossAx val="152456576"/>
        <c:crosses val="autoZero"/>
        <c:auto val="1"/>
        <c:lblAlgn val="ctr"/>
        <c:lblOffset val="100"/>
      </c:catAx>
      <c:valAx>
        <c:axId val="152456576"/>
        <c:scaling>
          <c:orientation val="minMax"/>
        </c:scaling>
        <c:axPos val="l"/>
        <c:majorGridlines/>
        <c:numFmt formatCode="General" sourceLinked="1"/>
        <c:tickLblPos val="nextTo"/>
        <c:crossAx val="152454656"/>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en-US"/>
  <c:chart>
    <c:plotArea>
      <c:layout/>
      <c:barChart>
        <c:barDir val="col"/>
        <c:grouping val="clustered"/>
        <c:ser>
          <c:idx val="0"/>
          <c:order val="0"/>
          <c:tx>
            <c:v>Baseline Receiver</c:v>
          </c:tx>
          <c:cat>
            <c:strRef>
              <c:f>Sheet2!$B$2:$J$2</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Sheet2!$B$30:$J$30</c:f>
              <c:numCache>
                <c:formatCode>General</c:formatCode>
                <c:ptCount val="9"/>
                <c:pt idx="0">
                  <c:v>1.8445</c:v>
                </c:pt>
                <c:pt idx="1">
                  <c:v>1.4747150552229893</c:v>
                </c:pt>
                <c:pt idx="2" formatCode="0.0000">
                  <c:v>1.4635999999999993</c:v>
                </c:pt>
                <c:pt idx="3" formatCode="0.0000">
                  <c:v>1.3904706565950029</c:v>
                </c:pt>
                <c:pt idx="5" formatCode="0.0000">
                  <c:v>1.4944574589090001</c:v>
                </c:pt>
                <c:pt idx="6">
                  <c:v>1.3500948769999999</c:v>
                </c:pt>
              </c:numCache>
            </c:numRef>
          </c:val>
        </c:ser>
        <c:ser>
          <c:idx val="1"/>
          <c:order val="1"/>
          <c:tx>
            <c:v>Advanced Receiver</c:v>
          </c:tx>
          <c:cat>
            <c:strRef>
              <c:f>Sheet2!$B$2:$J$2</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Sheet2!$B$31:$J$31</c:f>
              <c:numCache>
                <c:formatCode>General</c:formatCode>
                <c:ptCount val="9"/>
                <c:pt idx="1">
                  <c:v>1.2807506336458001</c:v>
                </c:pt>
                <c:pt idx="2" formatCode="0.0000">
                  <c:v>1.294</c:v>
                </c:pt>
                <c:pt idx="3" formatCode="0.0000">
                  <c:v>1.2288481141692149</c:v>
                </c:pt>
                <c:pt idx="4" formatCode="0.0000">
                  <c:v>2.1184738959999998</c:v>
                </c:pt>
                <c:pt idx="5" formatCode="0.0000">
                  <c:v>1.2534060686357811</c:v>
                </c:pt>
                <c:pt idx="8" formatCode="0.0000">
                  <c:v>1.8137278715483753</c:v>
                </c:pt>
              </c:numCache>
            </c:numRef>
          </c:val>
        </c:ser>
        <c:axId val="152700800"/>
        <c:axId val="152702336"/>
      </c:barChart>
      <c:catAx>
        <c:axId val="152700800"/>
        <c:scaling>
          <c:orientation val="minMax"/>
        </c:scaling>
        <c:axPos val="b"/>
        <c:tickLblPos val="nextTo"/>
        <c:crossAx val="152702336"/>
        <c:crosses val="autoZero"/>
        <c:auto val="1"/>
        <c:lblAlgn val="ctr"/>
        <c:lblOffset val="100"/>
      </c:catAx>
      <c:valAx>
        <c:axId val="152702336"/>
        <c:scaling>
          <c:orientation val="minMax"/>
        </c:scaling>
        <c:axPos val="l"/>
        <c:majorGridlines/>
        <c:numFmt formatCode="General" sourceLinked="1"/>
        <c:tickLblPos val="nextTo"/>
        <c:crossAx val="152700800"/>
        <c:crosses val="autoZero"/>
        <c:crossBetween val="between"/>
      </c:valAx>
    </c:plotArea>
    <c:legend>
      <c:legendPos val="r"/>
    </c:legend>
    <c:plotVisOnly val="1"/>
  </c:chart>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lang val="en-US"/>
  <c:chart>
    <c:plotArea>
      <c:layout/>
      <c:barChart>
        <c:barDir val="col"/>
        <c:grouping val="clustered"/>
        <c:ser>
          <c:idx val="0"/>
          <c:order val="0"/>
          <c:tx>
            <c:v>Left side of metric</c:v>
          </c:tx>
          <c:cat>
            <c:strRef>
              <c:f>Sheet1!$B$81:$J$81</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Sheet1!$B$82:$J$82</c:f>
              <c:numCache>
                <c:formatCode>General</c:formatCode>
                <c:ptCount val="9"/>
                <c:pt idx="0">
                  <c:v>0.99888999999999983</c:v>
                </c:pt>
                <c:pt idx="1">
                  <c:v>0.9995222624159299</c:v>
                </c:pt>
                <c:pt idx="2" formatCode="0.0000">
                  <c:v>1.0284</c:v>
                </c:pt>
                <c:pt idx="3" formatCode="0.0000">
                  <c:v>1</c:v>
                </c:pt>
                <c:pt idx="4" formatCode="0.0000">
                  <c:v>1.0449999999999997</c:v>
                </c:pt>
                <c:pt idx="5" formatCode="0.0000">
                  <c:v>0.56944327928494876</c:v>
                </c:pt>
                <c:pt idx="6">
                  <c:v>1.012081784</c:v>
                </c:pt>
                <c:pt idx="8">
                  <c:v>1.0077115514689476</c:v>
                </c:pt>
              </c:numCache>
            </c:numRef>
          </c:val>
        </c:ser>
        <c:ser>
          <c:idx val="1"/>
          <c:order val="1"/>
          <c:tx>
            <c:v>gamma1= 0.5</c:v>
          </c:tx>
          <c:val>
            <c:numRef>
              <c:f>Sheet1!$B$83:$J$83</c:f>
              <c:numCache>
                <c:formatCode>General</c:formatCode>
                <c:ptCount val="9"/>
                <c:pt idx="0">
                  <c:v>0.55264787248056924</c:v>
                </c:pt>
                <c:pt idx="1">
                  <c:v>0.5629891238575182</c:v>
                </c:pt>
                <c:pt idx="2">
                  <c:v>0.59888449918661391</c:v>
                </c:pt>
                <c:pt idx="3">
                  <c:v>0.60000000000000009</c:v>
                </c:pt>
                <c:pt idx="4">
                  <c:v>0.59833333329402694</c:v>
                </c:pt>
                <c:pt idx="5">
                  <c:v>0.47421900811027506</c:v>
                </c:pt>
                <c:pt idx="6">
                  <c:v>0.5996902105071632</c:v>
                </c:pt>
                <c:pt idx="7">
                  <c:v>0</c:v>
                </c:pt>
                <c:pt idx="8">
                  <c:v>0.51391905105131752</c:v>
                </c:pt>
              </c:numCache>
            </c:numRef>
          </c:val>
        </c:ser>
        <c:ser>
          <c:idx val="2"/>
          <c:order val="2"/>
          <c:tx>
            <c:v>gamma1=0.6</c:v>
          </c:tx>
          <c:val>
            <c:numRef>
              <c:f>Sheet1!$B$84:$J$84</c:f>
              <c:numCache>
                <c:formatCode>General</c:formatCode>
                <c:ptCount val="9"/>
                <c:pt idx="0">
                  <c:v>0.62172885654064036</c:v>
                </c:pt>
                <c:pt idx="1">
                  <c:v>0.63336276433970784</c:v>
                </c:pt>
                <c:pt idx="2">
                  <c:v>0.67374506158494074</c:v>
                </c:pt>
                <c:pt idx="3">
                  <c:v>0.67500000000000004</c:v>
                </c:pt>
                <c:pt idx="4">
                  <c:v>0.67312499995578068</c:v>
                </c:pt>
                <c:pt idx="5">
                  <c:v>0.53349638412405931</c:v>
                </c:pt>
                <c:pt idx="6">
                  <c:v>0.67465148682055864</c:v>
                </c:pt>
                <c:pt idx="7">
                  <c:v>0</c:v>
                </c:pt>
                <c:pt idx="8">
                  <c:v>0.57815893243273242</c:v>
                </c:pt>
              </c:numCache>
            </c:numRef>
          </c:val>
        </c:ser>
        <c:ser>
          <c:idx val="3"/>
          <c:order val="3"/>
          <c:tx>
            <c:v>gamma=0.7</c:v>
          </c:tx>
          <c:val>
            <c:numRef>
              <c:f>Sheet1!$B$85:$J$85</c:f>
              <c:numCache>
                <c:formatCode>General</c:formatCode>
                <c:ptCount val="9"/>
                <c:pt idx="0">
                  <c:v>0.68268266600540883</c:v>
                </c:pt>
                <c:pt idx="1">
                  <c:v>0.69545715300046362</c:v>
                </c:pt>
                <c:pt idx="2">
                  <c:v>0.7397984989952292</c:v>
                </c:pt>
                <c:pt idx="3">
                  <c:v>0.74117647058823544</c:v>
                </c:pt>
                <c:pt idx="4">
                  <c:v>0.73911764701026861</c:v>
                </c:pt>
                <c:pt idx="5">
                  <c:v>0.58579995119504569</c:v>
                </c:pt>
                <c:pt idx="6">
                  <c:v>0.74079378945002494</c:v>
                </c:pt>
                <c:pt idx="7">
                  <c:v>0</c:v>
                </c:pt>
                <c:pt idx="8">
                  <c:v>0.63484118071045137</c:v>
                </c:pt>
              </c:numCache>
            </c:numRef>
          </c:val>
        </c:ser>
        <c:ser>
          <c:idx val="4"/>
          <c:order val="4"/>
          <c:tx>
            <c:v>gamma=0.8</c:v>
          </c:tx>
          <c:val>
            <c:numRef>
              <c:f>Sheet1!$B$86:$J$86</c:f>
              <c:numCache>
                <c:formatCode>General</c:formatCode>
                <c:ptCount val="9"/>
                <c:pt idx="0">
                  <c:v>0.73686382997409228</c:v>
                </c:pt>
                <c:pt idx="1">
                  <c:v>0.75065216514335764</c:v>
                </c:pt>
                <c:pt idx="2">
                  <c:v>0.79851266558215195</c:v>
                </c:pt>
                <c:pt idx="3">
                  <c:v>0.8</c:v>
                </c:pt>
                <c:pt idx="4">
                  <c:v>0.79777777772536951</c:v>
                </c:pt>
                <c:pt idx="5">
                  <c:v>0.63229201081370023</c:v>
                </c:pt>
                <c:pt idx="6">
                  <c:v>0.79958694734288416</c:v>
                </c:pt>
                <c:pt idx="7">
                  <c:v>0</c:v>
                </c:pt>
                <c:pt idx="8">
                  <c:v>0.68522540140175703</c:v>
                </c:pt>
              </c:numCache>
            </c:numRef>
          </c:val>
        </c:ser>
        <c:ser>
          <c:idx val="5"/>
          <c:order val="5"/>
          <c:tx>
            <c:v>gamma=0.9</c:v>
          </c:tx>
          <c:val>
            <c:numRef>
              <c:f>Sheet1!$B$87:$J$87</c:f>
              <c:numCache>
                <c:formatCode>General</c:formatCode>
                <c:ptCount val="9"/>
                <c:pt idx="0">
                  <c:v>0.78534171352501936</c:v>
                </c:pt>
                <c:pt idx="1">
                  <c:v>0.80003717600805235</c:v>
                </c:pt>
                <c:pt idx="2">
                  <c:v>0.851046393580978</c:v>
                </c:pt>
                <c:pt idx="3">
                  <c:v>0.85263157894736852</c:v>
                </c:pt>
                <c:pt idx="4">
                  <c:v>0.85026315783888073</c:v>
                </c:pt>
                <c:pt idx="5">
                  <c:v>0.67389016941986479</c:v>
                </c:pt>
                <c:pt idx="6">
                  <c:v>0.85219135177333705</c:v>
                </c:pt>
                <c:pt idx="7">
                  <c:v>0</c:v>
                </c:pt>
                <c:pt idx="8">
                  <c:v>0.73030601991503052</c:v>
                </c:pt>
              </c:numCache>
            </c:numRef>
          </c:val>
        </c:ser>
        <c:axId val="156266496"/>
        <c:axId val="156268800"/>
      </c:barChart>
      <c:catAx>
        <c:axId val="156266496"/>
        <c:scaling>
          <c:orientation val="minMax"/>
        </c:scaling>
        <c:axPos val="b"/>
        <c:numFmt formatCode="General" sourceLinked="1"/>
        <c:tickLblPos val="nextTo"/>
        <c:crossAx val="156268800"/>
        <c:crosses val="autoZero"/>
        <c:auto val="1"/>
        <c:lblAlgn val="ctr"/>
        <c:lblOffset val="100"/>
      </c:catAx>
      <c:valAx>
        <c:axId val="156268800"/>
        <c:scaling>
          <c:orientation val="minMax"/>
        </c:scaling>
        <c:axPos val="l"/>
        <c:majorGridlines/>
        <c:numFmt formatCode="General" sourceLinked="1"/>
        <c:tickLblPos val="nextTo"/>
        <c:crossAx val="156266496"/>
        <c:crosses val="autoZero"/>
        <c:crossBetween val="between"/>
      </c:valAx>
    </c:plotArea>
    <c:legend>
      <c:legendPos val="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en-US"/>
  <c:chart>
    <c:plotArea>
      <c:layout/>
      <c:barChart>
        <c:barDir val="col"/>
        <c:grouping val="clustered"/>
        <c:ser>
          <c:idx val="0"/>
          <c:order val="0"/>
          <c:tx>
            <c:v>Left side of metric</c:v>
          </c:tx>
          <c:cat>
            <c:strRef>
              <c:f>Sheet1!$B$81:$J$81</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Sheet1!$B$88:$J$88</c:f>
              <c:numCache>
                <c:formatCode>General</c:formatCode>
                <c:ptCount val="9"/>
                <c:pt idx="1">
                  <c:v>0.9995222624159299</c:v>
                </c:pt>
                <c:pt idx="2" formatCode="0.0000">
                  <c:v>1.0447</c:v>
                </c:pt>
                <c:pt idx="3" formatCode="0.0000">
                  <c:v>1</c:v>
                </c:pt>
                <c:pt idx="4" formatCode="0.0000">
                  <c:v>0.91525423700000008</c:v>
                </c:pt>
                <c:pt idx="5" formatCode="0.0000">
                  <c:v>0.57777009786453426</c:v>
                </c:pt>
                <c:pt idx="8" formatCode="0.0000">
                  <c:v>1.0077115514689476</c:v>
                </c:pt>
              </c:numCache>
            </c:numRef>
          </c:val>
        </c:ser>
        <c:ser>
          <c:idx val="1"/>
          <c:order val="1"/>
          <c:tx>
            <c:v>gamma1= 0.5</c:v>
          </c:tx>
          <c:val>
            <c:numRef>
              <c:f>Sheet1!$B$89:$J$89</c:f>
              <c:numCache>
                <c:formatCode>General</c:formatCode>
                <c:ptCount val="9"/>
                <c:pt idx="0">
                  <c:v>0</c:v>
                </c:pt>
                <c:pt idx="1">
                  <c:v>0.57034695643453215</c:v>
                </c:pt>
                <c:pt idx="2">
                  <c:v>0.60426878290412089</c:v>
                </c:pt>
                <c:pt idx="3">
                  <c:v>0.6315018315018317</c:v>
                </c:pt>
                <c:pt idx="4">
                  <c:v>0.5593220338271605</c:v>
                </c:pt>
                <c:pt idx="5">
                  <c:v>0.47948974333841987</c:v>
                </c:pt>
                <c:pt idx="6">
                  <c:v>0</c:v>
                </c:pt>
                <c:pt idx="7">
                  <c:v>0</c:v>
                </c:pt>
                <c:pt idx="8">
                  <c:v>0.5176240808734055</c:v>
                </c:pt>
              </c:numCache>
            </c:numRef>
          </c:val>
        </c:ser>
        <c:ser>
          <c:idx val="2"/>
          <c:order val="2"/>
          <c:tx>
            <c:v>gamma1=0.6</c:v>
          </c:tx>
          <c:val>
            <c:numRef>
              <c:f>Sheet1!$B$90:$J$90</c:f>
              <c:numCache>
                <c:formatCode>General</c:formatCode>
                <c:ptCount val="9"/>
                <c:pt idx="0">
                  <c:v>0</c:v>
                </c:pt>
                <c:pt idx="1">
                  <c:v>0.64164032598884879</c:v>
                </c:pt>
                <c:pt idx="2">
                  <c:v>0.67980238076713584</c:v>
                </c:pt>
                <c:pt idx="3">
                  <c:v>0.71043956043956047</c:v>
                </c:pt>
                <c:pt idx="4">
                  <c:v>0.62923728805555545</c:v>
                </c:pt>
                <c:pt idx="5">
                  <c:v>0.53942596125572229</c:v>
                </c:pt>
                <c:pt idx="6">
                  <c:v>0</c:v>
                </c:pt>
                <c:pt idx="7">
                  <c:v>0</c:v>
                </c:pt>
                <c:pt idx="8">
                  <c:v>0.58232709098258084</c:v>
                </c:pt>
              </c:numCache>
            </c:numRef>
          </c:val>
        </c:ser>
        <c:ser>
          <c:idx val="3"/>
          <c:order val="3"/>
          <c:tx>
            <c:v>gamma=0.7</c:v>
          </c:tx>
          <c:val>
            <c:numRef>
              <c:f>Sheet1!$B$91:$J$91</c:f>
              <c:numCache>
                <c:formatCode>General</c:formatCode>
                <c:ptCount val="9"/>
                <c:pt idx="0">
                  <c:v>0</c:v>
                </c:pt>
                <c:pt idx="1">
                  <c:v>0.70454624030148083</c:v>
                </c:pt>
                <c:pt idx="2">
                  <c:v>0.74644967299920839</c:v>
                </c:pt>
                <c:pt idx="3">
                  <c:v>0.78009049773755668</c:v>
                </c:pt>
                <c:pt idx="4">
                  <c:v>0.69092721825708081</c:v>
                </c:pt>
                <c:pt idx="5">
                  <c:v>0.59231085941804784</c:v>
                </c:pt>
                <c:pt idx="6">
                  <c:v>0</c:v>
                </c:pt>
                <c:pt idx="7">
                  <c:v>0</c:v>
                </c:pt>
                <c:pt idx="8">
                  <c:v>0.63941798225538304</c:v>
                </c:pt>
              </c:numCache>
            </c:numRef>
          </c:val>
        </c:ser>
        <c:ser>
          <c:idx val="4"/>
          <c:order val="4"/>
          <c:tx>
            <c:v>gamma=0.8</c:v>
          </c:tx>
          <c:val>
            <c:numRef>
              <c:f>Sheet1!$B$92:$J$92</c:f>
              <c:numCache>
                <c:formatCode>General</c:formatCode>
                <c:ptCount val="9"/>
                <c:pt idx="0">
                  <c:v>0</c:v>
                </c:pt>
                <c:pt idx="1">
                  <c:v>0.76046260857937631</c:v>
                </c:pt>
                <c:pt idx="2">
                  <c:v>0.80569171053882815</c:v>
                </c:pt>
                <c:pt idx="3">
                  <c:v>0.84200244200244212</c:v>
                </c:pt>
                <c:pt idx="4">
                  <c:v>0.74576271176954734</c:v>
                </c:pt>
                <c:pt idx="5">
                  <c:v>0.6393196577845599</c:v>
                </c:pt>
                <c:pt idx="6">
                  <c:v>0</c:v>
                </c:pt>
                <c:pt idx="7">
                  <c:v>0</c:v>
                </c:pt>
                <c:pt idx="8">
                  <c:v>0.69016544116454071</c:v>
                </c:pt>
              </c:numCache>
            </c:numRef>
          </c:val>
        </c:ser>
        <c:ser>
          <c:idx val="5"/>
          <c:order val="5"/>
          <c:tx>
            <c:v>gamma=0.9</c:v>
          </c:tx>
          <c:val>
            <c:numRef>
              <c:f>Sheet1!$B$93:$J$93</c:f>
              <c:numCache>
                <c:formatCode>General</c:formatCode>
                <c:ptCount val="9"/>
                <c:pt idx="0">
                  <c:v>0</c:v>
                </c:pt>
                <c:pt idx="1">
                  <c:v>0.81049304335433514</c:v>
                </c:pt>
                <c:pt idx="2">
                  <c:v>0.85869774412690869</c:v>
                </c:pt>
                <c:pt idx="3">
                  <c:v>0.8973973395026027</c:v>
                </c:pt>
                <c:pt idx="4">
                  <c:v>0.79482604807017565</c:v>
                </c:pt>
                <c:pt idx="5">
                  <c:v>0.68138016158617554</c:v>
                </c:pt>
                <c:pt idx="6">
                  <c:v>0</c:v>
                </c:pt>
                <c:pt idx="7">
                  <c:v>0</c:v>
                </c:pt>
                <c:pt idx="8">
                  <c:v>0.73557106229378688</c:v>
                </c:pt>
              </c:numCache>
            </c:numRef>
          </c:val>
        </c:ser>
        <c:axId val="176221184"/>
        <c:axId val="182727424"/>
      </c:barChart>
      <c:catAx>
        <c:axId val="176221184"/>
        <c:scaling>
          <c:orientation val="minMax"/>
        </c:scaling>
        <c:axPos val="b"/>
        <c:numFmt formatCode="General" sourceLinked="1"/>
        <c:tickLblPos val="nextTo"/>
        <c:crossAx val="182727424"/>
        <c:crosses val="autoZero"/>
        <c:auto val="1"/>
        <c:lblAlgn val="ctr"/>
        <c:lblOffset val="100"/>
      </c:catAx>
      <c:valAx>
        <c:axId val="182727424"/>
        <c:scaling>
          <c:orientation val="minMax"/>
        </c:scaling>
        <c:axPos val="l"/>
        <c:majorGridlines/>
        <c:numFmt formatCode="General" sourceLinked="1"/>
        <c:tickLblPos val="nextTo"/>
        <c:crossAx val="176221184"/>
        <c:crosses val="autoZero"/>
        <c:crossBetween val="between"/>
      </c:valAx>
    </c:plotArea>
    <c:legend>
      <c:legendPos val="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en-US"/>
  <c:chart>
    <c:plotArea>
      <c:layout/>
      <c:barChart>
        <c:barDir val="col"/>
        <c:grouping val="clustered"/>
        <c:ser>
          <c:idx val="0"/>
          <c:order val="0"/>
          <c:tx>
            <c:v>Left side of metric</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Sheet2!$B$56:$J$56</c:f>
              <c:numCache>
                <c:formatCode>General</c:formatCode>
                <c:ptCount val="9"/>
                <c:pt idx="0">
                  <c:v>0.97643999999999997</c:v>
                </c:pt>
                <c:pt idx="1">
                  <c:v>0.99379151872164484</c:v>
                </c:pt>
                <c:pt idx="2" formatCode="0.0000">
                  <c:v>0.99619999999999997</c:v>
                </c:pt>
                <c:pt idx="3" formatCode="0.0000">
                  <c:v>0.98761865456046227</c:v>
                </c:pt>
                <c:pt idx="5" formatCode="0.0000">
                  <c:v>0.99936945717252545</c:v>
                </c:pt>
                <c:pt idx="6">
                  <c:v>0.98284197900000003</c:v>
                </c:pt>
              </c:numCache>
            </c:numRef>
          </c:val>
        </c:ser>
        <c:ser>
          <c:idx val="1"/>
          <c:order val="1"/>
          <c:tx>
            <c:v>gamma1=0.5</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Sheet2!$B$57:$J$57</c:f>
              <c:numCache>
                <c:formatCode>General</c:formatCode>
                <c:ptCount val="9"/>
                <c:pt idx="0">
                  <c:v>0.50979307852173139</c:v>
                </c:pt>
                <c:pt idx="1">
                  <c:v>0.55796238177265445</c:v>
                </c:pt>
                <c:pt idx="2">
                  <c:v>0.56021681698096004</c:v>
                </c:pt>
                <c:pt idx="3">
                  <c:v>0.57009217223827213</c:v>
                </c:pt>
                <c:pt idx="4">
                  <c:v>0</c:v>
                </c:pt>
                <c:pt idx="5">
                  <c:v>0.55623907775916137</c:v>
                </c:pt>
                <c:pt idx="6">
                  <c:v>0.5759933112216874</c:v>
                </c:pt>
                <c:pt idx="7">
                  <c:v>0</c:v>
                </c:pt>
                <c:pt idx="8">
                  <c:v>0</c:v>
                </c:pt>
              </c:numCache>
            </c:numRef>
          </c:val>
        </c:ser>
        <c:ser>
          <c:idx val="2"/>
          <c:order val="2"/>
          <c:tx>
            <c:v>gamma1=0.6</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Sheet2!$B$58:$J$58</c:f>
              <c:numCache>
                <c:formatCode>General</c:formatCode>
                <c:ptCount val="9"/>
                <c:pt idx="0">
                  <c:v>0.5735172133369475</c:v>
                </c:pt>
                <c:pt idx="1">
                  <c:v>0.62770767949423678</c:v>
                </c:pt>
                <c:pt idx="2">
                  <c:v>0.63024391910358035</c:v>
                </c:pt>
                <c:pt idx="3">
                  <c:v>0.64135369376805595</c:v>
                </c:pt>
                <c:pt idx="4">
                  <c:v>0</c:v>
                </c:pt>
                <c:pt idx="5">
                  <c:v>0.62576896247905656</c:v>
                </c:pt>
                <c:pt idx="6">
                  <c:v>0.64799247512439839</c:v>
                </c:pt>
                <c:pt idx="7">
                  <c:v>0</c:v>
                </c:pt>
                <c:pt idx="8">
                  <c:v>0</c:v>
                </c:pt>
              </c:numCache>
            </c:numRef>
          </c:val>
        </c:ser>
        <c:ser>
          <c:idx val="3"/>
          <c:order val="3"/>
          <c:tx>
            <c:v>gamma=0.7</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Sheet2!$B$59:$J$59</c:f>
              <c:numCache>
                <c:formatCode>General</c:formatCode>
                <c:ptCount val="9"/>
                <c:pt idx="0">
                  <c:v>0.62974439111507985</c:v>
                </c:pt>
                <c:pt idx="1">
                  <c:v>0.68924764807210293</c:v>
                </c:pt>
                <c:pt idx="2">
                  <c:v>0.69203253862353908</c:v>
                </c:pt>
                <c:pt idx="3">
                  <c:v>0.70423150688257141</c:v>
                </c:pt>
                <c:pt idx="4">
                  <c:v>0</c:v>
                </c:pt>
                <c:pt idx="5">
                  <c:v>0.68711886076131679</c:v>
                </c:pt>
                <c:pt idx="6">
                  <c:v>0.7115211491562019</c:v>
                </c:pt>
                <c:pt idx="7">
                  <c:v>0</c:v>
                </c:pt>
                <c:pt idx="8">
                  <c:v>0</c:v>
                </c:pt>
              </c:numCache>
            </c:numRef>
          </c:val>
        </c:ser>
        <c:ser>
          <c:idx val="4"/>
          <c:order val="4"/>
          <c:tx>
            <c:v>gamma=0.8</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Sheet2!$B$60:$J$60</c:f>
              <c:numCache>
                <c:formatCode>General</c:formatCode>
                <c:ptCount val="9"/>
                <c:pt idx="0">
                  <c:v>0.67972410469564182</c:v>
                </c:pt>
                <c:pt idx="1">
                  <c:v>0.74394984236354011</c:v>
                </c:pt>
                <c:pt idx="2">
                  <c:v>0.74695575597461361</c:v>
                </c:pt>
                <c:pt idx="3">
                  <c:v>0.76012289631769625</c:v>
                </c:pt>
                <c:pt idx="4">
                  <c:v>0</c:v>
                </c:pt>
                <c:pt idx="5">
                  <c:v>0.74165210367888201</c:v>
                </c:pt>
                <c:pt idx="6">
                  <c:v>0.76799108162891672</c:v>
                </c:pt>
                <c:pt idx="7">
                  <c:v>0</c:v>
                </c:pt>
                <c:pt idx="8">
                  <c:v>0</c:v>
                </c:pt>
              </c:numCache>
            </c:numRef>
          </c:val>
        </c:ser>
        <c:ser>
          <c:idx val="5"/>
          <c:order val="5"/>
          <c:tx>
            <c:v>gamma=0.9</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Sheet2!$B$61:$J$61</c:f>
              <c:numCache>
                <c:formatCode>General</c:formatCode>
                <c:ptCount val="9"/>
                <c:pt idx="0">
                  <c:v>0.72444279579403914</c:v>
                </c:pt>
                <c:pt idx="1">
                  <c:v>0.79289391094008854</c:v>
                </c:pt>
                <c:pt idx="2">
                  <c:v>0.79609758202557512</c:v>
                </c:pt>
                <c:pt idx="3">
                  <c:v>0.81013098160175501</c:v>
                </c:pt>
                <c:pt idx="4">
                  <c:v>0</c:v>
                </c:pt>
                <c:pt idx="5">
                  <c:v>0.79044500523670302</c:v>
                </c:pt>
                <c:pt idx="6">
                  <c:v>0.81851681068345061</c:v>
                </c:pt>
                <c:pt idx="7">
                  <c:v>0</c:v>
                </c:pt>
                <c:pt idx="8">
                  <c:v>0</c:v>
                </c:pt>
              </c:numCache>
            </c:numRef>
          </c:val>
        </c:ser>
        <c:axId val="295109376"/>
        <c:axId val="295200256"/>
      </c:barChart>
      <c:catAx>
        <c:axId val="295109376"/>
        <c:scaling>
          <c:orientation val="minMax"/>
        </c:scaling>
        <c:axPos val="b"/>
        <c:numFmt formatCode="General" sourceLinked="1"/>
        <c:tickLblPos val="nextTo"/>
        <c:crossAx val="295200256"/>
        <c:crosses val="autoZero"/>
        <c:auto val="1"/>
        <c:lblAlgn val="ctr"/>
        <c:lblOffset val="100"/>
      </c:catAx>
      <c:valAx>
        <c:axId val="295200256"/>
        <c:scaling>
          <c:orientation val="minMax"/>
        </c:scaling>
        <c:axPos val="l"/>
        <c:majorGridlines/>
        <c:numFmt formatCode="General" sourceLinked="1"/>
        <c:tickLblPos val="nextTo"/>
        <c:crossAx val="295109376"/>
        <c:crosses val="autoZero"/>
        <c:crossBetween val="between"/>
      </c:valAx>
    </c:plotArea>
    <c:legend>
      <c:legendPos val="r"/>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en-US"/>
  <c:chart>
    <c:plotArea>
      <c:layout/>
      <c:barChart>
        <c:barDir val="col"/>
        <c:grouping val="clustered"/>
        <c:ser>
          <c:idx val="0"/>
          <c:order val="0"/>
          <c:tx>
            <c:v>Left side of metric</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Sheet2!$B$62:$J$62</c:f>
              <c:numCache>
                <c:formatCode>General</c:formatCode>
                <c:ptCount val="9"/>
                <c:pt idx="1">
                  <c:v>0.99457359404072887</c:v>
                </c:pt>
                <c:pt idx="2" formatCode="0.0000">
                  <c:v>0.99670000000000003</c:v>
                </c:pt>
                <c:pt idx="3" formatCode="0.0000">
                  <c:v>0.99504746182418491</c:v>
                </c:pt>
                <c:pt idx="4" formatCode="0.0000">
                  <c:v>1</c:v>
                </c:pt>
                <c:pt idx="5" formatCode="0.0000">
                  <c:v>1.0073890325589261</c:v>
                </c:pt>
                <c:pt idx="8" formatCode="0.0000">
                  <c:v>1.0011759260914561</c:v>
                </c:pt>
              </c:numCache>
            </c:numRef>
          </c:val>
        </c:ser>
        <c:ser>
          <c:idx val="1"/>
          <c:order val="1"/>
          <c:tx>
            <c:v>gamma1=0.5</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Sheet2!$B$63:$J$63</c:f>
              <c:numCache>
                <c:formatCode>General</c:formatCode>
                <c:ptCount val="9"/>
                <c:pt idx="0">
                  <c:v>0</c:v>
                </c:pt>
                <c:pt idx="1">
                  <c:v>0.59218507436522161</c:v>
                </c:pt>
                <c:pt idx="2">
                  <c:v>0.5900824317362181</c:v>
                </c:pt>
                <c:pt idx="3">
                  <c:v>0.6032466639152565</c:v>
                </c:pt>
                <c:pt idx="4">
                  <c:v>0.49067930486629258</c:v>
                </c:pt>
                <c:pt idx="5">
                  <c:v>0.60124040079455343</c:v>
                </c:pt>
                <c:pt idx="6">
                  <c:v>0</c:v>
                </c:pt>
                <c:pt idx="7">
                  <c:v>0</c:v>
                </c:pt>
                <c:pt idx="8">
                  <c:v>0.51733299167913094</c:v>
                </c:pt>
              </c:numCache>
            </c:numRef>
          </c:val>
        </c:ser>
        <c:ser>
          <c:idx val="2"/>
          <c:order val="2"/>
          <c:tx>
            <c:v>gamma1=0.6</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Sheet2!$B$64:$J$64</c:f>
              <c:numCache>
                <c:formatCode>General</c:formatCode>
                <c:ptCount val="9"/>
                <c:pt idx="0">
                  <c:v>0</c:v>
                </c:pt>
                <c:pt idx="1">
                  <c:v>0.66620820866087471</c:v>
                </c:pt>
                <c:pt idx="2">
                  <c:v>0.6638427357032457</c:v>
                </c:pt>
                <c:pt idx="3">
                  <c:v>0.67865249690466378</c:v>
                </c:pt>
                <c:pt idx="4">
                  <c:v>0.55201421797457928</c:v>
                </c:pt>
                <c:pt idx="5">
                  <c:v>0.67639545089387276</c:v>
                </c:pt>
                <c:pt idx="6">
                  <c:v>0</c:v>
                </c:pt>
                <c:pt idx="7">
                  <c:v>0</c:v>
                </c:pt>
                <c:pt idx="8">
                  <c:v>0.58199961563902258</c:v>
                </c:pt>
              </c:numCache>
            </c:numRef>
          </c:val>
        </c:ser>
        <c:ser>
          <c:idx val="3"/>
          <c:order val="3"/>
          <c:tx>
            <c:v>gamma=0.7</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Sheet2!$B$65:$J$65</c:f>
              <c:numCache>
                <c:formatCode>General</c:formatCode>
                <c:ptCount val="9"/>
                <c:pt idx="0">
                  <c:v>0</c:v>
                </c:pt>
                <c:pt idx="1">
                  <c:v>0.73152273892174446</c:v>
                </c:pt>
                <c:pt idx="2">
                  <c:v>0.72892535685062265</c:v>
                </c:pt>
                <c:pt idx="3">
                  <c:v>0.74518705542472874</c:v>
                </c:pt>
                <c:pt idx="4">
                  <c:v>0.60613325895247905</c:v>
                </c:pt>
                <c:pt idx="5">
                  <c:v>0.7427087303932719</c:v>
                </c:pt>
                <c:pt idx="6">
                  <c:v>0</c:v>
                </c:pt>
                <c:pt idx="7">
                  <c:v>0</c:v>
                </c:pt>
                <c:pt idx="8">
                  <c:v>0.63905840148598569</c:v>
                </c:pt>
              </c:numCache>
            </c:numRef>
          </c:val>
        </c:ser>
        <c:ser>
          <c:idx val="4"/>
          <c:order val="4"/>
          <c:tx>
            <c:v>gamma=0.8</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Sheet2!$B$66:$J$66</c:f>
              <c:numCache>
                <c:formatCode>General</c:formatCode>
                <c:ptCount val="9"/>
                <c:pt idx="0">
                  <c:v>0</c:v>
                </c:pt>
                <c:pt idx="1">
                  <c:v>0.78958009915362892</c:v>
                </c:pt>
                <c:pt idx="2">
                  <c:v>0.7867765756482914</c:v>
                </c:pt>
                <c:pt idx="3">
                  <c:v>0.80432888522034229</c:v>
                </c:pt>
                <c:pt idx="4">
                  <c:v>0.65423907315505692</c:v>
                </c:pt>
                <c:pt idx="5">
                  <c:v>0.80165386772607128</c:v>
                </c:pt>
                <c:pt idx="6">
                  <c:v>0</c:v>
                </c:pt>
                <c:pt idx="7">
                  <c:v>0</c:v>
                </c:pt>
                <c:pt idx="8">
                  <c:v>0.68977732223884169</c:v>
                </c:pt>
              </c:numCache>
            </c:numRef>
          </c:val>
        </c:ser>
        <c:ser>
          <c:idx val="5"/>
          <c:order val="5"/>
          <c:tx>
            <c:v>gamma=0.9</c:v>
          </c:tx>
          <c:cat>
            <c:strRef>
              <c:f>Sheet2!$B$55:$J$55</c:f>
              <c:strCache>
                <c:ptCount val="9"/>
                <c:pt idx="0">
                  <c:v>Samsung 
R4-114875</c:v>
                </c:pt>
                <c:pt idx="1">
                  <c:v>Huawei, HiSilicon 
R4-114888</c:v>
                </c:pt>
                <c:pt idx="2">
                  <c:v>Intel Corporation
R4-115082</c:v>
                </c:pt>
                <c:pt idx="3">
                  <c:v>ST-Ericsson /Ericsson
R4-115122</c:v>
                </c:pt>
                <c:pt idx="4">
                  <c:v>NEC
R4-115132</c:v>
                </c:pt>
                <c:pt idx="5">
                  <c:v>Motorola Mobility
R4-115154</c:v>
                </c:pt>
                <c:pt idx="6">
                  <c:v>CATT
R4-115190</c:v>
                </c:pt>
                <c:pt idx="7">
                  <c:v>Fujitsu
R4-115251</c:v>
                </c:pt>
                <c:pt idx="8">
                  <c:v>Renesas Mobile Europe Ltd
R4-115312</c:v>
                </c:pt>
              </c:strCache>
            </c:strRef>
          </c:cat>
          <c:val>
            <c:numRef>
              <c:f>Sheet2!$B$67:$J$67</c:f>
              <c:numCache>
                <c:formatCode>General</c:formatCode>
                <c:ptCount val="9"/>
                <c:pt idx="0">
                  <c:v>0</c:v>
                </c:pt>
                <c:pt idx="1">
                  <c:v>0.8415261583084731</c:v>
                </c:pt>
                <c:pt idx="2">
                  <c:v>0.83853819246725769</c:v>
                </c:pt>
                <c:pt idx="3">
                  <c:v>0.85724525924799644</c:v>
                </c:pt>
                <c:pt idx="4">
                  <c:v>0.69728111744157384</c:v>
                </c:pt>
                <c:pt idx="5">
                  <c:v>0.85439425376068123</c:v>
                </c:pt>
                <c:pt idx="6">
                  <c:v>0</c:v>
                </c:pt>
                <c:pt idx="7">
                  <c:v>0</c:v>
                </c:pt>
                <c:pt idx="8">
                  <c:v>0.73515740922823891</c:v>
                </c:pt>
              </c:numCache>
            </c:numRef>
          </c:val>
        </c:ser>
        <c:axId val="152769280"/>
        <c:axId val="152770816"/>
      </c:barChart>
      <c:catAx>
        <c:axId val="152769280"/>
        <c:scaling>
          <c:orientation val="minMax"/>
        </c:scaling>
        <c:axPos val="b"/>
        <c:numFmt formatCode="General" sourceLinked="1"/>
        <c:tickLblPos val="nextTo"/>
        <c:crossAx val="152770816"/>
        <c:crosses val="autoZero"/>
        <c:auto val="1"/>
        <c:lblAlgn val="ctr"/>
        <c:lblOffset val="100"/>
      </c:catAx>
      <c:valAx>
        <c:axId val="152770816"/>
        <c:scaling>
          <c:orientation val="minMax"/>
        </c:scaling>
        <c:axPos val="l"/>
        <c:majorGridlines/>
        <c:numFmt formatCode="General" sourceLinked="1"/>
        <c:tickLblPos val="nextTo"/>
        <c:crossAx val="152769280"/>
        <c:crosses val="autoZero"/>
        <c:crossBetween val="between"/>
      </c:valAx>
    </c:plotArea>
    <c:legend>
      <c:legendPos val="r"/>
    </c:legend>
    <c:plotVisOnly val="1"/>
    <c:dispBlanksAs val="gap"/>
  </c:chart>
  <c:externalData r:id="rId1"/>
</c:chartSpace>
</file>

<file path=word/drawings/drawing1.xml><?xml version="1.0" encoding="utf-8"?>
<c:userShapes xmlns:c="http://schemas.openxmlformats.org/drawingml/2006/chart">
  <cdr:relSizeAnchor xmlns:cdr="http://schemas.openxmlformats.org/drawingml/2006/chartDrawing">
    <cdr:from>
      <cdr:x>0.04347</cdr:x>
      <cdr:y>0.28941</cdr:y>
    </cdr:from>
    <cdr:to>
      <cdr:x>0.81511</cdr:x>
      <cdr:y>0.29537</cdr:y>
    </cdr:to>
    <cdr:sp macro="" textlink="">
      <cdr:nvSpPr>
        <cdr:cNvPr id="3" name="Straight Connector 2"/>
        <cdr:cNvSpPr/>
      </cdr:nvSpPr>
      <cdr:spPr>
        <a:xfrm xmlns:a="http://schemas.openxmlformats.org/drawingml/2006/main" flipV="1">
          <a:off x="249196" y="699374"/>
          <a:ext cx="4423152" cy="14403"/>
        </a:xfrm>
        <a:prstGeom xmlns:a="http://schemas.openxmlformats.org/drawingml/2006/main" prst="line">
          <a:avLst/>
        </a:prstGeom>
        <a:ln xmlns:a="http://schemas.openxmlformats.org/drawingml/2006/main" w="28575">
          <a:solidFill>
            <a:srgbClr val="92D05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drawings/drawing2.xml><?xml version="1.0" encoding="utf-8"?>
<c:userShapes xmlns:c="http://schemas.openxmlformats.org/drawingml/2006/chart">
  <cdr:relSizeAnchor xmlns:cdr="http://schemas.openxmlformats.org/drawingml/2006/chartDrawing">
    <cdr:from>
      <cdr:x>0.05742</cdr:x>
      <cdr:y>0.29613</cdr:y>
    </cdr:from>
    <cdr:to>
      <cdr:x>0.668</cdr:x>
      <cdr:y>0.30102</cdr:y>
    </cdr:to>
    <cdr:sp macro="" textlink="">
      <cdr:nvSpPr>
        <cdr:cNvPr id="3" name="Straight Connector 2"/>
        <cdr:cNvSpPr/>
      </cdr:nvSpPr>
      <cdr:spPr>
        <a:xfrm xmlns:a="http://schemas.openxmlformats.org/drawingml/2006/main" flipV="1">
          <a:off x="329151" y="838200"/>
          <a:ext cx="3499900" cy="13864"/>
        </a:xfrm>
        <a:prstGeom xmlns:a="http://schemas.openxmlformats.org/drawingml/2006/main" prst="line">
          <a:avLst/>
        </a:prstGeom>
        <a:ln xmlns:a="http://schemas.openxmlformats.org/drawingml/2006/main" w="28575">
          <a:solidFill>
            <a:schemeClr val="tx2">
              <a:lumMod val="50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drawings/drawing3.xml><?xml version="1.0" encoding="utf-8"?>
<c:userShapes xmlns:c="http://schemas.openxmlformats.org/drawingml/2006/chart">
  <cdr:relSizeAnchor xmlns:cdr="http://schemas.openxmlformats.org/drawingml/2006/chartDrawing">
    <cdr:from>
      <cdr:x>0.06311</cdr:x>
      <cdr:y>0.34926</cdr:y>
    </cdr:from>
    <cdr:to>
      <cdr:x>0.79775</cdr:x>
      <cdr:y>0.35569</cdr:y>
    </cdr:to>
    <cdr:sp macro="" textlink="">
      <cdr:nvSpPr>
        <cdr:cNvPr id="3" name="Straight Connector 2"/>
        <cdr:cNvSpPr/>
      </cdr:nvSpPr>
      <cdr:spPr>
        <a:xfrm xmlns:a="http://schemas.openxmlformats.org/drawingml/2006/main" flipV="1">
          <a:off x="361765" y="869675"/>
          <a:ext cx="4211063" cy="16011"/>
        </a:xfrm>
        <a:prstGeom xmlns:a="http://schemas.openxmlformats.org/drawingml/2006/main" prst="line">
          <a:avLst/>
        </a:prstGeom>
        <a:ln xmlns:a="http://schemas.openxmlformats.org/drawingml/2006/main" w="28575">
          <a:solidFill>
            <a:srgbClr val="92D05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2252</TotalTime>
  <Pages>8</Pages>
  <Words>777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STMicroelectronics</Company>
  <LinksUpToDate>false</LinksUpToDate>
  <CharactersWithSpaces>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frq06682</dc:creator>
  <cp:keywords/>
  <dc:description/>
  <cp:lastModifiedBy>frq06682</cp:lastModifiedBy>
  <cp:revision>19</cp:revision>
  <dcterms:created xsi:type="dcterms:W3CDTF">2011-10-20T15:20:00Z</dcterms:created>
  <dcterms:modified xsi:type="dcterms:W3CDTF">2011-11-06T13:42:00Z</dcterms:modified>
</cp:coreProperties>
</file>