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C6D3B" w14:textId="176FDDE9" w:rsidR="00841BCD" w:rsidRPr="00B72F7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AE3586">
        <w:rPr>
          <w:rFonts w:ascii="Arial" w:eastAsia="SimSun" w:hAnsi="Arial" w:cs="Times New Roman"/>
          <w:b/>
          <w:sz w:val="24"/>
          <w:szCs w:val="20"/>
        </w:rPr>
        <w:t>7</w:t>
      </w:r>
      <w:r w:rsidRPr="008F786B">
        <w:rPr>
          <w:rFonts w:ascii="Arial" w:eastAsia="SimSun" w:hAnsi="Arial" w:cs="Times New Roman"/>
          <w:b/>
          <w:bCs/>
          <w:sz w:val="24"/>
          <w:szCs w:val="20"/>
        </w:rPr>
        <w:tab/>
      </w:r>
      <w:r w:rsidR="00B72F7D" w:rsidRPr="00B72F7D">
        <w:rPr>
          <w:rFonts w:ascii="Arial" w:eastAsia="SimSun" w:hAnsi="Arial" w:cs="Times New Roman"/>
          <w:b/>
          <w:bCs/>
          <w:sz w:val="24"/>
          <w:szCs w:val="20"/>
          <w:lang w:eastAsia="ja-JP"/>
        </w:rPr>
        <w:t>R4-2521796</w:t>
      </w:r>
    </w:p>
    <w:bookmarkEnd w:id="0"/>
    <w:bookmarkEnd w:id="1"/>
    <w:p w14:paraId="4E4747E0" w14:textId="77777777" w:rsidR="00B26A8A" w:rsidRPr="00B26A8A" w:rsidRDefault="00AE3586"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Dallas</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US</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17</w:t>
      </w:r>
      <w:r w:rsidR="00225F78" w:rsidRPr="00225F78">
        <w:rPr>
          <w:rFonts w:ascii="Arial" w:eastAsia="SimSun" w:hAnsi="Arial" w:cs="Times New Roman"/>
          <w:b/>
          <w:sz w:val="24"/>
          <w:szCs w:val="20"/>
        </w:rPr>
        <w:t xml:space="preserve">th – </w:t>
      </w:r>
      <w:r>
        <w:rPr>
          <w:rFonts w:ascii="Arial" w:eastAsia="SimSun" w:hAnsi="Arial" w:cs="Times New Roman"/>
          <w:b/>
          <w:sz w:val="24"/>
          <w:szCs w:val="20"/>
        </w:rPr>
        <w:t>21st</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 xml:space="preserve">November </w:t>
      </w:r>
      <w:r w:rsidR="00225F78" w:rsidRPr="00225F78">
        <w:rPr>
          <w:rFonts w:ascii="Arial" w:eastAsia="SimSun" w:hAnsi="Arial" w:cs="Times New Roman"/>
          <w:b/>
          <w:sz w:val="24"/>
          <w:szCs w:val="20"/>
        </w:rPr>
        <w:t>2025</w:t>
      </w:r>
    </w:p>
    <w:p w14:paraId="1F9D353E"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D104F55"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25C0587B" w14:textId="4D65F5E2"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D4506A">
        <w:rPr>
          <w:rFonts w:ascii="Arial" w:eastAsia="Calibri" w:hAnsi="Arial" w:cs="Arial"/>
          <w:b/>
          <w:bCs/>
          <w:sz w:val="24"/>
        </w:rPr>
        <w:t>Discussion on Rel-19 LP-WUS Performance Requirements</w:t>
      </w:r>
    </w:p>
    <w:p w14:paraId="5F0F3009" w14:textId="428D3A01"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1B2AEF" w:rsidRPr="001B2AEF">
        <w:rPr>
          <w:rFonts w:ascii="Arial" w:eastAsia="MS Mincho" w:hAnsi="Arial" w:cs="Arial"/>
          <w:b/>
          <w:bCs/>
          <w:sz w:val="24"/>
          <w:szCs w:val="20"/>
        </w:rPr>
        <w:t>4.22.3</w:t>
      </w:r>
    </w:p>
    <w:p w14:paraId="64B2C2CD"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8E82424"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CBF419C" w14:textId="2DED0392" w:rsidR="007E4668" w:rsidRDefault="007E4668" w:rsidP="007E4668">
      <w:r w:rsidRPr="008F786B">
        <w:t xml:space="preserve">In the last RAN4 meeting, the following agreements were made </w:t>
      </w:r>
    </w:p>
    <w:tbl>
      <w:tblPr>
        <w:tblStyle w:val="TableGrid"/>
        <w:tblW w:w="0" w:type="auto"/>
        <w:tblLook w:val="04A0" w:firstRow="1" w:lastRow="0" w:firstColumn="1" w:lastColumn="0" w:noHBand="0" w:noVBand="1"/>
      </w:tblPr>
      <w:tblGrid>
        <w:gridCol w:w="9067"/>
      </w:tblGrid>
      <w:tr w:rsidR="00EB1ECF" w:rsidRPr="0031536A" w14:paraId="6AC6044A" w14:textId="77777777" w:rsidTr="001B74C6">
        <w:tc>
          <w:tcPr>
            <w:tcW w:w="9067" w:type="dxa"/>
          </w:tcPr>
          <w:p w14:paraId="1F628F9A" w14:textId="77777777" w:rsidR="00EB1ECF" w:rsidRPr="00EB1ECF" w:rsidRDefault="00EB1ECF" w:rsidP="00EB1ECF">
            <w:pPr>
              <w:rPr>
                <w:b/>
                <w:bCs/>
                <w:u w:val="single"/>
                <w:lang w:val="x-none"/>
              </w:rPr>
            </w:pPr>
            <w:r w:rsidRPr="00EB1ECF">
              <w:rPr>
                <w:b/>
                <w:bCs/>
                <w:u w:val="single"/>
              </w:rPr>
              <w:t xml:space="preserve">Issue 1-1-3 LP-WUR operation with RedCap </w:t>
            </w:r>
          </w:p>
          <w:p w14:paraId="232BC909" w14:textId="6EF97655" w:rsidR="00EB1ECF" w:rsidRPr="00EB1ECF" w:rsidRDefault="00EB1ECF" w:rsidP="00EB1ECF">
            <w:pPr>
              <w:rPr>
                <w:lang w:val="en-US"/>
              </w:rPr>
            </w:pPr>
            <w:r w:rsidRPr="00EB1ECF">
              <w:rPr>
                <w:lang w:val="en-US"/>
              </w:rPr>
              <w:t xml:space="preserve">&lt;Agreement&gt; </w:t>
            </w:r>
          </w:p>
          <w:p w14:paraId="61CC19B0" w14:textId="77777777" w:rsidR="00EB1ECF" w:rsidRPr="00EB1ECF" w:rsidRDefault="00EB1ECF" w:rsidP="00EB1ECF">
            <w:r w:rsidRPr="00EB1ECF">
              <w:t xml:space="preserve">The MR wake up delay of the 2Rx RedCap UE applies for 1Rx RedCap UE </w:t>
            </w:r>
          </w:p>
          <w:p w14:paraId="6E025059" w14:textId="77777777" w:rsidR="00EB1ECF" w:rsidRPr="00EB1ECF" w:rsidRDefault="00EB1ECF" w:rsidP="00EB1ECF">
            <w:r w:rsidRPr="00EB1ECF">
              <w:t> </w:t>
            </w:r>
          </w:p>
          <w:p w14:paraId="69D1573F" w14:textId="77777777" w:rsidR="00EB1ECF" w:rsidRPr="00EB1ECF" w:rsidRDefault="00EB1ECF" w:rsidP="00EB1ECF">
            <w:pPr>
              <w:rPr>
                <w:b/>
                <w:bCs/>
                <w:u w:val="single"/>
              </w:rPr>
            </w:pPr>
            <w:r w:rsidRPr="00EB1ECF">
              <w:rPr>
                <w:b/>
                <w:bCs/>
                <w:u w:val="single"/>
              </w:rPr>
              <w:t>Issue 1-1-9: On the serving cell and interference cell LP-SS with opposite sequences for the case when {M, L}={1,6}</w:t>
            </w:r>
          </w:p>
          <w:p w14:paraId="1F0D01E7" w14:textId="50B67927" w:rsidR="00EB1ECF" w:rsidRPr="00EB1ECF" w:rsidRDefault="00EB1ECF" w:rsidP="00EB1ECF">
            <w:pPr>
              <w:rPr>
                <w:lang w:val="en-US"/>
              </w:rPr>
            </w:pPr>
            <w:r w:rsidRPr="00EB1ECF">
              <w:rPr>
                <w:lang w:val="en-US"/>
              </w:rPr>
              <w:t xml:space="preserve">&lt;Agreement&gt; </w:t>
            </w:r>
          </w:p>
          <w:p w14:paraId="510EB19D" w14:textId="77777777" w:rsidR="00EB1ECF" w:rsidRPr="00EB1ECF" w:rsidRDefault="00EB1ECF" w:rsidP="00EB1ECF">
            <w:r w:rsidRPr="00EB1ECF">
              <w:t>Capture the following note in LP-WUR core requirements:</w:t>
            </w:r>
          </w:p>
          <w:p w14:paraId="3BC0C4CE" w14:textId="77777777" w:rsidR="00EB1ECF" w:rsidRPr="005561DF" w:rsidRDefault="00EB1ECF" w:rsidP="00EB1ECF">
            <w:r w:rsidRPr="00EB1ECF">
              <w:t>Note: Higher margin may be</w:t>
            </w:r>
            <w:r w:rsidRPr="005561DF">
              <w:t xml:space="preserve"> required for UE to consider an entry or exit criteria fulfilled when LR related thresholds are configured, if the serving cell and neighbour cell are using opposite binary sequences for LP-SS, and LP-SS are transmitted on the same time and frequency resource in this two cells.</w:t>
            </w:r>
          </w:p>
          <w:p w14:paraId="6D4AD478" w14:textId="77777777" w:rsidR="00EB1ECF" w:rsidRPr="0031536A" w:rsidRDefault="00EB1ECF" w:rsidP="001B74C6">
            <w:pPr>
              <w:rPr>
                <w:rFonts w:eastAsiaTheme="minorEastAsia"/>
                <w:lang w:val="en-US"/>
              </w:rPr>
            </w:pPr>
          </w:p>
        </w:tc>
      </w:tr>
    </w:tbl>
    <w:p w14:paraId="78AEC2BD" w14:textId="77777777" w:rsidR="00EB1ECF" w:rsidRPr="008F786B" w:rsidRDefault="00EB1ECF" w:rsidP="007E4668"/>
    <w:p w14:paraId="72690BAA" w14:textId="0B541E15" w:rsidR="0014176C" w:rsidRDefault="0014176C" w:rsidP="0014176C">
      <w:pPr>
        <w:pStyle w:val="RAN4H1"/>
      </w:pPr>
      <w:r w:rsidRPr="008F786B">
        <w:t>Discussion</w:t>
      </w:r>
    </w:p>
    <w:p w14:paraId="42F16D59" w14:textId="38E40E58" w:rsidR="0014176C" w:rsidRDefault="0014176C" w:rsidP="0014176C">
      <w:pPr>
        <w:pStyle w:val="RAN4H2"/>
      </w:pPr>
      <w:r>
        <w:t>RAN2</w:t>
      </w:r>
      <w:r w:rsidR="00C862C1">
        <w:t xml:space="preserve"> MR relaxation </w:t>
      </w:r>
      <w:r w:rsidR="00EB1ECF">
        <w:t xml:space="preserve">exit </w:t>
      </w:r>
    </w:p>
    <w:p w14:paraId="42FCBB16" w14:textId="77777777" w:rsidR="0014176C" w:rsidRDefault="0014176C" w:rsidP="0014176C">
      <w:r>
        <w:t xml:space="preserve">In RAN2#131 the following definition for entry was agreed: </w:t>
      </w:r>
    </w:p>
    <w:tbl>
      <w:tblPr>
        <w:tblStyle w:val="TableGrid"/>
        <w:tblW w:w="0" w:type="auto"/>
        <w:tblLook w:val="04A0" w:firstRow="1" w:lastRow="0" w:firstColumn="1" w:lastColumn="0" w:noHBand="0" w:noVBand="1"/>
      </w:tblPr>
      <w:tblGrid>
        <w:gridCol w:w="9617"/>
      </w:tblGrid>
      <w:tr w:rsidR="0014176C" w14:paraId="3033CA38" w14:textId="77777777" w:rsidTr="001B74C6">
        <w:tc>
          <w:tcPr>
            <w:tcW w:w="9617" w:type="dxa"/>
          </w:tcPr>
          <w:p w14:paraId="74A206F7" w14:textId="77777777" w:rsidR="0014176C" w:rsidRPr="00157C79" w:rsidRDefault="0014176C" w:rsidP="001B74C6">
            <w:pPr>
              <w:rPr>
                <w:b/>
              </w:rPr>
            </w:pPr>
            <w:r w:rsidRPr="00157C79">
              <w:rPr>
                <w:b/>
              </w:rPr>
              <w:t>&lt;RAN2 agreement&gt;:</w:t>
            </w:r>
          </w:p>
          <w:p w14:paraId="06F238FB" w14:textId="77777777" w:rsidR="0014176C" w:rsidRPr="00157C79" w:rsidRDefault="0014176C" w:rsidP="001B74C6">
            <w:pPr>
              <w:rPr>
                <w:b/>
              </w:rPr>
            </w:pPr>
          </w:p>
          <w:p w14:paraId="1580A36B" w14:textId="77777777" w:rsidR="0014176C" w:rsidRDefault="0014176C" w:rsidP="001B74C6">
            <w:pPr>
              <w:rPr>
                <w:b/>
              </w:rPr>
            </w:pPr>
            <w:r w:rsidRPr="00157C79">
              <w:rPr>
                <w:rFonts w:hint="eastAsia"/>
                <w:b/>
              </w:rPr>
              <w:t>The</w:t>
            </w:r>
            <w:r w:rsidRPr="00157C79">
              <w:rPr>
                <w:b/>
              </w:rPr>
              <w:t xml:space="preserve"> exit condition for RRM relaxation</w:t>
            </w:r>
            <w:r w:rsidRPr="00157C79">
              <w:rPr>
                <w:rFonts w:hint="eastAsia"/>
                <w:b/>
              </w:rPr>
              <w:t xml:space="preserve"> is defined as </w:t>
            </w:r>
            <w:r w:rsidRPr="00157C79">
              <w:rPr>
                <w:b/>
              </w:rPr>
              <w:t>‘</w:t>
            </w:r>
            <w:r w:rsidRPr="00157C79">
              <w:rPr>
                <w:rFonts w:hint="eastAsia"/>
                <w:b/>
              </w:rPr>
              <w:t xml:space="preserve">not </w:t>
            </w:r>
            <w:r w:rsidRPr="00157C79">
              <w:rPr>
                <w:b/>
              </w:rPr>
              <w:t>fulfilling</w:t>
            </w:r>
            <w:r w:rsidRPr="00157C79">
              <w:rPr>
                <w:rFonts w:hint="eastAsia"/>
                <w:b/>
              </w:rPr>
              <w:t xml:space="preserve"> the entry </w:t>
            </w:r>
            <w:r w:rsidRPr="00157C79">
              <w:rPr>
                <w:b/>
              </w:rPr>
              <w:t>condition’.</w:t>
            </w:r>
          </w:p>
          <w:p w14:paraId="0309F620" w14:textId="77777777" w:rsidR="0014176C" w:rsidRPr="006F3C30" w:rsidRDefault="0014176C" w:rsidP="001B74C6">
            <w:pPr>
              <w:rPr>
                <w:b/>
              </w:rPr>
            </w:pPr>
          </w:p>
        </w:tc>
      </w:tr>
    </w:tbl>
    <w:p w14:paraId="4DE1A0B6" w14:textId="77777777" w:rsidR="0014176C" w:rsidRDefault="0014176C" w:rsidP="0014176C"/>
    <w:p w14:paraId="63DF32D8" w14:textId="77777777" w:rsidR="0014176C" w:rsidRDefault="0014176C" w:rsidP="0014176C">
      <w:r>
        <w:t xml:space="preserve">The above means that there is no configuration for relaxation exit threshold from the network side.  </w:t>
      </w:r>
    </w:p>
    <w:p w14:paraId="04AE6250" w14:textId="77777777" w:rsidR="0014176C" w:rsidRDefault="0014176C" w:rsidP="0014176C">
      <w:pPr>
        <w:jc w:val="center"/>
      </w:pPr>
      <w:r w:rsidRPr="00297260">
        <w:rPr>
          <w:noProof/>
        </w:rPr>
        <w:drawing>
          <wp:inline distT="0" distB="0" distL="0" distR="0" wp14:anchorId="14D07CE3" wp14:editId="1D53BA94">
            <wp:extent cx="1710612" cy="1746250"/>
            <wp:effectExtent l="0" t="0" r="4445" b="6350"/>
            <wp:docPr id="1003994935" name="Picture 1" descr="A blue rectangular object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94935" name="Picture 1" descr="A blue rectangular object with white text&#10;&#10;AI-generated content may be incorrect."/>
                    <pic:cNvPicPr/>
                  </pic:nvPicPr>
                  <pic:blipFill>
                    <a:blip r:embed="rId11"/>
                    <a:stretch>
                      <a:fillRect/>
                    </a:stretch>
                  </pic:blipFill>
                  <pic:spPr>
                    <a:xfrm>
                      <a:off x="0" y="0"/>
                      <a:ext cx="1714957" cy="1750686"/>
                    </a:xfrm>
                    <a:prstGeom prst="rect">
                      <a:avLst/>
                    </a:prstGeom>
                  </pic:spPr>
                </pic:pic>
              </a:graphicData>
            </a:graphic>
          </wp:inline>
        </w:drawing>
      </w:r>
    </w:p>
    <w:p w14:paraId="30FE425F" w14:textId="77777777" w:rsidR="0014176C" w:rsidRDefault="0014176C" w:rsidP="0014176C">
      <w:pPr>
        <w:pStyle w:val="Caption"/>
      </w:pPr>
      <w:r>
        <w:t xml:space="preserve">Figure </w:t>
      </w:r>
      <w:r>
        <w:fldChar w:fldCharType="begin"/>
      </w:r>
      <w:r>
        <w:instrText xml:space="preserve"> SEQ Figure \* ARABIC </w:instrText>
      </w:r>
      <w:r>
        <w:fldChar w:fldCharType="separate"/>
      </w:r>
      <w:r>
        <w:rPr>
          <w:noProof/>
        </w:rPr>
        <w:t>1</w:t>
      </w:r>
      <w:r>
        <w:fldChar w:fldCharType="end"/>
      </w:r>
      <w:r>
        <w:t>: Only entry threshold is configured based on RAN2 agreement for Relaxation.</w:t>
      </w:r>
    </w:p>
    <w:p w14:paraId="747EA0CE" w14:textId="77777777" w:rsidR="00932873" w:rsidRDefault="0014176C" w:rsidP="0014176C">
      <w:r>
        <w:t>The above only applies for relaxation scenario, for MR offloading RAN2 has both entry and exit thresholds.</w:t>
      </w:r>
    </w:p>
    <w:p w14:paraId="25450FE7" w14:textId="475FCEEA" w:rsidR="0014176C" w:rsidRDefault="00932873" w:rsidP="0014176C">
      <w:r>
        <w:lastRenderedPageBreak/>
        <w:t xml:space="preserve">Our understanding is that the </w:t>
      </w:r>
      <w:r w:rsidR="0014176C">
        <w:t xml:space="preserve">RAN4 has had the working assumption that there are both entry and exit thresholds configured for MR relaxation. Hence, the RAN4 has specified the following: </w:t>
      </w:r>
    </w:p>
    <w:tbl>
      <w:tblPr>
        <w:tblStyle w:val="TableGrid"/>
        <w:tblW w:w="0" w:type="auto"/>
        <w:tblLook w:val="04A0" w:firstRow="1" w:lastRow="0" w:firstColumn="1" w:lastColumn="0" w:noHBand="0" w:noVBand="1"/>
      </w:tblPr>
      <w:tblGrid>
        <w:gridCol w:w="9617"/>
      </w:tblGrid>
      <w:tr w:rsidR="0014176C" w14:paraId="23B0FC25" w14:textId="77777777" w:rsidTr="001B74C6">
        <w:tc>
          <w:tcPr>
            <w:tcW w:w="9617" w:type="dxa"/>
          </w:tcPr>
          <w:p w14:paraId="657FDF24" w14:textId="77777777" w:rsidR="0014176C" w:rsidRPr="00885F2D" w:rsidRDefault="0014176C" w:rsidP="001B74C6">
            <w:r w:rsidRPr="00885F2D">
              <w:t xml:space="preserve">The UE shall evaluate and consider </w:t>
            </w:r>
            <w:r>
              <w:t xml:space="preserve">an </w:t>
            </w:r>
            <w:r w:rsidRPr="001A4402">
              <w:rPr>
                <w:i/>
                <w:iCs/>
                <w:highlight w:val="yellow"/>
              </w:rPr>
              <w:t>entry</w:t>
            </w:r>
            <w:r w:rsidRPr="001A4402">
              <w:rPr>
                <w:highlight w:val="yellow"/>
              </w:rPr>
              <w:t xml:space="preserve"> or </w:t>
            </w:r>
            <w:r w:rsidRPr="001A4402">
              <w:rPr>
                <w:i/>
                <w:iCs/>
                <w:highlight w:val="yellow"/>
              </w:rPr>
              <w:t>exit</w:t>
            </w:r>
            <w:r w:rsidRPr="001A4402">
              <w:rPr>
                <w:highlight w:val="yellow"/>
              </w:rPr>
              <w:t xml:space="preserve"> criteria</w:t>
            </w:r>
            <w:r w:rsidRPr="00885F2D">
              <w:t xml:space="preserve"> </w:t>
            </w:r>
            <w:r>
              <w:t xml:space="preserve">is </w:t>
            </w:r>
            <w:r w:rsidRPr="00885F2D">
              <w:t xml:space="preserve">fulfilled within </w:t>
            </w:r>
            <w:proofErr w:type="spellStart"/>
            <w:r w:rsidRPr="00885F2D">
              <w:t>T</w:t>
            </w:r>
            <w:r w:rsidRPr="00885F2D">
              <w:rPr>
                <w:vertAlign w:val="subscript"/>
              </w:rPr>
              <w:t>evaluate</w:t>
            </w:r>
            <w:proofErr w:type="spellEnd"/>
            <w:r w:rsidRPr="00885F2D">
              <w:rPr>
                <w:vertAlign w:val="subscript"/>
              </w:rPr>
              <w:t xml:space="preserve">-LP-WUR-PSS/SSS, </w:t>
            </w:r>
            <w:r w:rsidRPr="00885F2D">
              <w:t xml:space="preserve">provided that the </w:t>
            </w:r>
            <w:r>
              <w:t xml:space="preserve">corresponding </w:t>
            </w:r>
            <w:r w:rsidRPr="00157C79">
              <w:rPr>
                <w:highlight w:val="yellow"/>
              </w:rPr>
              <w:t xml:space="preserve">criteria is met </w:t>
            </w:r>
            <w:r w:rsidRPr="00157C79">
              <w:rPr>
                <w:color w:val="000000"/>
                <w:highlight w:val="yellow"/>
                <w:lang w:eastAsia="en-GB"/>
              </w:rPr>
              <w:t xml:space="preserve">by a margin of </w:t>
            </w:r>
            <w:r w:rsidRPr="00157C79">
              <w:rPr>
                <w:highlight w:val="yellow"/>
              </w:rPr>
              <w:t>6 dB</w:t>
            </w:r>
            <w:r>
              <w:t xml:space="preserve"> for SS-RSRP and/or</w:t>
            </w:r>
            <w:r w:rsidRPr="00885F2D">
              <w:t xml:space="preserve"> </w:t>
            </w:r>
            <w:r>
              <w:t>3.5</w:t>
            </w:r>
            <w:r w:rsidRPr="00885F2D">
              <w:t xml:space="preserve"> dB</w:t>
            </w:r>
            <w:r>
              <w:t xml:space="preserve"> for SS-RSRQ</w:t>
            </w:r>
            <w:r w:rsidRPr="00885F2D">
              <w:t xml:space="preserve"> in FR1 </w:t>
            </w:r>
            <w:r>
              <w:t xml:space="preserve">and </w:t>
            </w:r>
            <w:r w:rsidRPr="00885F2D">
              <w:rPr>
                <w:color w:val="000000"/>
                <w:lang w:eastAsia="en-GB"/>
              </w:rPr>
              <w:t xml:space="preserve">by a margin of </w:t>
            </w:r>
            <w:r>
              <w:t>7.5</w:t>
            </w:r>
            <w:r w:rsidRPr="00885F2D">
              <w:t xml:space="preserve"> dB</w:t>
            </w:r>
            <w:r>
              <w:t xml:space="preserve"> for SS-RSRP and/or</w:t>
            </w:r>
            <w:r w:rsidRPr="00885F2D">
              <w:t xml:space="preserve"> </w:t>
            </w:r>
            <w:r>
              <w:t>3.5</w:t>
            </w:r>
            <w:r w:rsidRPr="00885F2D">
              <w:t xml:space="preserve"> dB</w:t>
            </w:r>
            <w:r>
              <w:t xml:space="preserve"> for SS-RSRQ</w:t>
            </w:r>
            <w:r w:rsidRPr="00885F2D">
              <w:t xml:space="preserve"> in FR</w:t>
            </w:r>
            <w:r>
              <w:t>2</w:t>
            </w:r>
            <w:r w:rsidRPr="00885F2D">
              <w:t xml:space="preserve"> when SSB </w:t>
            </w:r>
            <w:proofErr w:type="spellStart"/>
            <w:r w:rsidRPr="00885F2D">
              <w:t>Ês</w:t>
            </w:r>
            <w:proofErr w:type="spellEnd"/>
            <w:r w:rsidRPr="00885F2D">
              <w:t>/</w:t>
            </w:r>
            <w:proofErr w:type="spellStart"/>
            <w:r w:rsidRPr="00885F2D">
              <w:t>Iot</w:t>
            </w:r>
            <w:proofErr w:type="spellEnd"/>
            <w:r w:rsidRPr="00885F2D">
              <w:t xml:space="preserve"> ≥ -3dB </w:t>
            </w:r>
          </w:p>
          <w:p w14:paraId="75A05A31" w14:textId="77777777" w:rsidR="0014176C" w:rsidRDefault="0014176C" w:rsidP="001B74C6"/>
        </w:tc>
      </w:tr>
    </w:tbl>
    <w:p w14:paraId="2225BEAB" w14:textId="4191C9D7" w:rsidR="001939F1" w:rsidRDefault="001939F1" w:rsidP="001939F1">
      <w:pPr>
        <w:pStyle w:val="RAN4observation0"/>
        <w:numPr>
          <w:ilvl w:val="0"/>
          <w:numId w:val="0"/>
        </w:numPr>
      </w:pPr>
    </w:p>
    <w:p w14:paraId="10F906FD" w14:textId="51343026" w:rsidR="00932873" w:rsidRPr="00932873" w:rsidRDefault="00932873" w:rsidP="00932873">
      <w:r>
        <w:t xml:space="preserve">The RAN4 margin is related to measurement accuracy which may vary based on radio conditions causing ping-pong. One option to avoid this ping pong is to define time to trigger-type of time condition but it’s not clear if this would help, as it would just delay the ping-pong effect.  </w:t>
      </w:r>
    </w:p>
    <w:p w14:paraId="4B387740" w14:textId="05282A4C" w:rsidR="00932873" w:rsidRPr="00932873" w:rsidRDefault="001939F1" w:rsidP="00932873">
      <w:pPr>
        <w:pStyle w:val="RAN4observation0"/>
      </w:pPr>
      <w:bookmarkStart w:id="4" w:name="_Toc213431842"/>
      <w:r>
        <w:t>Network cannot configure exit threshold for RRM relaxation</w:t>
      </w:r>
      <w:r w:rsidR="00932873">
        <w:t xml:space="preserve"> and with the margin, the exit may cause ping-pong.</w:t>
      </w:r>
      <w:bookmarkEnd w:id="4"/>
      <w:r w:rsidR="00932873">
        <w:t xml:space="preserve"> </w:t>
      </w:r>
    </w:p>
    <w:p w14:paraId="5B1A5EA0" w14:textId="52CA8FA0" w:rsidR="0014176C" w:rsidRDefault="00932873" w:rsidP="0014176C">
      <w:pPr>
        <w:pStyle w:val="RAN4proposal"/>
      </w:pPr>
      <w:bookmarkStart w:id="5" w:name="_Toc213431843"/>
      <w:r>
        <w:t>Define static exit threshold based on entry threshold</w:t>
      </w:r>
      <w:r w:rsidR="00124B73">
        <w:t xml:space="preserve"> configuration</w:t>
      </w:r>
      <w:r>
        <w:t>. Discuss what should be the value, e.g. 4dB</w:t>
      </w:r>
      <w:bookmarkEnd w:id="5"/>
      <w:r w:rsidR="00124B73">
        <w:t xml:space="preserve"> (in addition to margin)</w:t>
      </w:r>
      <w:r w:rsidR="006E6C08">
        <w:t xml:space="preserve">. </w:t>
      </w:r>
    </w:p>
    <w:p w14:paraId="367B0CEB" w14:textId="472DD2D0" w:rsidR="00E535F8" w:rsidRDefault="00E535F8" w:rsidP="00E535F8">
      <w:r>
        <w:t xml:space="preserve">When the UE exits the relaxation, we understand that there may be need for wake-up time as the UE may sleep between the measurements. In this sense, the relaxation does not differ much from offloading. </w:t>
      </w:r>
    </w:p>
    <w:p w14:paraId="43FD637B" w14:textId="49F13707" w:rsidR="00E535F8" w:rsidRPr="00E535F8" w:rsidRDefault="00E535F8" w:rsidP="00E535F8">
      <w:pPr>
        <w:pStyle w:val="RAN4proposal"/>
      </w:pPr>
      <w:bookmarkStart w:id="6" w:name="_Toc213431844"/>
      <w:r w:rsidRPr="00967D57">
        <w:rPr>
          <w:lang w:eastAsia="zh-CN"/>
        </w:rPr>
        <w:t>The existing wakeup delay is re-used when UE exits RRM relaxation mode due to exit condition being met.</w:t>
      </w:r>
      <w:bookmarkEnd w:id="6"/>
    </w:p>
    <w:p w14:paraId="1DAD13E4" w14:textId="77777777" w:rsidR="0014176C" w:rsidRDefault="0014176C" w:rsidP="00C862C1">
      <w:pPr>
        <w:pStyle w:val="RAN4H2"/>
        <w:rPr>
          <w:rFonts w:eastAsiaTheme="minorEastAsia"/>
          <w:lang w:eastAsia="zh-CN"/>
        </w:rPr>
      </w:pPr>
      <w:r w:rsidRPr="00624358">
        <w:rPr>
          <w:rFonts w:eastAsiaTheme="minorEastAsia"/>
          <w:lang w:eastAsia="zh-CN"/>
        </w:rPr>
        <w:t>LP-WUR and SDT</w:t>
      </w:r>
    </w:p>
    <w:p w14:paraId="13E0DDA9" w14:textId="77777777" w:rsidR="0014176C" w:rsidRPr="00690AE6" w:rsidRDefault="0014176C" w:rsidP="0014176C">
      <w:pPr>
        <w:rPr>
          <w:lang w:eastAsia="zh-CN"/>
        </w:rPr>
      </w:pPr>
      <w:r w:rsidRPr="00690AE6">
        <w:rPr>
          <w:lang w:eastAsia="zh-CN"/>
        </w:rPr>
        <w:t xml:space="preserve">Related to SDT, RAN2 agreed the following in the last meeting: </w:t>
      </w:r>
    </w:p>
    <w:tbl>
      <w:tblPr>
        <w:tblStyle w:val="TableGrid"/>
        <w:tblW w:w="0" w:type="auto"/>
        <w:tblLook w:val="04A0" w:firstRow="1" w:lastRow="0" w:firstColumn="1" w:lastColumn="0" w:noHBand="0" w:noVBand="1"/>
      </w:tblPr>
      <w:tblGrid>
        <w:gridCol w:w="9617"/>
      </w:tblGrid>
      <w:tr w:rsidR="0014176C" w14:paraId="5529304D" w14:textId="77777777" w:rsidTr="001B74C6">
        <w:tc>
          <w:tcPr>
            <w:tcW w:w="9617" w:type="dxa"/>
          </w:tcPr>
          <w:p w14:paraId="34A448FA" w14:textId="77777777" w:rsidR="0014176C" w:rsidRPr="006A2BF8" w:rsidRDefault="0014176C" w:rsidP="001B74C6">
            <w:pPr>
              <w:rPr>
                <w:highlight w:val="yellow"/>
                <w:lang w:eastAsia="zh-CN"/>
              </w:rPr>
            </w:pPr>
            <w:r w:rsidRPr="006A2BF8">
              <w:rPr>
                <w:highlight w:val="yellow"/>
                <w:lang w:eastAsia="zh-CN"/>
              </w:rPr>
              <w:t xml:space="preserve">RAN2 agreement: </w:t>
            </w:r>
          </w:p>
          <w:p w14:paraId="1D907B95" w14:textId="77777777" w:rsidR="0014176C" w:rsidRPr="006A2BF8" w:rsidRDefault="0014176C" w:rsidP="0014176C">
            <w:pPr>
              <w:pStyle w:val="ListParagraph"/>
              <w:numPr>
                <w:ilvl w:val="0"/>
                <w:numId w:val="40"/>
              </w:numPr>
              <w:rPr>
                <w:highlight w:val="yellow"/>
                <w:lang w:eastAsia="zh-CN"/>
              </w:rPr>
            </w:pPr>
            <w:r w:rsidRPr="006A2BF8">
              <w:rPr>
                <w:highlight w:val="yellow"/>
                <w:lang w:eastAsia="zh-CN"/>
              </w:rPr>
              <w:t xml:space="preserve">Confirm that SDT can be initiated while UE is monitoring LP-WUS, and there is no impact to the SDT procedure. Can check if any spec change is needed. </w:t>
            </w:r>
          </w:p>
          <w:p w14:paraId="4AE1D806" w14:textId="77777777" w:rsidR="0014176C" w:rsidRPr="00915E88" w:rsidRDefault="0014176C" w:rsidP="001B74C6">
            <w:pPr>
              <w:pStyle w:val="ListParagraph"/>
              <w:rPr>
                <w:lang w:eastAsia="zh-CN"/>
              </w:rPr>
            </w:pPr>
          </w:p>
        </w:tc>
      </w:tr>
    </w:tbl>
    <w:p w14:paraId="282ED6D0" w14:textId="77777777" w:rsidR="0014176C" w:rsidRDefault="0014176C" w:rsidP="0014176C">
      <w:pPr>
        <w:rPr>
          <w:lang w:eastAsia="zh-CN"/>
        </w:rPr>
      </w:pPr>
    </w:p>
    <w:p w14:paraId="27F39F10" w14:textId="77777777" w:rsidR="0014176C" w:rsidRPr="00624358" w:rsidRDefault="0014176C" w:rsidP="0014176C">
      <w:pPr>
        <w:rPr>
          <w:lang w:eastAsia="zh-CN"/>
        </w:rPr>
      </w:pPr>
      <w:r w:rsidRPr="00624358">
        <w:rPr>
          <w:lang w:eastAsia="zh-CN"/>
        </w:rPr>
        <w:t xml:space="preserve">Small data transmission (SDT) was specified in R17 and R18. SDT is a procedure allowing data and/or signalling transmission while remaining in RRC_INACTIVE state (i.e. without transitioning to RRC_CONNECTED state). SDT can be initiated either by the UE or by the network. MO-SDT is initiated by the UE only if less than or equal to a configured amount of UL data awaits transmission across all radio bearers for which SDT is enabled, the DL RSRP is above a configured threshold, and a valid SDT resource is available. MT-SDT is initiated by the network with an indication to the UE in a paging message when DL data awaits transmission for radio bearers configured for SDT; based on the indication, the UE initiates the MT-SDT only if the DL RSRP is above a configured threshold. SDT was specified for UE power saving purposes like LP-WUS and therefore it can be assumed that they should work together. </w:t>
      </w:r>
    </w:p>
    <w:p w14:paraId="4829F6D0" w14:textId="77777777" w:rsidR="0014176C" w:rsidRPr="00624358" w:rsidRDefault="0014176C" w:rsidP="0014176C">
      <w:pPr>
        <w:jc w:val="both"/>
        <w:rPr>
          <w:sz w:val="22"/>
          <w:lang w:eastAsia="zh-CN"/>
        </w:rPr>
      </w:pPr>
      <w:r w:rsidRPr="00624358">
        <w:rPr>
          <w:sz w:val="22"/>
          <w:lang w:eastAsia="zh-CN"/>
        </w:rPr>
        <w:t>The following is capture in the TS 38.304 running CR:</w:t>
      </w:r>
    </w:p>
    <w:tbl>
      <w:tblPr>
        <w:tblStyle w:val="TableGrid"/>
        <w:tblW w:w="0" w:type="auto"/>
        <w:tblLook w:val="04A0" w:firstRow="1" w:lastRow="0" w:firstColumn="1" w:lastColumn="0" w:noHBand="0" w:noVBand="1"/>
      </w:tblPr>
      <w:tblGrid>
        <w:gridCol w:w="9617"/>
      </w:tblGrid>
      <w:tr w:rsidR="0014176C" w:rsidRPr="00624358" w14:paraId="0B9D40D4" w14:textId="77777777" w:rsidTr="001B74C6">
        <w:tc>
          <w:tcPr>
            <w:tcW w:w="9617" w:type="dxa"/>
          </w:tcPr>
          <w:p w14:paraId="0CEE66C7" w14:textId="77777777" w:rsidR="0014176C" w:rsidRPr="00624358" w:rsidRDefault="0014176C" w:rsidP="001B74C6">
            <w:pPr>
              <w:jc w:val="both"/>
              <w:rPr>
                <w:b/>
                <w:bCs/>
                <w:lang w:eastAsia="zh-CN"/>
              </w:rPr>
            </w:pPr>
            <w:r w:rsidRPr="00624358">
              <w:rPr>
                <w:b/>
                <w:bCs/>
                <w:lang w:eastAsia="zh-CN"/>
              </w:rPr>
              <w:t>5.2.4.x.3 Serving cell measurement offloading rules</w:t>
            </w:r>
          </w:p>
          <w:p w14:paraId="30E99245" w14:textId="77777777" w:rsidR="0014176C" w:rsidRPr="00624358" w:rsidRDefault="0014176C" w:rsidP="001B74C6">
            <w:pPr>
              <w:jc w:val="both"/>
              <w:rPr>
                <w:lang w:eastAsia="zh-CN"/>
              </w:rPr>
            </w:pPr>
            <w:r w:rsidRPr="00624358">
              <w:rPr>
                <w:lang w:eastAsia="zh-CN"/>
              </w:rPr>
              <w:t>LP-WUS UE may choose to perform serving cell measurement offloading (i.e., serving cell measurement is fully offloaded to LR and no serving cell measurement via MR is required) according to requirements specified in TS 38.133 [8] if the entry condition for serving cell measurement offloading in clause 5.2.4.x.4 is fulfilled. LP-WUS UE is not required to perform serving cell measurement offloading according to requirements specified in TS 38.133 [8] if the exit condition for serving cell measurement offloading in clause 5.2.4.x.4 is fulfilled.</w:t>
            </w:r>
          </w:p>
        </w:tc>
      </w:tr>
    </w:tbl>
    <w:p w14:paraId="2ACCBDBD" w14:textId="77777777" w:rsidR="0014176C" w:rsidRPr="00624358" w:rsidRDefault="0014176C" w:rsidP="0014176C">
      <w:pPr>
        <w:rPr>
          <w:lang w:eastAsia="zh-CN"/>
        </w:rPr>
      </w:pPr>
    </w:p>
    <w:p w14:paraId="0B97C265" w14:textId="77777777" w:rsidR="0014176C" w:rsidRPr="00624358" w:rsidRDefault="0014176C" w:rsidP="0014176C">
      <w:pPr>
        <w:rPr>
          <w:lang w:eastAsia="zh-CN"/>
        </w:rPr>
      </w:pPr>
      <w:r w:rsidRPr="00624358">
        <w:rPr>
          <w:lang w:eastAsia="zh-CN"/>
        </w:rPr>
        <w:t>If the UE evaluates conditions for SDT initiation when LP-WUS UE is performing serving cell measurement offloading, then MR RSRP measurement is not available since measurements are performed by LR. It needs to be decided whether LP-WUS UE can use RSRP measurement for SDT condition evaluation in this case. Also, MR RSRP measurement can be considered for this case, but using it causes delay (2 times DRX cycle), since RSRP needs to be measured according to RAN4 requirements.</w:t>
      </w:r>
    </w:p>
    <w:p w14:paraId="58096226" w14:textId="46CC87E1" w:rsidR="0014176C" w:rsidRPr="00624358" w:rsidRDefault="00E535F8" w:rsidP="0014176C">
      <w:pPr>
        <w:pStyle w:val="RAN4proposal"/>
        <w:rPr>
          <w:lang w:eastAsia="zh-CN"/>
        </w:rPr>
      </w:pPr>
      <w:bookmarkStart w:id="7" w:name="_Toc206169788"/>
      <w:bookmarkStart w:id="8" w:name="_Toc210411046"/>
      <w:bookmarkStart w:id="9" w:name="_Toc213431845"/>
      <w:r>
        <w:rPr>
          <w:lang w:eastAsia="zh-CN"/>
        </w:rPr>
        <w:t xml:space="preserve">RAN4 to confirm </w:t>
      </w:r>
      <w:r w:rsidR="0014176C" w:rsidRPr="00624358">
        <w:rPr>
          <w:lang w:eastAsia="zh-CN"/>
        </w:rPr>
        <w:t>SDT requirements apply also for UE supporting LP-WUS</w:t>
      </w:r>
      <w:bookmarkEnd w:id="7"/>
      <w:bookmarkEnd w:id="8"/>
      <w:bookmarkEnd w:id="9"/>
      <w:r w:rsidR="0014176C" w:rsidRPr="00624358">
        <w:rPr>
          <w:lang w:eastAsia="zh-CN"/>
        </w:rPr>
        <w:t xml:space="preserve"> </w:t>
      </w:r>
    </w:p>
    <w:p w14:paraId="759369F1" w14:textId="0AE895CD" w:rsidR="0014176C" w:rsidRDefault="0014176C" w:rsidP="0014176C">
      <w:pPr>
        <w:pStyle w:val="RAN4proposal"/>
        <w:rPr>
          <w:lang w:eastAsia="zh-CN"/>
        </w:rPr>
      </w:pPr>
      <w:bookmarkStart w:id="10" w:name="_Toc206169789"/>
      <w:bookmarkStart w:id="11" w:name="_Toc210411047"/>
      <w:bookmarkStart w:id="12" w:name="_Toc213431846"/>
      <w:r w:rsidRPr="00624358">
        <w:rPr>
          <w:lang w:eastAsia="zh-CN"/>
        </w:rPr>
        <w:lastRenderedPageBreak/>
        <w:t xml:space="preserve">The UE supporting LP-WUS uses LR-RSRP measurements for condition evaluation when the </w:t>
      </w:r>
      <w:r w:rsidRPr="00B70E32">
        <w:rPr>
          <w:lang w:eastAsia="zh-CN"/>
        </w:rPr>
        <w:t>evaluation is started while the UE is in MR offloading</w:t>
      </w:r>
      <w:bookmarkEnd w:id="10"/>
      <w:r w:rsidRPr="00B70E32">
        <w:rPr>
          <w:lang w:eastAsia="zh-CN"/>
        </w:rPr>
        <w:t xml:space="preserve"> (i.e., no MR results available).</w:t>
      </w:r>
      <w:bookmarkEnd w:id="11"/>
      <w:bookmarkEnd w:id="12"/>
      <w:r w:rsidRPr="00B70E32">
        <w:rPr>
          <w:lang w:eastAsia="zh-CN"/>
        </w:rPr>
        <w:t xml:space="preserve"> </w:t>
      </w:r>
    </w:p>
    <w:p w14:paraId="33543B69" w14:textId="77777777" w:rsidR="0014176C" w:rsidRDefault="0014176C" w:rsidP="0014176C">
      <w:pPr>
        <w:rPr>
          <w:b/>
          <w:color w:val="000000" w:themeColor="text1"/>
          <w:u w:val="single"/>
          <w:lang w:eastAsia="ko-KR"/>
        </w:rPr>
      </w:pPr>
      <w:r>
        <w:rPr>
          <w:b/>
          <w:color w:val="000000" w:themeColor="text1"/>
          <w:u w:val="single"/>
          <w:lang w:eastAsia="ko-KR"/>
        </w:rPr>
        <w:t xml:space="preserve">Issue 1-1-16: LP-WUR operation with EMR </w:t>
      </w:r>
    </w:p>
    <w:p w14:paraId="41780489" w14:textId="77777777" w:rsidR="0014176C" w:rsidRDefault="0014176C" w:rsidP="0014176C">
      <w:pPr>
        <w:spacing w:after="120"/>
        <w:rPr>
          <w:color w:val="000000" w:themeColor="text1"/>
          <w:szCs w:val="24"/>
          <w:lang w:eastAsia="zh-CN"/>
        </w:rPr>
      </w:pPr>
      <w:r>
        <w:rPr>
          <w:color w:val="000000" w:themeColor="text1"/>
          <w:szCs w:val="24"/>
          <w:lang w:eastAsia="zh-CN"/>
        </w:rPr>
        <w:t xml:space="preserve">In the last meeting, it was agreed that when T331 is running, UE shall not use LP-WUS if R16 EMR and LP-WUS are configured simultaneously. </w:t>
      </w:r>
    </w:p>
    <w:p w14:paraId="3452C9FF" w14:textId="77777777" w:rsidR="0014176C" w:rsidRDefault="0014176C" w:rsidP="0014176C">
      <w:pPr>
        <w:spacing w:after="120"/>
        <w:rPr>
          <w:color w:val="000000" w:themeColor="text1"/>
          <w:szCs w:val="24"/>
          <w:lang w:eastAsia="zh-CN"/>
        </w:rPr>
      </w:pPr>
      <w:r>
        <w:rPr>
          <w:color w:val="000000" w:themeColor="text1"/>
          <w:szCs w:val="24"/>
          <w:lang w:eastAsia="zh-CN"/>
        </w:rPr>
        <w:t xml:space="preserve">There was also online discussion and concerns about EMR R18 behaviour. The following highlights the relevant section in 38.133 for EMR R18 feature: </w:t>
      </w:r>
    </w:p>
    <w:tbl>
      <w:tblPr>
        <w:tblStyle w:val="TableGrid"/>
        <w:tblW w:w="0" w:type="auto"/>
        <w:tblLook w:val="04A0" w:firstRow="1" w:lastRow="0" w:firstColumn="1" w:lastColumn="0" w:noHBand="0" w:noVBand="1"/>
      </w:tblPr>
      <w:tblGrid>
        <w:gridCol w:w="9617"/>
      </w:tblGrid>
      <w:tr w:rsidR="0014176C" w:rsidRPr="009F58C7" w14:paraId="7F0951AD" w14:textId="77777777" w:rsidTr="001B74C6">
        <w:tc>
          <w:tcPr>
            <w:tcW w:w="9617" w:type="dxa"/>
          </w:tcPr>
          <w:p w14:paraId="671C0763" w14:textId="77777777" w:rsidR="0014176C" w:rsidRPr="009F58C7" w:rsidRDefault="0014176C" w:rsidP="001B74C6">
            <w:pPr>
              <w:spacing w:after="120"/>
              <w:rPr>
                <w:color w:val="000000" w:themeColor="text1"/>
                <w:sz w:val="14"/>
                <w:szCs w:val="14"/>
                <w:lang w:eastAsia="zh-CN"/>
              </w:rPr>
            </w:pPr>
            <w:r w:rsidRPr="009F58C7">
              <w:rPr>
                <w:color w:val="000000" w:themeColor="text1"/>
                <w:sz w:val="14"/>
                <w:szCs w:val="14"/>
                <w:lang w:eastAsia="zh-CN"/>
              </w:rPr>
              <w:t>4.7.3</w:t>
            </w:r>
            <w:r w:rsidRPr="009F58C7">
              <w:rPr>
                <w:color w:val="000000" w:themeColor="text1"/>
                <w:sz w:val="14"/>
                <w:szCs w:val="14"/>
                <w:lang w:eastAsia="zh-CN"/>
              </w:rPr>
              <w:tab/>
              <w:t>Measurement Report Requirements</w:t>
            </w:r>
          </w:p>
          <w:p w14:paraId="3954534E" w14:textId="77777777" w:rsidR="0014176C" w:rsidRPr="00D04BA6" w:rsidRDefault="0014176C" w:rsidP="001B74C6">
            <w:pPr>
              <w:overflowPunct w:val="0"/>
              <w:autoSpaceDE w:val="0"/>
              <w:autoSpaceDN w:val="0"/>
              <w:adjustRightInd w:val="0"/>
              <w:spacing w:after="180"/>
              <w:ind w:left="720"/>
              <w:textAlignment w:val="baseline"/>
              <w:rPr>
                <w:rFonts w:eastAsia="Times New Roman" w:cs="Times New Roman"/>
                <w:sz w:val="14"/>
                <w:szCs w:val="14"/>
              </w:rPr>
            </w:pPr>
            <w:r w:rsidRPr="00D04BA6">
              <w:rPr>
                <w:rFonts w:eastAsia="Times New Roman" w:cs="Times New Roman"/>
                <w:sz w:val="14"/>
                <w:szCs w:val="14"/>
              </w:rPr>
              <w:t xml:space="preserve">A UE shall perform validity check and report valid measurement results:  </w:t>
            </w:r>
          </w:p>
          <w:p w14:paraId="730CB837" w14:textId="77777777" w:rsidR="0014176C" w:rsidRPr="00D04BA6" w:rsidRDefault="0014176C" w:rsidP="001B74C6">
            <w:pPr>
              <w:overflowPunct w:val="0"/>
              <w:autoSpaceDE w:val="0"/>
              <w:autoSpaceDN w:val="0"/>
              <w:adjustRightInd w:val="0"/>
              <w:spacing w:after="180"/>
              <w:ind w:left="1288" w:hanging="284"/>
              <w:textAlignment w:val="baseline"/>
              <w:rPr>
                <w:rFonts w:eastAsia="Times New Roman" w:cs="Times New Roman"/>
                <w:sz w:val="14"/>
                <w:szCs w:val="14"/>
              </w:rPr>
            </w:pPr>
            <w:r w:rsidRPr="00D04BA6">
              <w:rPr>
                <w:rFonts w:eastAsia="Times New Roman" w:cs="Times New Roman"/>
                <w:sz w:val="14"/>
                <w:szCs w:val="14"/>
              </w:rPr>
              <w:t>-</w:t>
            </w:r>
            <w:r w:rsidRPr="00D04BA6">
              <w:rPr>
                <w:rFonts w:eastAsia="Times New Roman" w:cs="Times New Roman"/>
                <w:sz w:val="14"/>
                <w:szCs w:val="14"/>
              </w:rPr>
              <w:tab/>
              <w:t xml:space="preserve">if the UE </w:t>
            </w:r>
            <w:r w:rsidRPr="00D04BA6">
              <w:rPr>
                <w:rFonts w:eastAsia="Times New Roman" w:cs="Times New Roman"/>
                <w:sz w:val="14"/>
                <w:szCs w:val="14"/>
                <w:lang w:eastAsia="zh-CN"/>
              </w:rPr>
              <w:t>supports</w:t>
            </w:r>
            <w:r w:rsidRPr="00D04BA6">
              <w:rPr>
                <w:rFonts w:eastAsia="Times New Roman" w:cs="Times New Roman"/>
                <w:sz w:val="14"/>
                <w:szCs w:val="14"/>
              </w:rPr>
              <w:t xml:space="preserve"> </w:t>
            </w:r>
            <w:r w:rsidRPr="00D04BA6">
              <w:rPr>
                <w:rFonts w:eastAsia="Times New Roman" w:cs="Times New Roman"/>
                <w:i/>
                <w:iCs/>
                <w:sz w:val="14"/>
                <w:szCs w:val="14"/>
              </w:rPr>
              <w:t>measValidationReportEMR-r18</w:t>
            </w:r>
            <w:r w:rsidRPr="00D04BA6">
              <w:rPr>
                <w:rFonts w:eastAsia="Times New Roman" w:cs="Times New Roman"/>
                <w:sz w:val="14"/>
                <w:szCs w:val="14"/>
              </w:rPr>
              <w:t xml:space="preserve"> and </w:t>
            </w:r>
            <w:r w:rsidRPr="00D04BA6">
              <w:rPr>
                <w:rFonts w:eastAsia="Times New Roman" w:cs="Times New Roman"/>
                <w:i/>
                <w:iCs/>
                <w:sz w:val="14"/>
                <w:szCs w:val="14"/>
              </w:rPr>
              <w:t>measIdleValidityDuration-r18</w:t>
            </w:r>
            <w:r w:rsidRPr="00D04BA6">
              <w:rPr>
                <w:rFonts w:eastAsia="Times New Roman" w:cs="Times New Roman"/>
                <w:sz w:val="14"/>
                <w:szCs w:val="14"/>
              </w:rPr>
              <w:t xml:space="preserve"> is configured for carriers in </w:t>
            </w:r>
            <w:r w:rsidRPr="00D04BA6">
              <w:rPr>
                <w:rFonts w:eastAsia="Times New Roman" w:cs="Times New Roman"/>
                <w:i/>
                <w:iCs/>
                <w:sz w:val="14"/>
                <w:szCs w:val="14"/>
              </w:rPr>
              <w:t xml:space="preserve">measIdleCarrierListNR-r16 </w:t>
            </w:r>
            <w:r w:rsidRPr="00D04BA6">
              <w:rPr>
                <w:rFonts w:eastAsia="Times New Roman" w:cs="Times New Roman"/>
                <w:sz w:val="14"/>
                <w:szCs w:val="14"/>
              </w:rPr>
              <w:t xml:space="preserve">or </w:t>
            </w:r>
            <w:r w:rsidRPr="00D04BA6">
              <w:rPr>
                <w:rFonts w:eastAsia="Times New Roman" w:cs="Times New Roman"/>
                <w:i/>
                <w:iCs/>
                <w:sz w:val="14"/>
                <w:szCs w:val="14"/>
              </w:rPr>
              <w:t>measIdleCarrierListEUTRA-r16</w:t>
            </w:r>
            <w:r w:rsidRPr="00D04BA6">
              <w:rPr>
                <w:rFonts w:eastAsia="Times New Roman" w:cs="Times New Roman"/>
                <w:sz w:val="14"/>
                <w:szCs w:val="14"/>
              </w:rPr>
              <w:t xml:space="preserve">,  </w:t>
            </w:r>
          </w:p>
          <w:p w14:paraId="4A0410DD" w14:textId="77777777" w:rsidR="0014176C" w:rsidRPr="00D04BA6" w:rsidRDefault="0014176C" w:rsidP="001B74C6">
            <w:pPr>
              <w:overflowPunct w:val="0"/>
              <w:autoSpaceDE w:val="0"/>
              <w:autoSpaceDN w:val="0"/>
              <w:adjustRightInd w:val="0"/>
              <w:spacing w:after="180"/>
              <w:ind w:left="1288" w:hanging="284"/>
              <w:textAlignment w:val="baseline"/>
              <w:rPr>
                <w:rFonts w:eastAsia="Times New Roman" w:cs="Times New Roman"/>
                <w:sz w:val="14"/>
                <w:szCs w:val="14"/>
              </w:rPr>
            </w:pPr>
            <w:r w:rsidRPr="00D04BA6">
              <w:rPr>
                <w:rFonts w:eastAsia="Times New Roman" w:cs="Times New Roman"/>
                <w:sz w:val="14"/>
                <w:szCs w:val="14"/>
              </w:rPr>
              <w:t>-</w:t>
            </w:r>
            <w:r w:rsidRPr="00D04BA6">
              <w:rPr>
                <w:rFonts w:eastAsia="Times New Roman" w:cs="Times New Roman"/>
                <w:sz w:val="14"/>
                <w:szCs w:val="14"/>
              </w:rPr>
              <w:tab/>
              <w:t>if the UE</w:t>
            </w:r>
            <w:r w:rsidRPr="009F58C7">
              <w:rPr>
                <w:rFonts w:eastAsia="Times New Roman" w:cs="Times New Roman"/>
                <w:sz w:val="14"/>
                <w:szCs w:val="14"/>
              </w:rPr>
              <w:t xml:space="preserve"> </w:t>
            </w:r>
            <w:r w:rsidRPr="00D04BA6">
              <w:rPr>
                <w:rFonts w:eastAsia="Times New Roman" w:cs="Times New Roman"/>
                <w:sz w:val="14"/>
                <w:szCs w:val="14"/>
                <w:lang w:eastAsia="zh-CN"/>
              </w:rPr>
              <w:t>supports</w:t>
            </w:r>
            <w:r w:rsidRPr="00D04BA6">
              <w:rPr>
                <w:rFonts w:eastAsia="Times New Roman" w:cs="Times New Roman"/>
                <w:sz w:val="14"/>
                <w:szCs w:val="14"/>
              </w:rPr>
              <w:t xml:space="preserve"> </w:t>
            </w:r>
            <w:r w:rsidRPr="00D04BA6">
              <w:rPr>
                <w:rFonts w:eastAsia="Times New Roman" w:cs="Times New Roman"/>
                <w:i/>
                <w:iCs/>
                <w:sz w:val="14"/>
                <w:szCs w:val="14"/>
              </w:rPr>
              <w:t>measValidationReportReselectionMeasurements-r18</w:t>
            </w:r>
            <w:r w:rsidRPr="00D04BA6">
              <w:rPr>
                <w:rFonts w:eastAsia="Times New Roman" w:cs="Times New Roman"/>
                <w:sz w:val="14"/>
                <w:szCs w:val="14"/>
              </w:rPr>
              <w:t xml:space="preserve"> and </w:t>
            </w:r>
            <w:r w:rsidRPr="00D04BA6">
              <w:rPr>
                <w:rFonts w:eastAsia="Times New Roman" w:cs="Times New Roman"/>
                <w:i/>
                <w:iCs/>
                <w:sz w:val="14"/>
                <w:szCs w:val="14"/>
              </w:rPr>
              <w:t>measReselectionValidityDuration-r18</w:t>
            </w:r>
            <w:r w:rsidRPr="00D04BA6">
              <w:rPr>
                <w:rFonts w:eastAsia="Times New Roman" w:cs="Times New Roman"/>
                <w:sz w:val="14"/>
                <w:szCs w:val="14"/>
              </w:rPr>
              <w:t xml:space="preserve"> is configured for carriers in </w:t>
            </w:r>
            <w:r w:rsidRPr="00D04BA6">
              <w:rPr>
                <w:rFonts w:eastAsia="Times New Roman" w:cs="Times New Roman"/>
                <w:i/>
                <w:iCs/>
                <w:sz w:val="14"/>
                <w:szCs w:val="14"/>
              </w:rPr>
              <w:t>measReselectionCarrierListNR-r18</w:t>
            </w:r>
          </w:p>
          <w:p w14:paraId="1907C3EE" w14:textId="77777777" w:rsidR="0014176C" w:rsidRPr="00D04BA6" w:rsidRDefault="0014176C" w:rsidP="001B74C6">
            <w:pPr>
              <w:overflowPunct w:val="0"/>
              <w:autoSpaceDE w:val="0"/>
              <w:autoSpaceDN w:val="0"/>
              <w:adjustRightInd w:val="0"/>
              <w:spacing w:after="180"/>
              <w:ind w:left="720"/>
              <w:textAlignment w:val="baseline"/>
              <w:rPr>
                <w:rFonts w:eastAsia="Times New Roman" w:cs="Times New Roman"/>
                <w:sz w:val="14"/>
                <w:szCs w:val="14"/>
                <w:highlight w:val="yellow"/>
              </w:rPr>
            </w:pPr>
            <w:r w:rsidRPr="00D04BA6">
              <w:rPr>
                <w:rFonts w:eastAsia="Times New Roman" w:cs="Times New Roman"/>
                <w:sz w:val="14"/>
                <w:szCs w:val="14"/>
                <w:highlight w:val="yellow"/>
              </w:rPr>
              <w:t>The measurement results are considered valid if the following conditions are met for the validity check:</w:t>
            </w:r>
          </w:p>
          <w:p w14:paraId="59F44C8A" w14:textId="77777777" w:rsidR="0014176C" w:rsidRPr="00D04BA6" w:rsidRDefault="0014176C" w:rsidP="001B74C6">
            <w:pPr>
              <w:overflowPunct w:val="0"/>
              <w:autoSpaceDE w:val="0"/>
              <w:autoSpaceDN w:val="0"/>
              <w:adjustRightInd w:val="0"/>
              <w:spacing w:after="180"/>
              <w:ind w:left="1288" w:hanging="284"/>
              <w:textAlignment w:val="baseline"/>
              <w:rPr>
                <w:rFonts w:eastAsia="Times New Roman" w:cs="Times New Roman"/>
                <w:sz w:val="14"/>
                <w:szCs w:val="14"/>
                <w:highlight w:val="yellow"/>
              </w:rPr>
            </w:pPr>
            <w:r w:rsidRPr="00D04BA6">
              <w:rPr>
                <w:rFonts w:eastAsia="Times New Roman" w:cs="Times New Roman"/>
                <w:sz w:val="14"/>
                <w:szCs w:val="14"/>
                <w:highlight w:val="yellow"/>
              </w:rPr>
              <w:t>-</w:t>
            </w:r>
            <w:r w:rsidRPr="00D04BA6">
              <w:rPr>
                <w:rFonts w:eastAsia="Times New Roman" w:cs="Times New Roman"/>
                <w:sz w:val="14"/>
                <w:szCs w:val="14"/>
                <w:highlight w:val="yellow"/>
              </w:rPr>
              <w:tab/>
              <w:t>the measurements are performed before msg1 transmission for RRC resume/setup request within the last:</w:t>
            </w:r>
          </w:p>
          <w:p w14:paraId="0C292420" w14:textId="77777777" w:rsidR="0014176C" w:rsidRPr="00D04BA6" w:rsidRDefault="0014176C" w:rsidP="001B74C6">
            <w:pPr>
              <w:overflowPunct w:val="0"/>
              <w:autoSpaceDE w:val="0"/>
              <w:autoSpaceDN w:val="0"/>
              <w:adjustRightInd w:val="0"/>
              <w:spacing w:after="180"/>
              <w:ind w:left="1288" w:hanging="284"/>
              <w:textAlignment w:val="baseline"/>
              <w:rPr>
                <w:rFonts w:eastAsia="Times New Roman" w:cs="Times New Roman"/>
                <w:sz w:val="14"/>
                <w:szCs w:val="14"/>
                <w:highlight w:val="yellow"/>
              </w:rPr>
            </w:pPr>
            <w:r w:rsidRPr="00D04BA6">
              <w:rPr>
                <w:rFonts w:eastAsia="Times New Roman" w:cs="Times New Roman"/>
                <w:sz w:val="14"/>
                <w:szCs w:val="14"/>
                <w:highlight w:val="yellow"/>
              </w:rPr>
              <w:t>-</w:t>
            </w:r>
            <w:r w:rsidRPr="00D04BA6">
              <w:rPr>
                <w:rFonts w:eastAsia="Times New Roman" w:cs="Times New Roman"/>
                <w:sz w:val="14"/>
                <w:szCs w:val="14"/>
                <w:highlight w:val="yellow"/>
              </w:rPr>
              <w:tab/>
              <w:t xml:space="preserve"> measIdleValidityDuration-r18 seconds for carriers configured in measIdleCarrierListNR-r16 or measIdleCarrierListEUTRA-r16, and/or </w:t>
            </w:r>
          </w:p>
          <w:p w14:paraId="215B98DF" w14:textId="77777777" w:rsidR="0014176C" w:rsidRPr="00D04BA6" w:rsidRDefault="0014176C" w:rsidP="001B74C6">
            <w:pPr>
              <w:overflowPunct w:val="0"/>
              <w:autoSpaceDE w:val="0"/>
              <w:autoSpaceDN w:val="0"/>
              <w:adjustRightInd w:val="0"/>
              <w:spacing w:after="180"/>
              <w:ind w:left="1288" w:hanging="284"/>
              <w:textAlignment w:val="baseline"/>
              <w:rPr>
                <w:rFonts w:eastAsia="Times New Roman" w:cs="Times New Roman"/>
                <w:sz w:val="14"/>
                <w:szCs w:val="14"/>
                <w:highlight w:val="yellow"/>
              </w:rPr>
            </w:pPr>
            <w:r w:rsidRPr="00D04BA6">
              <w:rPr>
                <w:rFonts w:eastAsia="Times New Roman" w:cs="Times New Roman"/>
                <w:sz w:val="14"/>
                <w:szCs w:val="14"/>
                <w:highlight w:val="yellow"/>
              </w:rPr>
              <w:t>-</w:t>
            </w:r>
            <w:r w:rsidRPr="00D04BA6">
              <w:rPr>
                <w:rFonts w:eastAsia="Times New Roman" w:cs="Times New Roman"/>
                <w:sz w:val="14"/>
                <w:szCs w:val="14"/>
                <w:highlight w:val="yellow"/>
              </w:rPr>
              <w:tab/>
              <w:t xml:space="preserve"> </w:t>
            </w:r>
            <w:r w:rsidRPr="00D04BA6">
              <w:rPr>
                <w:rFonts w:eastAsia="Times New Roman" w:cs="Times New Roman"/>
                <w:i/>
                <w:iCs/>
                <w:sz w:val="14"/>
                <w:szCs w:val="14"/>
                <w:highlight w:val="yellow"/>
              </w:rPr>
              <w:t>measReselectionValidityDuration-r18</w:t>
            </w:r>
            <w:r w:rsidRPr="00D04BA6">
              <w:rPr>
                <w:rFonts w:eastAsia="Times New Roman" w:cs="Times New Roman"/>
                <w:sz w:val="14"/>
                <w:szCs w:val="14"/>
                <w:highlight w:val="yellow"/>
              </w:rPr>
              <w:t xml:space="preserve"> seconds for carriers configured in </w:t>
            </w:r>
            <w:r w:rsidRPr="00D04BA6">
              <w:rPr>
                <w:rFonts w:eastAsia="Times New Roman" w:cs="Times New Roman"/>
                <w:i/>
                <w:iCs/>
                <w:sz w:val="14"/>
                <w:szCs w:val="14"/>
                <w:highlight w:val="yellow"/>
              </w:rPr>
              <w:t>measReselectionCarrierListNR-r18</w:t>
            </w:r>
            <w:r w:rsidRPr="00D04BA6">
              <w:rPr>
                <w:rFonts w:eastAsia="Times New Roman" w:cs="Times New Roman"/>
                <w:sz w:val="14"/>
                <w:szCs w:val="14"/>
                <w:highlight w:val="yellow"/>
              </w:rPr>
              <w:t>,</w:t>
            </w:r>
          </w:p>
          <w:p w14:paraId="52047429" w14:textId="77777777" w:rsidR="0014176C" w:rsidRPr="00D04BA6" w:rsidRDefault="0014176C" w:rsidP="001B74C6">
            <w:pPr>
              <w:overflowPunct w:val="0"/>
              <w:autoSpaceDE w:val="0"/>
              <w:autoSpaceDN w:val="0"/>
              <w:adjustRightInd w:val="0"/>
              <w:spacing w:after="180"/>
              <w:ind w:left="1288" w:hanging="284"/>
              <w:textAlignment w:val="baseline"/>
              <w:rPr>
                <w:rFonts w:eastAsia="Times New Roman" w:cs="Times New Roman"/>
                <w:sz w:val="14"/>
                <w:szCs w:val="14"/>
              </w:rPr>
            </w:pPr>
            <w:r w:rsidRPr="00D04BA6">
              <w:rPr>
                <w:rFonts w:eastAsia="Times New Roman" w:cs="Times New Roman"/>
                <w:sz w:val="14"/>
                <w:szCs w:val="14"/>
                <w:highlight w:val="yellow"/>
              </w:rPr>
              <w:t>-</w:t>
            </w:r>
            <w:r w:rsidRPr="00D04BA6">
              <w:rPr>
                <w:rFonts w:eastAsia="Times New Roman" w:cs="Times New Roman"/>
                <w:sz w:val="14"/>
                <w:szCs w:val="14"/>
                <w:highlight w:val="yellow"/>
              </w:rPr>
              <w:tab/>
              <w:t>the measurement results satisfy measurement accuracy requirement at the measurement instance.</w:t>
            </w:r>
          </w:p>
          <w:p w14:paraId="0FE917DF" w14:textId="77777777" w:rsidR="0014176C" w:rsidRPr="00D04BA6" w:rsidRDefault="0014176C" w:rsidP="001B74C6">
            <w:pPr>
              <w:overflowPunct w:val="0"/>
              <w:autoSpaceDE w:val="0"/>
              <w:autoSpaceDN w:val="0"/>
              <w:adjustRightInd w:val="0"/>
              <w:spacing w:after="180"/>
              <w:ind w:left="720"/>
              <w:textAlignment w:val="baseline"/>
              <w:rPr>
                <w:rFonts w:eastAsia="Times New Roman" w:cs="Times New Roman"/>
                <w:sz w:val="14"/>
                <w:szCs w:val="14"/>
              </w:rPr>
            </w:pPr>
            <w:r w:rsidRPr="00D04BA6">
              <w:rPr>
                <w:rFonts w:eastAsia="Times New Roman" w:cs="Times New Roman"/>
                <w:sz w:val="14"/>
                <w:szCs w:val="14"/>
              </w:rPr>
              <w:t xml:space="preserve">Otherwise, the measurement results are considered invalid. The UE shall not report invalid measurement results when </w:t>
            </w:r>
            <w:r w:rsidRPr="00D04BA6">
              <w:rPr>
                <w:rFonts w:eastAsia="Times New Roman" w:cs="Times New Roman"/>
                <w:i/>
                <w:iCs/>
                <w:sz w:val="14"/>
                <w:szCs w:val="14"/>
              </w:rPr>
              <w:t>measIdleValidityDuration-r18</w:t>
            </w:r>
            <w:r w:rsidRPr="00D04BA6">
              <w:rPr>
                <w:rFonts w:eastAsia="Times New Roman" w:cs="Times New Roman"/>
                <w:sz w:val="14"/>
                <w:szCs w:val="14"/>
              </w:rPr>
              <w:t xml:space="preserve"> and/or </w:t>
            </w:r>
            <w:r w:rsidRPr="00D04BA6">
              <w:rPr>
                <w:rFonts w:eastAsia="Times New Roman" w:cs="Times New Roman"/>
                <w:i/>
                <w:iCs/>
                <w:sz w:val="14"/>
                <w:szCs w:val="14"/>
              </w:rPr>
              <w:t>measReselectionValidityDuration-r18</w:t>
            </w:r>
            <w:r w:rsidRPr="00D04BA6">
              <w:rPr>
                <w:rFonts w:eastAsia="Times New Roman" w:cs="Times New Roman"/>
                <w:sz w:val="14"/>
                <w:szCs w:val="14"/>
              </w:rPr>
              <w:t xml:space="preserve"> is configured. </w:t>
            </w:r>
          </w:p>
          <w:p w14:paraId="7C458AB8" w14:textId="77777777" w:rsidR="0014176C" w:rsidRPr="00D04BA6" w:rsidRDefault="0014176C" w:rsidP="001B74C6">
            <w:pPr>
              <w:overflowPunct w:val="0"/>
              <w:autoSpaceDE w:val="0"/>
              <w:autoSpaceDN w:val="0"/>
              <w:adjustRightInd w:val="0"/>
              <w:spacing w:after="180"/>
              <w:ind w:left="720"/>
              <w:textAlignment w:val="baseline"/>
              <w:rPr>
                <w:rFonts w:eastAsia="Times New Roman" w:cs="Times New Roman"/>
                <w:sz w:val="14"/>
                <w:szCs w:val="14"/>
                <w:highlight w:val="yellow"/>
              </w:rPr>
            </w:pPr>
            <w:r w:rsidRPr="00D04BA6">
              <w:rPr>
                <w:rFonts w:eastAsia="Times New Roman" w:cs="Times New Roman"/>
                <w:sz w:val="14"/>
                <w:szCs w:val="14"/>
                <w:highlight w:val="yellow"/>
              </w:rPr>
              <w:t xml:space="preserve">If the </w:t>
            </w:r>
            <w:r w:rsidRPr="00D04BA6">
              <w:rPr>
                <w:rFonts w:eastAsia="Times New Roman" w:cs="Times New Roman"/>
                <w:i/>
                <w:iCs/>
                <w:sz w:val="14"/>
                <w:szCs w:val="14"/>
                <w:highlight w:val="yellow"/>
              </w:rPr>
              <w:t>measIdleValidityDuration-r18</w:t>
            </w:r>
            <w:r w:rsidRPr="00D04BA6">
              <w:rPr>
                <w:rFonts w:eastAsia="Times New Roman" w:cs="Times New Roman"/>
                <w:sz w:val="14"/>
                <w:szCs w:val="14"/>
                <w:highlight w:val="yellow"/>
              </w:rPr>
              <w:t xml:space="preserve"> is not configured, the UE is not required to perform validity check for carriers in </w:t>
            </w:r>
            <w:r w:rsidRPr="00D04BA6">
              <w:rPr>
                <w:rFonts w:eastAsia="Times New Roman" w:cs="Times New Roman"/>
                <w:i/>
                <w:iCs/>
                <w:sz w:val="14"/>
                <w:szCs w:val="14"/>
                <w:highlight w:val="yellow"/>
              </w:rPr>
              <w:t>measIdleCarrierListNR-r16</w:t>
            </w:r>
            <w:r w:rsidRPr="00D04BA6">
              <w:rPr>
                <w:rFonts w:eastAsia="Times New Roman" w:cs="Times New Roman"/>
                <w:sz w:val="14"/>
                <w:szCs w:val="14"/>
                <w:highlight w:val="yellow"/>
              </w:rPr>
              <w:t xml:space="preserve"> and </w:t>
            </w:r>
            <w:r w:rsidRPr="00D04BA6">
              <w:rPr>
                <w:rFonts w:eastAsia="Times New Roman" w:cs="Times New Roman"/>
                <w:i/>
                <w:iCs/>
                <w:sz w:val="14"/>
                <w:szCs w:val="14"/>
                <w:highlight w:val="yellow"/>
              </w:rPr>
              <w:t>measIdleCarrierListEUTRA-r16,</w:t>
            </w:r>
            <w:r w:rsidRPr="00D04BA6">
              <w:rPr>
                <w:rFonts w:eastAsia="Times New Roman" w:cs="Times New Roman"/>
                <w:sz w:val="14"/>
                <w:szCs w:val="14"/>
                <w:highlight w:val="yellow"/>
              </w:rPr>
              <w:t xml:space="preserve"> and the UE may report measurement results given the measurement results satisfy measurement accuracy requirement at the measurement instance.</w:t>
            </w:r>
          </w:p>
          <w:p w14:paraId="12E7A457" w14:textId="77777777" w:rsidR="0014176C" w:rsidRPr="00D04BA6" w:rsidRDefault="0014176C" w:rsidP="001B74C6">
            <w:pPr>
              <w:overflowPunct w:val="0"/>
              <w:autoSpaceDE w:val="0"/>
              <w:autoSpaceDN w:val="0"/>
              <w:adjustRightInd w:val="0"/>
              <w:spacing w:after="180"/>
              <w:ind w:left="720"/>
              <w:textAlignment w:val="baseline"/>
              <w:rPr>
                <w:rFonts w:eastAsia="Times New Roman" w:cs="Times New Roman"/>
                <w:sz w:val="14"/>
                <w:szCs w:val="14"/>
              </w:rPr>
            </w:pPr>
            <w:r w:rsidRPr="00D04BA6">
              <w:rPr>
                <w:rFonts w:eastAsia="Times New Roman" w:cs="Times New Roman"/>
                <w:sz w:val="14"/>
                <w:szCs w:val="14"/>
                <w:highlight w:val="yellow"/>
              </w:rPr>
              <w:t xml:space="preserve">If the </w:t>
            </w:r>
            <w:r w:rsidRPr="00D04BA6">
              <w:rPr>
                <w:rFonts w:eastAsia="Times New Roman" w:cs="Times New Roman"/>
                <w:i/>
                <w:iCs/>
                <w:sz w:val="14"/>
                <w:szCs w:val="14"/>
                <w:highlight w:val="yellow"/>
              </w:rPr>
              <w:t>measReselectionValidityDuration-r18</w:t>
            </w:r>
            <w:r w:rsidRPr="00D04BA6">
              <w:rPr>
                <w:rFonts w:eastAsia="Times New Roman" w:cs="Times New Roman"/>
                <w:sz w:val="14"/>
                <w:szCs w:val="14"/>
                <w:highlight w:val="yellow"/>
              </w:rPr>
              <w:t xml:space="preserve"> is not configured, the UE is not required to perform validity check for carriers configured in </w:t>
            </w:r>
            <w:r w:rsidRPr="00D04BA6">
              <w:rPr>
                <w:rFonts w:eastAsia="Times New Roman" w:cs="Times New Roman"/>
                <w:i/>
                <w:iCs/>
                <w:sz w:val="14"/>
                <w:szCs w:val="14"/>
                <w:highlight w:val="yellow"/>
              </w:rPr>
              <w:t>measReselectionCarrierListNR-r18,</w:t>
            </w:r>
            <w:r w:rsidRPr="00D04BA6">
              <w:rPr>
                <w:rFonts w:eastAsia="Times New Roman" w:cs="Times New Roman"/>
                <w:sz w:val="14"/>
                <w:szCs w:val="14"/>
                <w:highlight w:val="yellow"/>
              </w:rPr>
              <w:t xml:space="preserve"> and the UE may report measurement results given the measurement results satisfy measurement accuracy requirement at the measurement instance.</w:t>
            </w:r>
          </w:p>
          <w:p w14:paraId="5B985BDF" w14:textId="77777777" w:rsidR="0014176C" w:rsidRPr="009F58C7" w:rsidRDefault="0014176C" w:rsidP="001B74C6">
            <w:pPr>
              <w:overflowPunct w:val="0"/>
              <w:autoSpaceDE w:val="0"/>
              <w:autoSpaceDN w:val="0"/>
              <w:adjustRightInd w:val="0"/>
              <w:spacing w:after="180"/>
              <w:ind w:left="720"/>
              <w:textAlignment w:val="baseline"/>
              <w:rPr>
                <w:rFonts w:eastAsia="Times New Roman" w:cs="Times New Roman"/>
                <w:sz w:val="16"/>
                <w:szCs w:val="16"/>
              </w:rPr>
            </w:pPr>
            <w:r w:rsidRPr="00D04BA6">
              <w:rPr>
                <w:rFonts w:eastAsia="Times New Roman" w:cs="v4.2.0"/>
                <w:sz w:val="14"/>
                <w:szCs w:val="14"/>
              </w:rPr>
              <w:t>RSRP, RSRQ measurements contained in the measurement reports shall meet the corresponding accuracy requirements at the measurement instance specified in the clauses 10.1.2B, 10.1.3B, 10.1.4B, 10.1.5B, 10.1.7B, 10.1.8B, 10.1.9B, 10.1.10B.</w:t>
            </w:r>
          </w:p>
        </w:tc>
      </w:tr>
    </w:tbl>
    <w:p w14:paraId="238F479F" w14:textId="77777777" w:rsidR="0014176C" w:rsidRDefault="0014176C" w:rsidP="0014176C">
      <w:pPr>
        <w:spacing w:after="120"/>
        <w:rPr>
          <w:color w:val="000000" w:themeColor="text1"/>
          <w:szCs w:val="24"/>
          <w:lang w:eastAsia="zh-CN"/>
        </w:rPr>
      </w:pPr>
    </w:p>
    <w:p w14:paraId="4ABB5649" w14:textId="77777777" w:rsidR="0014176C" w:rsidRDefault="0014176C" w:rsidP="0014176C">
      <w:pPr>
        <w:spacing w:after="120"/>
        <w:rPr>
          <w:color w:val="000000" w:themeColor="text1"/>
          <w:szCs w:val="24"/>
          <w:lang w:eastAsia="zh-CN"/>
        </w:rPr>
      </w:pPr>
      <w:r>
        <w:rPr>
          <w:color w:val="000000" w:themeColor="text1"/>
          <w:szCs w:val="24"/>
          <w:lang w:eastAsia="zh-CN"/>
        </w:rPr>
        <w:t xml:space="preserve">The following figure illustrates the highlighted cases. If ValidityDuration is configured, it is performed retrospectively. If the validityDuration is not configured, UE may still report. </w:t>
      </w:r>
    </w:p>
    <w:p w14:paraId="0FE9F8DA" w14:textId="77777777" w:rsidR="0014176C" w:rsidRDefault="0014176C" w:rsidP="0014176C">
      <w:pPr>
        <w:keepNext/>
        <w:spacing w:after="120"/>
        <w:jc w:val="center"/>
      </w:pPr>
      <w:r>
        <w:rPr>
          <w:noProof/>
          <w:color w:val="000000" w:themeColor="text1"/>
          <w:szCs w:val="24"/>
          <w:lang w:eastAsia="zh-CN"/>
        </w:rPr>
        <w:drawing>
          <wp:inline distT="0" distB="0" distL="0" distR="0" wp14:anchorId="30297664" wp14:editId="41AF9DC4">
            <wp:extent cx="4808018" cy="1216274"/>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94505" cy="1238152"/>
                    </a:xfrm>
                    <a:prstGeom prst="rect">
                      <a:avLst/>
                    </a:prstGeom>
                    <a:noFill/>
                  </pic:spPr>
                </pic:pic>
              </a:graphicData>
            </a:graphic>
          </wp:inline>
        </w:drawing>
      </w:r>
    </w:p>
    <w:p w14:paraId="1DFC7DDE" w14:textId="77777777" w:rsidR="0014176C" w:rsidRDefault="0014176C" w:rsidP="0014176C">
      <w:pPr>
        <w:pStyle w:val="Caption"/>
        <w:rPr>
          <w:color w:val="000000" w:themeColor="text1"/>
          <w:szCs w:val="24"/>
          <w:lang w:eastAsia="zh-CN"/>
        </w:rPr>
      </w:pPr>
      <w:r>
        <w:t xml:space="preserve">Figure </w:t>
      </w:r>
      <w:r>
        <w:fldChar w:fldCharType="begin"/>
      </w:r>
      <w:r>
        <w:instrText xml:space="preserve"> SEQ Figure \* ARABIC </w:instrText>
      </w:r>
      <w:r>
        <w:fldChar w:fldCharType="separate"/>
      </w:r>
      <w:r>
        <w:rPr>
          <w:noProof/>
        </w:rPr>
        <w:t>2</w:t>
      </w:r>
      <w:r>
        <w:fldChar w:fldCharType="end"/>
      </w:r>
      <w:r>
        <w:t>: EMR R-18 operation, UE checks measurements retrospectively</w:t>
      </w:r>
    </w:p>
    <w:p w14:paraId="7A7569BD" w14:textId="77777777" w:rsidR="0014176C" w:rsidRDefault="0014176C" w:rsidP="0014176C">
      <w:r>
        <w:t xml:space="preserve">If the UE has been woken up with LP-WUS, at the MSG-1 there may not be measurements. For this case RAN4 may define that if the is woken up by the LP-WUS signal, it may skip the </w:t>
      </w:r>
      <w:proofErr w:type="spellStart"/>
      <w:r>
        <w:t>validityCheck</w:t>
      </w:r>
      <w:proofErr w:type="spellEnd"/>
      <w:r>
        <w:t xml:space="preserve">. </w:t>
      </w:r>
    </w:p>
    <w:p w14:paraId="05666B6E" w14:textId="77777777" w:rsidR="0014176C" w:rsidRDefault="0014176C" w:rsidP="0014176C">
      <w:pPr>
        <w:pStyle w:val="RAN4proposal"/>
      </w:pPr>
      <w:bookmarkStart w:id="13" w:name="_Toc210411052"/>
      <w:bookmarkStart w:id="14" w:name="_Toc213431847"/>
      <w:r>
        <w:t xml:space="preserve">For Rel-18 eEMR if the UE has been woken up by LP-WUS from fully offloading scenario, UE may skip the </w:t>
      </w:r>
      <w:proofErr w:type="spellStart"/>
      <w:r>
        <w:t>validityCheck</w:t>
      </w:r>
      <w:proofErr w:type="spellEnd"/>
      <w:r>
        <w:t xml:space="preserve"> for the configured carriers (</w:t>
      </w:r>
      <w:proofErr w:type="spellStart"/>
      <w:r w:rsidRPr="00D04BA6">
        <w:rPr>
          <w:i/>
          <w:iCs w:val="0"/>
        </w:rPr>
        <w:t>measIdleCarrierListNR</w:t>
      </w:r>
      <w:proofErr w:type="spellEnd"/>
      <w:r w:rsidRPr="00A04785">
        <w:t xml:space="preserve"> or </w:t>
      </w:r>
      <w:proofErr w:type="spellStart"/>
      <w:r w:rsidRPr="00D04BA6">
        <w:rPr>
          <w:i/>
          <w:iCs w:val="0"/>
        </w:rPr>
        <w:t>measReselectionCarrierListNR</w:t>
      </w:r>
      <w:proofErr w:type="spellEnd"/>
      <w:r w:rsidRPr="00A04785">
        <w:t>)</w:t>
      </w:r>
      <w:r>
        <w:t>.</w:t>
      </w:r>
      <w:bookmarkEnd w:id="13"/>
      <w:bookmarkEnd w:id="14"/>
      <w:r>
        <w:t xml:space="preserve"> </w:t>
      </w:r>
    </w:p>
    <w:p w14:paraId="5034DCCD" w14:textId="77777777" w:rsidR="0014176C" w:rsidRPr="00637FBA" w:rsidRDefault="0014176C" w:rsidP="0014176C"/>
    <w:p w14:paraId="17077998" w14:textId="77777777" w:rsidR="0014176C" w:rsidRDefault="0014176C" w:rsidP="0014176C">
      <w:pPr>
        <w:rPr>
          <w:rFonts w:ascii="Arial" w:eastAsia="SimSun" w:hAnsi="Arial" w:cs="Times New Roman"/>
          <w:sz w:val="36"/>
          <w:szCs w:val="20"/>
        </w:rPr>
      </w:pPr>
      <w:r>
        <w:br w:type="page"/>
      </w:r>
    </w:p>
    <w:p w14:paraId="4DD3ED2D" w14:textId="77777777" w:rsidR="0060543D" w:rsidRPr="008F786B" w:rsidRDefault="0060543D" w:rsidP="005C23A4"/>
    <w:p w14:paraId="18E3FDCD" w14:textId="78EE9959" w:rsidR="00381F95" w:rsidRDefault="00CD7492" w:rsidP="00936159">
      <w:pPr>
        <w:pStyle w:val="RAN4H1"/>
      </w:pPr>
      <w:bookmarkStart w:id="15" w:name="_Toc116995848"/>
      <w:r w:rsidRPr="008F786B">
        <w:t>Conclusion</w:t>
      </w:r>
      <w:bookmarkEnd w:id="15"/>
    </w:p>
    <w:p w14:paraId="747DD248" w14:textId="77777777" w:rsidR="003C0870" w:rsidRPr="003C0870" w:rsidRDefault="003C0870" w:rsidP="003C0870"/>
    <w:p w14:paraId="7D8C6701"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35F6F25E" w14:textId="77777777" w:rsidR="00031ABC" w:rsidRDefault="00A4355E">
      <w:pPr>
        <w:pStyle w:val="TOC4"/>
        <w:tabs>
          <w:tab w:val="right" w:leader="dot" w:pos="9617"/>
        </w:tabs>
        <w:rPr>
          <w:rFonts w:asciiTheme="minorHAnsi" w:eastAsiaTheme="minorEastAsia" w:hAnsiTheme="minorHAnsi"/>
          <w:noProof/>
          <w:sz w:val="22"/>
          <w:lang w:val="en-US"/>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213431842" w:history="1">
        <w:r w:rsidR="00031ABC" w:rsidRPr="00680CD6">
          <w:rPr>
            <w:rStyle w:val="Hyperlink"/>
            <w:b/>
            <w:noProof/>
          </w:rPr>
          <w:t>Observation 1:</w:t>
        </w:r>
        <w:r w:rsidR="00031ABC" w:rsidRPr="00680CD6">
          <w:rPr>
            <w:rStyle w:val="Hyperlink"/>
            <w:noProof/>
          </w:rPr>
          <w:t xml:space="preserve"> Network cannot configure exit threshold for RRM relaxation and with the margin, the exit may cause ping-pong.</w:t>
        </w:r>
      </w:hyperlink>
    </w:p>
    <w:p w14:paraId="5DBCE1DA" w14:textId="77777777" w:rsidR="00031ABC" w:rsidRDefault="006E6C08">
      <w:pPr>
        <w:pStyle w:val="TOC5"/>
        <w:tabs>
          <w:tab w:val="right" w:leader="dot" w:pos="9617"/>
        </w:tabs>
        <w:rPr>
          <w:rFonts w:asciiTheme="minorHAnsi" w:eastAsiaTheme="minorEastAsia" w:hAnsiTheme="minorHAnsi"/>
          <w:b w:val="0"/>
          <w:noProof/>
          <w:sz w:val="22"/>
          <w:lang w:val="en-US"/>
        </w:rPr>
      </w:pPr>
      <w:hyperlink w:anchor="_Toc213431843" w:history="1">
        <w:r w:rsidR="00031ABC" w:rsidRPr="00680CD6">
          <w:rPr>
            <w:rStyle w:val="Hyperlink"/>
            <w:noProof/>
          </w:rPr>
          <w:t>Proposal 1: Define static exit threshold based on entry threshold. Discuss what should be the value, e.g. 4dB.</w:t>
        </w:r>
      </w:hyperlink>
    </w:p>
    <w:p w14:paraId="32316301" w14:textId="77777777" w:rsidR="00031ABC" w:rsidRDefault="006E6C08">
      <w:pPr>
        <w:pStyle w:val="TOC5"/>
        <w:tabs>
          <w:tab w:val="right" w:leader="dot" w:pos="9617"/>
        </w:tabs>
        <w:rPr>
          <w:rFonts w:asciiTheme="minorHAnsi" w:eastAsiaTheme="minorEastAsia" w:hAnsiTheme="minorHAnsi"/>
          <w:b w:val="0"/>
          <w:noProof/>
          <w:sz w:val="22"/>
          <w:lang w:val="en-US"/>
        </w:rPr>
      </w:pPr>
      <w:hyperlink w:anchor="_Toc213431844" w:history="1">
        <w:r w:rsidR="00031ABC" w:rsidRPr="00680CD6">
          <w:rPr>
            <w:rStyle w:val="Hyperlink"/>
            <w:noProof/>
          </w:rPr>
          <w:t>Proposal 2:</w:t>
        </w:r>
        <w:r w:rsidR="00031ABC" w:rsidRPr="00680CD6">
          <w:rPr>
            <w:rStyle w:val="Hyperlink"/>
            <w:noProof/>
            <w:lang w:eastAsia="zh-CN"/>
          </w:rPr>
          <w:t xml:space="preserve"> The existing wakeup delay is re-used when UE exits RRM relaxation mode due to exit condition being met.</w:t>
        </w:r>
      </w:hyperlink>
    </w:p>
    <w:p w14:paraId="2BAFEC0A" w14:textId="77777777" w:rsidR="00031ABC" w:rsidRDefault="006E6C08">
      <w:pPr>
        <w:pStyle w:val="TOC5"/>
        <w:tabs>
          <w:tab w:val="right" w:leader="dot" w:pos="9617"/>
        </w:tabs>
        <w:rPr>
          <w:rFonts w:asciiTheme="minorHAnsi" w:eastAsiaTheme="minorEastAsia" w:hAnsiTheme="minorHAnsi"/>
          <w:b w:val="0"/>
          <w:noProof/>
          <w:sz w:val="22"/>
          <w:lang w:val="en-US"/>
        </w:rPr>
      </w:pPr>
      <w:hyperlink w:anchor="_Toc213431845" w:history="1">
        <w:r w:rsidR="00031ABC" w:rsidRPr="00680CD6">
          <w:rPr>
            <w:rStyle w:val="Hyperlink"/>
            <w:noProof/>
            <w:lang w:eastAsia="zh-CN"/>
          </w:rPr>
          <w:t>Proposal 3: RAN4 to confirm SDT requirements apply also for UE supporting LP-WUS</w:t>
        </w:r>
      </w:hyperlink>
    </w:p>
    <w:p w14:paraId="16FF0AD6" w14:textId="77777777" w:rsidR="00031ABC" w:rsidRDefault="006E6C08">
      <w:pPr>
        <w:pStyle w:val="TOC5"/>
        <w:tabs>
          <w:tab w:val="right" w:leader="dot" w:pos="9617"/>
        </w:tabs>
        <w:rPr>
          <w:rFonts w:asciiTheme="minorHAnsi" w:eastAsiaTheme="minorEastAsia" w:hAnsiTheme="minorHAnsi"/>
          <w:b w:val="0"/>
          <w:noProof/>
          <w:sz w:val="22"/>
          <w:lang w:val="en-US"/>
        </w:rPr>
      </w:pPr>
      <w:hyperlink w:anchor="_Toc213431846" w:history="1">
        <w:r w:rsidR="00031ABC" w:rsidRPr="00680CD6">
          <w:rPr>
            <w:rStyle w:val="Hyperlink"/>
            <w:noProof/>
            <w:lang w:eastAsia="zh-CN"/>
          </w:rPr>
          <w:t>Proposal 4: The UE supporting LP-WUS uses LR-RSRP measurements for condition evaluation when the evaluation is started while the UE is in MR offloading (i.e., no MR results available).</w:t>
        </w:r>
      </w:hyperlink>
    </w:p>
    <w:p w14:paraId="514F66FE" w14:textId="77777777" w:rsidR="00031ABC" w:rsidRDefault="006E6C08">
      <w:pPr>
        <w:pStyle w:val="TOC5"/>
        <w:tabs>
          <w:tab w:val="right" w:leader="dot" w:pos="9617"/>
        </w:tabs>
        <w:rPr>
          <w:rFonts w:asciiTheme="minorHAnsi" w:eastAsiaTheme="minorEastAsia" w:hAnsiTheme="minorHAnsi"/>
          <w:b w:val="0"/>
          <w:noProof/>
          <w:sz w:val="22"/>
          <w:lang w:val="en-US"/>
        </w:rPr>
      </w:pPr>
      <w:hyperlink w:anchor="_Toc213431847" w:history="1">
        <w:r w:rsidR="00031ABC" w:rsidRPr="00680CD6">
          <w:rPr>
            <w:rStyle w:val="Hyperlink"/>
            <w:noProof/>
          </w:rPr>
          <w:t>Proposal 5: For Rel-18 eEMR if the UE has been woken up by LP-WUS from fully offloading scenario, UE may skip the validityCheck for the configured carriers (</w:t>
        </w:r>
        <w:r w:rsidR="00031ABC" w:rsidRPr="00680CD6">
          <w:rPr>
            <w:rStyle w:val="Hyperlink"/>
            <w:i/>
            <w:noProof/>
          </w:rPr>
          <w:t>measIdleCarrierListNR</w:t>
        </w:r>
        <w:r w:rsidR="00031ABC" w:rsidRPr="00680CD6">
          <w:rPr>
            <w:rStyle w:val="Hyperlink"/>
            <w:noProof/>
          </w:rPr>
          <w:t xml:space="preserve"> or </w:t>
        </w:r>
        <w:r w:rsidR="00031ABC" w:rsidRPr="00680CD6">
          <w:rPr>
            <w:rStyle w:val="Hyperlink"/>
            <w:i/>
            <w:noProof/>
          </w:rPr>
          <w:t>measReselectionCarrierListNR</w:t>
        </w:r>
        <w:r w:rsidR="00031ABC" w:rsidRPr="00680CD6">
          <w:rPr>
            <w:rStyle w:val="Hyperlink"/>
            <w:noProof/>
          </w:rPr>
          <w:t>).</w:t>
        </w:r>
      </w:hyperlink>
    </w:p>
    <w:p w14:paraId="426A1A71" w14:textId="6E2F0167" w:rsidR="00847264" w:rsidRPr="008F786B" w:rsidRDefault="00A4355E" w:rsidP="008C39F7">
      <w:r w:rsidRPr="008F786B">
        <w:fldChar w:fldCharType="end"/>
      </w:r>
      <w:bookmarkStart w:id="16" w:name="_Toc116995849"/>
    </w:p>
    <w:bookmarkEnd w:id="16"/>
    <w:p w14:paraId="0FFAF2E2" w14:textId="77777777" w:rsidR="00E43BF9" w:rsidRPr="008F786B" w:rsidRDefault="00E43BF9" w:rsidP="00E43BF9">
      <w:pPr>
        <w:ind w:right="-22"/>
      </w:pPr>
    </w:p>
    <w:p w14:paraId="393A61DC"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B7864A" w14:textId="77777777" w:rsidR="00C42524" w:rsidRDefault="00C42524" w:rsidP="00001C9B">
      <w:pPr>
        <w:spacing w:after="0" w:line="240" w:lineRule="auto"/>
      </w:pPr>
      <w:r>
        <w:separator/>
      </w:r>
    </w:p>
  </w:endnote>
  <w:endnote w:type="continuationSeparator" w:id="0">
    <w:p w14:paraId="24DCC13C" w14:textId="77777777" w:rsidR="00C42524" w:rsidRDefault="00C42524" w:rsidP="00001C9B">
      <w:pPr>
        <w:spacing w:after="0" w:line="240" w:lineRule="auto"/>
      </w:pPr>
      <w:r>
        <w:continuationSeparator/>
      </w:r>
    </w:p>
  </w:endnote>
  <w:endnote w:type="continuationNotice" w:id="1">
    <w:p w14:paraId="1503A59F" w14:textId="77777777" w:rsidR="00C42524" w:rsidRDefault="00C425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bold">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97E853" w14:textId="77777777" w:rsidR="00C42524" w:rsidRDefault="00C42524" w:rsidP="00001C9B">
      <w:pPr>
        <w:spacing w:after="0" w:line="240" w:lineRule="auto"/>
      </w:pPr>
      <w:r>
        <w:separator/>
      </w:r>
    </w:p>
  </w:footnote>
  <w:footnote w:type="continuationSeparator" w:id="0">
    <w:p w14:paraId="19F4666E" w14:textId="77777777" w:rsidR="00C42524" w:rsidRDefault="00C42524" w:rsidP="00001C9B">
      <w:pPr>
        <w:spacing w:after="0" w:line="240" w:lineRule="auto"/>
      </w:pPr>
      <w:r>
        <w:continuationSeparator/>
      </w:r>
    </w:p>
  </w:footnote>
  <w:footnote w:type="continuationNotice" w:id="1">
    <w:p w14:paraId="344E1E93" w14:textId="77777777" w:rsidR="00C42524" w:rsidRDefault="00C425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50446"/>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55680E"/>
    <w:multiLevelType w:val="hybridMultilevel"/>
    <w:tmpl w:val="3D80E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EB3587"/>
    <w:multiLevelType w:val="multilevel"/>
    <w:tmpl w:val="602E1D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1D56CE"/>
    <w:multiLevelType w:val="multilevel"/>
    <w:tmpl w:val="CD5A7A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7362A0"/>
    <w:multiLevelType w:val="hybridMultilevel"/>
    <w:tmpl w:val="DAA0D668"/>
    <w:lvl w:ilvl="0" w:tplc="0AB4D8AC">
      <w:numFmt w:val="bullet"/>
      <w:lvlText w:val="-"/>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962789"/>
    <w:multiLevelType w:val="hybridMultilevel"/>
    <w:tmpl w:val="FC04CE8A"/>
    <w:lvl w:ilvl="0" w:tplc="40090001">
      <w:start w:val="1"/>
      <w:numFmt w:val="bullet"/>
      <w:lvlText w:val=""/>
      <w:lvlJc w:val="left"/>
      <w:pPr>
        <w:ind w:left="770" w:hanging="360"/>
      </w:pPr>
      <w:rPr>
        <w:rFonts w:ascii="Symbol" w:hAnsi="Symbol" w:hint="default"/>
      </w:rPr>
    </w:lvl>
    <w:lvl w:ilvl="1" w:tplc="40090003" w:tentative="1">
      <w:start w:val="1"/>
      <w:numFmt w:val="bullet"/>
      <w:lvlText w:val="o"/>
      <w:lvlJc w:val="left"/>
      <w:pPr>
        <w:ind w:left="1490" w:hanging="360"/>
      </w:pPr>
      <w:rPr>
        <w:rFonts w:ascii="Courier New" w:hAnsi="Courier New" w:cs="Courier New" w:hint="default"/>
      </w:rPr>
    </w:lvl>
    <w:lvl w:ilvl="2" w:tplc="40090005" w:tentative="1">
      <w:start w:val="1"/>
      <w:numFmt w:val="bullet"/>
      <w:lvlText w:val=""/>
      <w:lvlJc w:val="left"/>
      <w:pPr>
        <w:ind w:left="2210" w:hanging="360"/>
      </w:pPr>
      <w:rPr>
        <w:rFonts w:ascii="Wingdings" w:hAnsi="Wingdings" w:hint="default"/>
      </w:rPr>
    </w:lvl>
    <w:lvl w:ilvl="3" w:tplc="40090001" w:tentative="1">
      <w:start w:val="1"/>
      <w:numFmt w:val="bullet"/>
      <w:lvlText w:val=""/>
      <w:lvlJc w:val="left"/>
      <w:pPr>
        <w:ind w:left="2930" w:hanging="360"/>
      </w:pPr>
      <w:rPr>
        <w:rFonts w:ascii="Symbol" w:hAnsi="Symbol" w:hint="default"/>
      </w:rPr>
    </w:lvl>
    <w:lvl w:ilvl="4" w:tplc="40090003" w:tentative="1">
      <w:start w:val="1"/>
      <w:numFmt w:val="bullet"/>
      <w:lvlText w:val="o"/>
      <w:lvlJc w:val="left"/>
      <w:pPr>
        <w:ind w:left="3650" w:hanging="360"/>
      </w:pPr>
      <w:rPr>
        <w:rFonts w:ascii="Courier New" w:hAnsi="Courier New" w:cs="Courier New" w:hint="default"/>
      </w:rPr>
    </w:lvl>
    <w:lvl w:ilvl="5" w:tplc="40090005" w:tentative="1">
      <w:start w:val="1"/>
      <w:numFmt w:val="bullet"/>
      <w:lvlText w:val=""/>
      <w:lvlJc w:val="left"/>
      <w:pPr>
        <w:ind w:left="4370" w:hanging="360"/>
      </w:pPr>
      <w:rPr>
        <w:rFonts w:ascii="Wingdings" w:hAnsi="Wingdings" w:hint="default"/>
      </w:rPr>
    </w:lvl>
    <w:lvl w:ilvl="6" w:tplc="40090001" w:tentative="1">
      <w:start w:val="1"/>
      <w:numFmt w:val="bullet"/>
      <w:lvlText w:val=""/>
      <w:lvlJc w:val="left"/>
      <w:pPr>
        <w:ind w:left="5090" w:hanging="360"/>
      </w:pPr>
      <w:rPr>
        <w:rFonts w:ascii="Symbol" w:hAnsi="Symbol" w:hint="default"/>
      </w:rPr>
    </w:lvl>
    <w:lvl w:ilvl="7" w:tplc="40090003" w:tentative="1">
      <w:start w:val="1"/>
      <w:numFmt w:val="bullet"/>
      <w:lvlText w:val="o"/>
      <w:lvlJc w:val="left"/>
      <w:pPr>
        <w:ind w:left="5810" w:hanging="360"/>
      </w:pPr>
      <w:rPr>
        <w:rFonts w:ascii="Courier New" w:hAnsi="Courier New" w:cs="Courier New" w:hint="default"/>
      </w:rPr>
    </w:lvl>
    <w:lvl w:ilvl="8" w:tplc="40090005" w:tentative="1">
      <w:start w:val="1"/>
      <w:numFmt w:val="bullet"/>
      <w:lvlText w:val=""/>
      <w:lvlJc w:val="left"/>
      <w:pPr>
        <w:ind w:left="6530" w:hanging="36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99358AC"/>
    <w:multiLevelType w:val="hybridMultilevel"/>
    <w:tmpl w:val="0A34E51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AFC5C44"/>
    <w:multiLevelType w:val="multilevel"/>
    <w:tmpl w:val="A71C7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9E3832"/>
    <w:multiLevelType w:val="hybridMultilevel"/>
    <w:tmpl w:val="EE12CBE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E5E6CBD"/>
    <w:multiLevelType w:val="hybridMultilevel"/>
    <w:tmpl w:val="AB12524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3FC273A0">
      <w:start w:val="4"/>
      <w:numFmt w:val="bullet"/>
      <w:lvlText w:val="-"/>
      <w:lvlJc w:val="left"/>
      <w:pPr>
        <w:ind w:left="1080" w:hanging="360"/>
      </w:pPr>
      <w:rPr>
        <w:rFonts w:ascii="Times New Roman" w:eastAsiaTheme="minorHAns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8"/>
  </w:num>
  <w:num w:numId="4">
    <w:abstractNumId w:val="7"/>
  </w:num>
  <w:num w:numId="5">
    <w:abstractNumId w:val="23"/>
  </w:num>
  <w:num w:numId="6">
    <w:abstractNumId w:val="14"/>
  </w:num>
  <w:num w:numId="7">
    <w:abstractNumId w:val="17"/>
  </w:num>
  <w:num w:numId="8">
    <w:abstractNumId w:val="17"/>
    <w:lvlOverride w:ilvl="0">
      <w:startOverride w:val="1"/>
    </w:lvlOverride>
  </w:num>
  <w:num w:numId="9">
    <w:abstractNumId w:val="17"/>
    <w:lvlOverride w:ilvl="0">
      <w:startOverride w:val="1"/>
    </w:lvlOverride>
  </w:num>
  <w:num w:numId="10">
    <w:abstractNumId w:val="17"/>
    <w:lvlOverride w:ilvl="0">
      <w:startOverride w:val="1"/>
    </w:lvlOverride>
  </w:num>
  <w:num w:numId="11">
    <w:abstractNumId w:val="14"/>
    <w:lvlOverride w:ilvl="0">
      <w:startOverride w:val="1"/>
    </w:lvlOverride>
  </w:num>
  <w:num w:numId="12">
    <w:abstractNumId w:val="17"/>
    <w:lvlOverride w:ilvl="0">
      <w:startOverride w:val="1"/>
    </w:lvlOverride>
  </w:num>
  <w:num w:numId="13">
    <w:abstractNumId w:val="14"/>
    <w:lvlOverride w:ilvl="0">
      <w:startOverride w:val="1"/>
    </w:lvlOverride>
  </w:num>
  <w:num w:numId="14">
    <w:abstractNumId w:val="17"/>
    <w:lvlOverride w:ilvl="0">
      <w:startOverride w:val="1"/>
    </w:lvlOverride>
  </w:num>
  <w:num w:numId="15">
    <w:abstractNumId w:val="25"/>
  </w:num>
  <w:num w:numId="16">
    <w:abstractNumId w:val="6"/>
  </w:num>
  <w:num w:numId="17">
    <w:abstractNumId w:val="22"/>
  </w:num>
  <w:num w:numId="18">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1"/>
  </w:num>
  <w:num w:numId="22">
    <w:abstractNumId w:val="14"/>
    <w:lvlOverride w:ilvl="0">
      <w:startOverride w:val="1"/>
    </w:lvlOverride>
  </w:num>
  <w:num w:numId="23">
    <w:abstractNumId w:val="17"/>
    <w:lvlOverride w:ilvl="0">
      <w:startOverride w:val="1"/>
    </w:lvlOverride>
  </w:num>
  <w:num w:numId="24">
    <w:abstractNumId w:val="3"/>
  </w:num>
  <w:num w:numId="25">
    <w:abstractNumId w:val="1"/>
  </w:num>
  <w:num w:numId="26">
    <w:abstractNumId w:val="1"/>
    <w:lvlOverride w:ilvl="0">
      <w:startOverride w:val="1"/>
    </w:lvlOverride>
  </w:num>
  <w:num w:numId="27">
    <w:abstractNumId w:val="26"/>
  </w:num>
  <w:num w:numId="28">
    <w:abstractNumId w:val="4"/>
  </w:num>
  <w:num w:numId="29">
    <w:abstractNumId w:val="20"/>
  </w:num>
  <w:num w:numId="30">
    <w:abstractNumId w:val="15"/>
  </w:num>
  <w:num w:numId="31">
    <w:abstractNumId w:val="9"/>
  </w:num>
  <w:num w:numId="32">
    <w:abstractNumId w:val="9"/>
    <w:lvlOverride w:ilvl="1">
      <w:lvl w:ilvl="1">
        <w:numFmt w:val="bullet"/>
        <w:lvlText w:val=""/>
        <w:lvlJc w:val="left"/>
        <w:pPr>
          <w:tabs>
            <w:tab w:val="num" w:pos="1440"/>
          </w:tabs>
          <w:ind w:left="1440" w:hanging="360"/>
        </w:pPr>
        <w:rPr>
          <w:rFonts w:ascii="Symbol" w:hAnsi="Symbol" w:hint="default"/>
          <w:sz w:val="20"/>
        </w:rPr>
      </w:lvl>
    </w:lvlOverride>
  </w:num>
  <w:num w:numId="33">
    <w:abstractNumId w:val="9"/>
    <w:lvlOverride w:ilvl="0">
      <w:lvl w:ilvl="0">
        <w:start w:val="1"/>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tentative="1">
        <w:start w:val="1"/>
        <w:numFmt w:val="bullet"/>
        <w:lvlText w:val=""/>
        <w:lvlJc w:val="left"/>
        <w:pPr>
          <w:tabs>
            <w:tab w:val="num" w:pos="2160"/>
          </w:tabs>
          <w:ind w:left="2160" w:hanging="360"/>
        </w:pPr>
        <w:rPr>
          <w:rFonts w:ascii="Wingdings" w:hAnsi="Wingdings" w:hint="default"/>
          <w:sz w:val="20"/>
        </w:rPr>
      </w:lvl>
    </w:lvlOverride>
    <w:lvlOverride w:ilvl="3">
      <w:lvl w:ilvl="3" w:tentative="1">
        <w:start w:val="1"/>
        <w:numFmt w:val="bullet"/>
        <w:lvlText w:val=""/>
        <w:lvlJc w:val="left"/>
        <w:pPr>
          <w:tabs>
            <w:tab w:val="num" w:pos="2880"/>
          </w:tabs>
          <w:ind w:left="2880" w:hanging="360"/>
        </w:pPr>
        <w:rPr>
          <w:rFonts w:ascii="Wingdings" w:hAnsi="Wingdings" w:hint="default"/>
          <w:sz w:val="20"/>
        </w:rPr>
      </w:lvl>
    </w:lvlOverride>
    <w:lvlOverride w:ilvl="4">
      <w:lvl w:ilvl="4" w:tentative="1">
        <w:start w:val="1"/>
        <w:numFmt w:val="bullet"/>
        <w:lvlText w:val=""/>
        <w:lvlJc w:val="left"/>
        <w:pPr>
          <w:tabs>
            <w:tab w:val="num" w:pos="3600"/>
          </w:tabs>
          <w:ind w:left="3600" w:hanging="360"/>
        </w:pPr>
        <w:rPr>
          <w:rFonts w:ascii="Wingdings" w:hAnsi="Wingdings" w:hint="default"/>
          <w:sz w:val="20"/>
        </w:rPr>
      </w:lvl>
    </w:lvlOverride>
    <w:lvlOverride w:ilvl="5">
      <w:lvl w:ilvl="5" w:tentative="1">
        <w:start w:val="1"/>
        <w:numFmt w:val="bullet"/>
        <w:lvlText w:val=""/>
        <w:lvlJc w:val="left"/>
        <w:pPr>
          <w:tabs>
            <w:tab w:val="num" w:pos="4320"/>
          </w:tabs>
          <w:ind w:left="4320" w:hanging="360"/>
        </w:pPr>
        <w:rPr>
          <w:rFonts w:ascii="Wingdings" w:hAnsi="Wingdings" w:hint="default"/>
          <w:sz w:val="20"/>
        </w:rPr>
      </w:lvl>
    </w:lvlOverride>
    <w:lvlOverride w:ilvl="6">
      <w:lvl w:ilvl="6" w:tentative="1">
        <w:start w:val="1"/>
        <w:numFmt w:val="bullet"/>
        <w:lvlText w:val=""/>
        <w:lvlJc w:val="left"/>
        <w:pPr>
          <w:tabs>
            <w:tab w:val="num" w:pos="5040"/>
          </w:tabs>
          <w:ind w:left="5040" w:hanging="360"/>
        </w:pPr>
        <w:rPr>
          <w:rFonts w:ascii="Wingdings" w:hAnsi="Wingdings" w:hint="default"/>
          <w:sz w:val="20"/>
        </w:rPr>
      </w:lvl>
    </w:lvlOverride>
    <w:lvlOverride w:ilvl="7">
      <w:lvl w:ilvl="7" w:tentative="1">
        <w:start w:val="1"/>
        <w:numFmt w:val="bullet"/>
        <w:lvlText w:val=""/>
        <w:lvlJc w:val="left"/>
        <w:pPr>
          <w:tabs>
            <w:tab w:val="num" w:pos="5760"/>
          </w:tabs>
          <w:ind w:left="5760" w:hanging="360"/>
        </w:pPr>
        <w:rPr>
          <w:rFonts w:ascii="Wingdings" w:hAnsi="Wingdings" w:hint="default"/>
          <w:sz w:val="20"/>
        </w:rPr>
      </w:lvl>
    </w:lvlOverride>
    <w:lvlOverride w:ilvl="8">
      <w:lvl w:ilvl="8" w:tentative="1">
        <w:start w:val="1"/>
        <w:numFmt w:val="bullet"/>
        <w:lvlText w:val=""/>
        <w:lvlJc w:val="left"/>
        <w:pPr>
          <w:tabs>
            <w:tab w:val="num" w:pos="6480"/>
          </w:tabs>
          <w:ind w:left="6480" w:hanging="360"/>
        </w:pPr>
        <w:rPr>
          <w:rFonts w:ascii="Wingdings" w:hAnsi="Wingdings" w:hint="default"/>
          <w:sz w:val="20"/>
        </w:rPr>
      </w:lvl>
    </w:lvlOverride>
  </w:num>
  <w:num w:numId="34">
    <w:abstractNumId w:val="19"/>
  </w:num>
  <w:num w:numId="35">
    <w:abstractNumId w:val="10"/>
  </w:num>
  <w:num w:numId="36">
    <w:abstractNumId w:val="13"/>
  </w:num>
  <w:num w:numId="37">
    <w:abstractNumId w:val="11"/>
  </w:num>
  <w:num w:numId="38">
    <w:abstractNumId w:val="0"/>
  </w:num>
  <w:num w:numId="39">
    <w:abstractNumId w:val="24"/>
  </w:num>
  <w:num w:numId="40">
    <w:abstractNumId w:val="5"/>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attachedTemplate r:id="rId1"/>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87182"/>
    <w:rsid w:val="00001C9B"/>
    <w:rsid w:val="000040DC"/>
    <w:rsid w:val="00011784"/>
    <w:rsid w:val="000151EF"/>
    <w:rsid w:val="000239F5"/>
    <w:rsid w:val="00031ABC"/>
    <w:rsid w:val="00057DC7"/>
    <w:rsid w:val="00061256"/>
    <w:rsid w:val="00062139"/>
    <w:rsid w:val="00072CCA"/>
    <w:rsid w:val="0007601C"/>
    <w:rsid w:val="00081544"/>
    <w:rsid w:val="0008612A"/>
    <w:rsid w:val="00087182"/>
    <w:rsid w:val="00090E18"/>
    <w:rsid w:val="000A10BC"/>
    <w:rsid w:val="000A7F53"/>
    <w:rsid w:val="000B0056"/>
    <w:rsid w:val="000C3C7B"/>
    <w:rsid w:val="000D06EB"/>
    <w:rsid w:val="000D0F93"/>
    <w:rsid w:val="000D72B3"/>
    <w:rsid w:val="000E0E9C"/>
    <w:rsid w:val="000E23D7"/>
    <w:rsid w:val="000F01B4"/>
    <w:rsid w:val="000F2081"/>
    <w:rsid w:val="000F4B51"/>
    <w:rsid w:val="00106416"/>
    <w:rsid w:val="00110481"/>
    <w:rsid w:val="001127C9"/>
    <w:rsid w:val="00114498"/>
    <w:rsid w:val="00115B88"/>
    <w:rsid w:val="00124B73"/>
    <w:rsid w:val="00132F6A"/>
    <w:rsid w:val="00133913"/>
    <w:rsid w:val="00140221"/>
    <w:rsid w:val="0014176C"/>
    <w:rsid w:val="00161913"/>
    <w:rsid w:val="0016394D"/>
    <w:rsid w:val="001642FC"/>
    <w:rsid w:val="0016496B"/>
    <w:rsid w:val="00171F53"/>
    <w:rsid w:val="001743E2"/>
    <w:rsid w:val="001745F8"/>
    <w:rsid w:val="00182687"/>
    <w:rsid w:val="001838CF"/>
    <w:rsid w:val="001868EE"/>
    <w:rsid w:val="001939F1"/>
    <w:rsid w:val="00194AEC"/>
    <w:rsid w:val="001A35CF"/>
    <w:rsid w:val="001A3BA4"/>
    <w:rsid w:val="001A6D1F"/>
    <w:rsid w:val="001B1EA8"/>
    <w:rsid w:val="001B2AEF"/>
    <w:rsid w:val="001C0025"/>
    <w:rsid w:val="001C4688"/>
    <w:rsid w:val="001E30F6"/>
    <w:rsid w:val="001E6ABF"/>
    <w:rsid w:val="00216379"/>
    <w:rsid w:val="00217EE5"/>
    <w:rsid w:val="00225F78"/>
    <w:rsid w:val="002270CE"/>
    <w:rsid w:val="0023559D"/>
    <w:rsid w:val="00235F5C"/>
    <w:rsid w:val="0024235F"/>
    <w:rsid w:val="002433E2"/>
    <w:rsid w:val="00257FA3"/>
    <w:rsid w:val="00277B56"/>
    <w:rsid w:val="00282A74"/>
    <w:rsid w:val="002849D4"/>
    <w:rsid w:val="00295E70"/>
    <w:rsid w:val="002A19F5"/>
    <w:rsid w:val="002A7D7F"/>
    <w:rsid w:val="002B4922"/>
    <w:rsid w:val="002B69F3"/>
    <w:rsid w:val="002C22C3"/>
    <w:rsid w:val="002C2D19"/>
    <w:rsid w:val="002D10FA"/>
    <w:rsid w:val="002D3983"/>
    <w:rsid w:val="002D4C55"/>
    <w:rsid w:val="002E6DED"/>
    <w:rsid w:val="00300956"/>
    <w:rsid w:val="00307EE8"/>
    <w:rsid w:val="00310E21"/>
    <w:rsid w:val="00317187"/>
    <w:rsid w:val="0032499A"/>
    <w:rsid w:val="00332AE2"/>
    <w:rsid w:val="003341F7"/>
    <w:rsid w:val="00344420"/>
    <w:rsid w:val="00345BB4"/>
    <w:rsid w:val="00347FEC"/>
    <w:rsid w:val="003509DF"/>
    <w:rsid w:val="00356F45"/>
    <w:rsid w:val="00366B74"/>
    <w:rsid w:val="003774C0"/>
    <w:rsid w:val="00381F95"/>
    <w:rsid w:val="003A710A"/>
    <w:rsid w:val="003B4307"/>
    <w:rsid w:val="003B659E"/>
    <w:rsid w:val="003C0870"/>
    <w:rsid w:val="003C275E"/>
    <w:rsid w:val="003C4FDE"/>
    <w:rsid w:val="003E33B4"/>
    <w:rsid w:val="003E58DF"/>
    <w:rsid w:val="003F7007"/>
    <w:rsid w:val="00404C4C"/>
    <w:rsid w:val="00414107"/>
    <w:rsid w:val="0041423F"/>
    <w:rsid w:val="00414D10"/>
    <w:rsid w:val="00414F81"/>
    <w:rsid w:val="00426B9A"/>
    <w:rsid w:val="00436A0F"/>
    <w:rsid w:val="00437150"/>
    <w:rsid w:val="0043750A"/>
    <w:rsid w:val="00447577"/>
    <w:rsid w:val="00453ABA"/>
    <w:rsid w:val="00460BD9"/>
    <w:rsid w:val="004732E9"/>
    <w:rsid w:val="004854BB"/>
    <w:rsid w:val="00494493"/>
    <w:rsid w:val="00496606"/>
    <w:rsid w:val="004A44D8"/>
    <w:rsid w:val="004E5E66"/>
    <w:rsid w:val="004E7ADB"/>
    <w:rsid w:val="00503B4D"/>
    <w:rsid w:val="00504EE9"/>
    <w:rsid w:val="00514E4F"/>
    <w:rsid w:val="00521576"/>
    <w:rsid w:val="005250E6"/>
    <w:rsid w:val="00532F86"/>
    <w:rsid w:val="00542D23"/>
    <w:rsid w:val="0054442C"/>
    <w:rsid w:val="00545E53"/>
    <w:rsid w:val="00550285"/>
    <w:rsid w:val="00561877"/>
    <w:rsid w:val="00562492"/>
    <w:rsid w:val="005624E0"/>
    <w:rsid w:val="00572A20"/>
    <w:rsid w:val="00581618"/>
    <w:rsid w:val="005836F8"/>
    <w:rsid w:val="00590D4E"/>
    <w:rsid w:val="005918FA"/>
    <w:rsid w:val="00592A86"/>
    <w:rsid w:val="005B3029"/>
    <w:rsid w:val="005B4801"/>
    <w:rsid w:val="005C23A4"/>
    <w:rsid w:val="005C7EFA"/>
    <w:rsid w:val="005D1CDF"/>
    <w:rsid w:val="005D1E52"/>
    <w:rsid w:val="005D2BB7"/>
    <w:rsid w:val="005D6FFE"/>
    <w:rsid w:val="005E61A8"/>
    <w:rsid w:val="005F2A50"/>
    <w:rsid w:val="005F3459"/>
    <w:rsid w:val="005F53B1"/>
    <w:rsid w:val="005F6419"/>
    <w:rsid w:val="0060301D"/>
    <w:rsid w:val="0060543D"/>
    <w:rsid w:val="006104DD"/>
    <w:rsid w:val="006130B5"/>
    <w:rsid w:val="00614DD8"/>
    <w:rsid w:val="00617400"/>
    <w:rsid w:val="0062080A"/>
    <w:rsid w:val="00621B03"/>
    <w:rsid w:val="00632D29"/>
    <w:rsid w:val="00636B8D"/>
    <w:rsid w:val="0064171D"/>
    <w:rsid w:val="00652381"/>
    <w:rsid w:val="00664950"/>
    <w:rsid w:val="00665142"/>
    <w:rsid w:val="00671C5E"/>
    <w:rsid w:val="006749E0"/>
    <w:rsid w:val="00683220"/>
    <w:rsid w:val="00684302"/>
    <w:rsid w:val="0068781B"/>
    <w:rsid w:val="00687FA0"/>
    <w:rsid w:val="0069243E"/>
    <w:rsid w:val="006A3C11"/>
    <w:rsid w:val="006B1FEC"/>
    <w:rsid w:val="006B7010"/>
    <w:rsid w:val="006C3095"/>
    <w:rsid w:val="006E1151"/>
    <w:rsid w:val="006E6311"/>
    <w:rsid w:val="006E6C08"/>
    <w:rsid w:val="006E7B34"/>
    <w:rsid w:val="00701D91"/>
    <w:rsid w:val="007122AE"/>
    <w:rsid w:val="007145FF"/>
    <w:rsid w:val="00715B2A"/>
    <w:rsid w:val="00733B21"/>
    <w:rsid w:val="007376A9"/>
    <w:rsid w:val="00744C6A"/>
    <w:rsid w:val="007450F1"/>
    <w:rsid w:val="00751515"/>
    <w:rsid w:val="007614B3"/>
    <w:rsid w:val="007626B7"/>
    <w:rsid w:val="0076396B"/>
    <w:rsid w:val="00773EB4"/>
    <w:rsid w:val="0078212B"/>
    <w:rsid w:val="00784DF6"/>
    <w:rsid w:val="00785232"/>
    <w:rsid w:val="0079176D"/>
    <w:rsid w:val="00797A8E"/>
    <w:rsid w:val="007A2588"/>
    <w:rsid w:val="007B186C"/>
    <w:rsid w:val="007C1696"/>
    <w:rsid w:val="007C3ED0"/>
    <w:rsid w:val="007C48C4"/>
    <w:rsid w:val="007C5971"/>
    <w:rsid w:val="007D4AE9"/>
    <w:rsid w:val="007E42DC"/>
    <w:rsid w:val="007E4668"/>
    <w:rsid w:val="007F54B9"/>
    <w:rsid w:val="0080564C"/>
    <w:rsid w:val="00806A76"/>
    <w:rsid w:val="00811C9D"/>
    <w:rsid w:val="00816C80"/>
    <w:rsid w:val="0081797B"/>
    <w:rsid w:val="00827847"/>
    <w:rsid w:val="0082796A"/>
    <w:rsid w:val="0083707A"/>
    <w:rsid w:val="00841BCD"/>
    <w:rsid w:val="00843D43"/>
    <w:rsid w:val="00847264"/>
    <w:rsid w:val="00851A8E"/>
    <w:rsid w:val="0085365B"/>
    <w:rsid w:val="008668DA"/>
    <w:rsid w:val="008826C1"/>
    <w:rsid w:val="00883DFD"/>
    <w:rsid w:val="0088689B"/>
    <w:rsid w:val="0089210C"/>
    <w:rsid w:val="00893D2E"/>
    <w:rsid w:val="00896208"/>
    <w:rsid w:val="008A1BF7"/>
    <w:rsid w:val="008A3140"/>
    <w:rsid w:val="008A5B0E"/>
    <w:rsid w:val="008B0961"/>
    <w:rsid w:val="008C39F7"/>
    <w:rsid w:val="008E66CB"/>
    <w:rsid w:val="008F786B"/>
    <w:rsid w:val="0090091A"/>
    <w:rsid w:val="0090373B"/>
    <w:rsid w:val="009042BD"/>
    <w:rsid w:val="00904FE4"/>
    <w:rsid w:val="00927740"/>
    <w:rsid w:val="00932873"/>
    <w:rsid w:val="00935244"/>
    <w:rsid w:val="00936159"/>
    <w:rsid w:val="00940B80"/>
    <w:rsid w:val="00942DA5"/>
    <w:rsid w:val="00977E1D"/>
    <w:rsid w:val="009A32FE"/>
    <w:rsid w:val="009B0573"/>
    <w:rsid w:val="009B7B4B"/>
    <w:rsid w:val="009B7C21"/>
    <w:rsid w:val="009E4E6E"/>
    <w:rsid w:val="009E5FA9"/>
    <w:rsid w:val="00A00433"/>
    <w:rsid w:val="00A04992"/>
    <w:rsid w:val="00A04E73"/>
    <w:rsid w:val="00A147AA"/>
    <w:rsid w:val="00A1694E"/>
    <w:rsid w:val="00A21D71"/>
    <w:rsid w:val="00A22B78"/>
    <w:rsid w:val="00A246F7"/>
    <w:rsid w:val="00A25AE5"/>
    <w:rsid w:val="00A26442"/>
    <w:rsid w:val="00A37002"/>
    <w:rsid w:val="00A4355E"/>
    <w:rsid w:val="00A520D9"/>
    <w:rsid w:val="00A57B89"/>
    <w:rsid w:val="00A64DA0"/>
    <w:rsid w:val="00A74866"/>
    <w:rsid w:val="00A814E6"/>
    <w:rsid w:val="00A91E46"/>
    <w:rsid w:val="00A92BCD"/>
    <w:rsid w:val="00AA1B0E"/>
    <w:rsid w:val="00AA47B6"/>
    <w:rsid w:val="00AA6C9B"/>
    <w:rsid w:val="00AC06C0"/>
    <w:rsid w:val="00AC163B"/>
    <w:rsid w:val="00AC5CA7"/>
    <w:rsid w:val="00AC6058"/>
    <w:rsid w:val="00AC64B7"/>
    <w:rsid w:val="00AD06FF"/>
    <w:rsid w:val="00AD449D"/>
    <w:rsid w:val="00AE2BA5"/>
    <w:rsid w:val="00AE3586"/>
    <w:rsid w:val="00AE56B1"/>
    <w:rsid w:val="00AE6D09"/>
    <w:rsid w:val="00AF7A7C"/>
    <w:rsid w:val="00B02070"/>
    <w:rsid w:val="00B101E9"/>
    <w:rsid w:val="00B258FE"/>
    <w:rsid w:val="00B26A8A"/>
    <w:rsid w:val="00B3555A"/>
    <w:rsid w:val="00B408B6"/>
    <w:rsid w:val="00B41136"/>
    <w:rsid w:val="00B542DA"/>
    <w:rsid w:val="00B66B7D"/>
    <w:rsid w:val="00B72F7D"/>
    <w:rsid w:val="00B73862"/>
    <w:rsid w:val="00B73F43"/>
    <w:rsid w:val="00B75BBF"/>
    <w:rsid w:val="00B81CDC"/>
    <w:rsid w:val="00B8798A"/>
    <w:rsid w:val="00BA308C"/>
    <w:rsid w:val="00BA6B66"/>
    <w:rsid w:val="00BA6E48"/>
    <w:rsid w:val="00BC063B"/>
    <w:rsid w:val="00BD1174"/>
    <w:rsid w:val="00BD7CA2"/>
    <w:rsid w:val="00BE0AF6"/>
    <w:rsid w:val="00BE1F03"/>
    <w:rsid w:val="00BE58A7"/>
    <w:rsid w:val="00BF2218"/>
    <w:rsid w:val="00BF737B"/>
    <w:rsid w:val="00C0426B"/>
    <w:rsid w:val="00C045DF"/>
    <w:rsid w:val="00C26D43"/>
    <w:rsid w:val="00C35173"/>
    <w:rsid w:val="00C42524"/>
    <w:rsid w:val="00C43F4A"/>
    <w:rsid w:val="00C46548"/>
    <w:rsid w:val="00C5267B"/>
    <w:rsid w:val="00C55B97"/>
    <w:rsid w:val="00C574D5"/>
    <w:rsid w:val="00C73F32"/>
    <w:rsid w:val="00C76818"/>
    <w:rsid w:val="00C851E4"/>
    <w:rsid w:val="00C862C1"/>
    <w:rsid w:val="00C87462"/>
    <w:rsid w:val="00CA180C"/>
    <w:rsid w:val="00CB22B2"/>
    <w:rsid w:val="00CC3EE2"/>
    <w:rsid w:val="00CD6C0E"/>
    <w:rsid w:val="00CD7492"/>
    <w:rsid w:val="00CE3A6B"/>
    <w:rsid w:val="00D00211"/>
    <w:rsid w:val="00D006D1"/>
    <w:rsid w:val="00D025AE"/>
    <w:rsid w:val="00D03109"/>
    <w:rsid w:val="00D06309"/>
    <w:rsid w:val="00D145B4"/>
    <w:rsid w:val="00D349A5"/>
    <w:rsid w:val="00D351EA"/>
    <w:rsid w:val="00D40288"/>
    <w:rsid w:val="00D43403"/>
    <w:rsid w:val="00D4506A"/>
    <w:rsid w:val="00D50A6B"/>
    <w:rsid w:val="00D5270B"/>
    <w:rsid w:val="00D53B5A"/>
    <w:rsid w:val="00D62E71"/>
    <w:rsid w:val="00D6430D"/>
    <w:rsid w:val="00D66188"/>
    <w:rsid w:val="00D731F6"/>
    <w:rsid w:val="00D740CA"/>
    <w:rsid w:val="00D816F8"/>
    <w:rsid w:val="00D85728"/>
    <w:rsid w:val="00D95481"/>
    <w:rsid w:val="00D95902"/>
    <w:rsid w:val="00D968F3"/>
    <w:rsid w:val="00D96E40"/>
    <w:rsid w:val="00DA0162"/>
    <w:rsid w:val="00DB0AEA"/>
    <w:rsid w:val="00DC7A13"/>
    <w:rsid w:val="00DE7064"/>
    <w:rsid w:val="00DF2997"/>
    <w:rsid w:val="00E00600"/>
    <w:rsid w:val="00E10BC4"/>
    <w:rsid w:val="00E1415D"/>
    <w:rsid w:val="00E213BD"/>
    <w:rsid w:val="00E233D3"/>
    <w:rsid w:val="00E30CF6"/>
    <w:rsid w:val="00E323E9"/>
    <w:rsid w:val="00E32FB6"/>
    <w:rsid w:val="00E34018"/>
    <w:rsid w:val="00E437D2"/>
    <w:rsid w:val="00E43BF9"/>
    <w:rsid w:val="00E47BC6"/>
    <w:rsid w:val="00E51930"/>
    <w:rsid w:val="00E5329A"/>
    <w:rsid w:val="00E535F8"/>
    <w:rsid w:val="00E54B70"/>
    <w:rsid w:val="00E55751"/>
    <w:rsid w:val="00E5652C"/>
    <w:rsid w:val="00E7398E"/>
    <w:rsid w:val="00E82B94"/>
    <w:rsid w:val="00E82EEB"/>
    <w:rsid w:val="00E87217"/>
    <w:rsid w:val="00EA2311"/>
    <w:rsid w:val="00EB1ECF"/>
    <w:rsid w:val="00EC7BC3"/>
    <w:rsid w:val="00ED7600"/>
    <w:rsid w:val="00EE24C9"/>
    <w:rsid w:val="00EE32F8"/>
    <w:rsid w:val="00EF6073"/>
    <w:rsid w:val="00EF698B"/>
    <w:rsid w:val="00F0422C"/>
    <w:rsid w:val="00F1362C"/>
    <w:rsid w:val="00F2616B"/>
    <w:rsid w:val="00F414F1"/>
    <w:rsid w:val="00F434E9"/>
    <w:rsid w:val="00F508B8"/>
    <w:rsid w:val="00F72CB1"/>
    <w:rsid w:val="00F8133A"/>
    <w:rsid w:val="00F8215E"/>
    <w:rsid w:val="00F824F5"/>
    <w:rsid w:val="00F90B22"/>
    <w:rsid w:val="00F90FAB"/>
    <w:rsid w:val="00F9374D"/>
    <w:rsid w:val="00FB6924"/>
    <w:rsid w:val="00FC29B9"/>
    <w:rsid w:val="00FC6FD3"/>
    <w:rsid w:val="00FD15E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5B333F"/>
  <w15:chartTrackingRefBased/>
  <w15:docId w15:val="{266365ED-3C82-424B-8FB1-4D8F2952B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목록 단락,?? ??,?????,????,リスト段落,Lista1,列出段落1,中等深浅网格 1 - 着色 21,列表段落1,—ño’i—Ž,¥¡¡¡¡ì¬º¥¹¥È¶ÎÂä,ÁÐ³ö¶ÎÂä,¥ê¥¹¥È¶ÎÂä,1st level - Bullet List Paragraph,Lettre d'introduction,Paragrafo elenco,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목록 단락 Char,?? ?? Char,????? Char,???? Char,リスト段落 Char,Lista1 Char,列出段落1 Char,中等深浅网格 1 - 着色 21 Char,列表段落1 Char,—ño’i—Ž Char,¥¡¡¡¡ì¬º¥¹¥È¶ÎÂä Char,ÁÐ³ö¶ÎÂä Char,清單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 Char,3GPP Caption Table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NormalWeb">
    <w:name w:val="Normal (Web)"/>
    <w:basedOn w:val="Normal"/>
    <w:uiPriority w:val="99"/>
    <w:semiHidden/>
    <w:unhideWhenUsed/>
    <w:rsid w:val="00C76818"/>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28789957">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426001189">
      <w:bodyDiv w:val="1"/>
      <w:marLeft w:val="0"/>
      <w:marRight w:val="0"/>
      <w:marTop w:val="0"/>
      <w:marBottom w:val="0"/>
      <w:divBdr>
        <w:top w:val="none" w:sz="0" w:space="0" w:color="auto"/>
        <w:left w:val="none" w:sz="0" w:space="0" w:color="auto"/>
        <w:bottom w:val="none" w:sz="0" w:space="0" w:color="auto"/>
        <w:right w:val="none" w:sz="0" w:space="0" w:color="auto"/>
      </w:divBdr>
    </w:div>
    <w:div w:id="513422629">
      <w:bodyDiv w:val="1"/>
      <w:marLeft w:val="0"/>
      <w:marRight w:val="0"/>
      <w:marTop w:val="0"/>
      <w:marBottom w:val="0"/>
      <w:divBdr>
        <w:top w:val="none" w:sz="0" w:space="0" w:color="auto"/>
        <w:left w:val="none" w:sz="0" w:space="0" w:color="auto"/>
        <w:bottom w:val="none" w:sz="0" w:space="0" w:color="auto"/>
        <w:right w:val="none" w:sz="0" w:space="0" w:color="auto"/>
      </w:divBdr>
    </w:div>
    <w:div w:id="518391142">
      <w:bodyDiv w:val="1"/>
      <w:marLeft w:val="0"/>
      <w:marRight w:val="0"/>
      <w:marTop w:val="0"/>
      <w:marBottom w:val="0"/>
      <w:divBdr>
        <w:top w:val="none" w:sz="0" w:space="0" w:color="auto"/>
        <w:left w:val="none" w:sz="0" w:space="0" w:color="auto"/>
        <w:bottom w:val="none" w:sz="0" w:space="0" w:color="auto"/>
        <w:right w:val="none" w:sz="0" w:space="0" w:color="auto"/>
      </w:divBdr>
    </w:div>
    <w:div w:id="583958299">
      <w:bodyDiv w:val="1"/>
      <w:marLeft w:val="0"/>
      <w:marRight w:val="0"/>
      <w:marTop w:val="0"/>
      <w:marBottom w:val="0"/>
      <w:divBdr>
        <w:top w:val="none" w:sz="0" w:space="0" w:color="auto"/>
        <w:left w:val="none" w:sz="0" w:space="0" w:color="auto"/>
        <w:bottom w:val="none" w:sz="0" w:space="0" w:color="auto"/>
        <w:right w:val="none" w:sz="0" w:space="0" w:color="auto"/>
      </w:divBdr>
    </w:div>
    <w:div w:id="665088149">
      <w:bodyDiv w:val="1"/>
      <w:marLeft w:val="0"/>
      <w:marRight w:val="0"/>
      <w:marTop w:val="0"/>
      <w:marBottom w:val="0"/>
      <w:divBdr>
        <w:top w:val="none" w:sz="0" w:space="0" w:color="auto"/>
        <w:left w:val="none" w:sz="0" w:space="0" w:color="auto"/>
        <w:bottom w:val="none" w:sz="0" w:space="0" w:color="auto"/>
        <w:right w:val="none" w:sz="0" w:space="0" w:color="auto"/>
      </w:divBdr>
    </w:div>
    <w:div w:id="787435574">
      <w:bodyDiv w:val="1"/>
      <w:marLeft w:val="0"/>
      <w:marRight w:val="0"/>
      <w:marTop w:val="0"/>
      <w:marBottom w:val="0"/>
      <w:divBdr>
        <w:top w:val="none" w:sz="0" w:space="0" w:color="auto"/>
        <w:left w:val="none" w:sz="0" w:space="0" w:color="auto"/>
        <w:bottom w:val="none" w:sz="0" w:space="0" w:color="auto"/>
        <w:right w:val="none" w:sz="0" w:space="0" w:color="auto"/>
      </w:divBdr>
    </w:div>
    <w:div w:id="1184439898">
      <w:bodyDiv w:val="1"/>
      <w:marLeft w:val="0"/>
      <w:marRight w:val="0"/>
      <w:marTop w:val="0"/>
      <w:marBottom w:val="0"/>
      <w:divBdr>
        <w:top w:val="none" w:sz="0" w:space="0" w:color="auto"/>
        <w:left w:val="none" w:sz="0" w:space="0" w:color="auto"/>
        <w:bottom w:val="none" w:sz="0" w:space="0" w:color="auto"/>
        <w:right w:val="none" w:sz="0" w:space="0" w:color="auto"/>
      </w:divBdr>
    </w:div>
    <w:div w:id="1367213480">
      <w:bodyDiv w:val="1"/>
      <w:marLeft w:val="0"/>
      <w:marRight w:val="0"/>
      <w:marTop w:val="0"/>
      <w:marBottom w:val="0"/>
      <w:divBdr>
        <w:top w:val="none" w:sz="0" w:space="0" w:color="auto"/>
        <w:left w:val="none" w:sz="0" w:space="0" w:color="auto"/>
        <w:bottom w:val="none" w:sz="0" w:space="0" w:color="auto"/>
        <w:right w:val="none" w:sz="0" w:space="0" w:color="auto"/>
      </w:divBdr>
    </w:div>
    <w:div w:id="1554736145">
      <w:bodyDiv w:val="1"/>
      <w:marLeft w:val="0"/>
      <w:marRight w:val="0"/>
      <w:marTop w:val="0"/>
      <w:marBottom w:val="0"/>
      <w:divBdr>
        <w:top w:val="none" w:sz="0" w:space="0" w:color="auto"/>
        <w:left w:val="none" w:sz="0" w:space="0" w:color="auto"/>
        <w:bottom w:val="none" w:sz="0" w:space="0" w:color="auto"/>
        <w:right w:val="none" w:sz="0" w:space="0" w:color="auto"/>
      </w:divBdr>
    </w:div>
    <w:div w:id="1865092178">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reddy\Nokia\Generation%20X+%20Research%20and%20Standardization%20Program%20(GX+)%20-%20RAN4%20SCG\RAN4%20meetings\RAN4%20117%20-%20Dallas\!Templates\R4-25xxxxx-templateFul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7f4b1af6-9b68-4a7d-87b3-3155be75cd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573F2B3F6E18C4DA3A9D2D99BEFEFC8" ma:contentTypeVersion="16" ma:contentTypeDescription="Create a new document." ma:contentTypeScope="" ma:versionID="ea6263b1c1d9ef976e1e48f15612e845">
  <xsd:schema xmlns:xsd="http://www.w3.org/2001/XMLSchema" xmlns:xs="http://www.w3.org/2001/XMLSchema" xmlns:p="http://schemas.microsoft.com/office/2006/metadata/properties" xmlns:ns3="7f4b1af6-9b68-4a7d-87b3-3155be75cd5e" xmlns:ns4="3b7ba6bb-b3e0-4f80-91b5-d3bb0cd324b7" targetNamespace="http://schemas.microsoft.com/office/2006/metadata/properties" ma:root="true" ma:fieldsID="8bd82814a5bfe8c9f2bc1458759fde4c" ns3:_="" ns4:_="">
    <xsd:import namespace="7f4b1af6-9b68-4a7d-87b3-3155be75cd5e"/>
    <xsd:import namespace="3b7ba6bb-b3e0-4f80-91b5-d3bb0cd324b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Locatio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4b1af6-9b68-4a7d-87b3-3155be75cd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7ba6bb-b3e0-4f80-91b5-d3bb0cd324b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F56727D3-8BA6-4A73-86B8-1F3CA3FC913E}">
  <ds:schemaRefs>
    <ds:schemaRef ds:uri="http://purl.org/dc/elements/1.1/"/>
    <ds:schemaRef ds:uri="http://schemas.microsoft.com/office/2006/documentManagement/types"/>
    <ds:schemaRef ds:uri="http://purl.org/dc/dcmitype/"/>
    <ds:schemaRef ds:uri="7f4b1af6-9b68-4a7d-87b3-3155be75cd5e"/>
    <ds:schemaRef ds:uri="http://schemas.microsoft.com/office/2006/metadata/properties"/>
    <ds:schemaRef ds:uri="http://www.w3.org/XML/1998/namespace"/>
    <ds:schemaRef ds:uri="3b7ba6bb-b3e0-4f80-91b5-d3bb0cd324b7"/>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6C8606BF-6EC4-4433-9795-A9510E543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4b1af6-9b68-4a7d-87b3-3155be75cd5e"/>
    <ds:schemaRef ds:uri="3b7ba6bb-b3e0-4f80-91b5-d3bb0cd32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R4-25xxxxx-templateFull.dotx</Template>
  <TotalTime>3</TotalTime>
  <Pages>4</Pages>
  <Words>1425</Words>
  <Characters>8125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9531</CharactersWithSpaces>
  <SharedDoc>false</SharedDoc>
  <HLinks>
    <vt:vector size="24" baseType="variant">
      <vt:variant>
        <vt:i4>1376315</vt:i4>
      </vt:variant>
      <vt:variant>
        <vt:i4>11</vt:i4>
      </vt:variant>
      <vt:variant>
        <vt:i4>0</vt:i4>
      </vt:variant>
      <vt:variant>
        <vt:i4>5</vt:i4>
      </vt:variant>
      <vt:variant>
        <vt:lpwstr/>
      </vt:variant>
      <vt:variant>
        <vt:lpwstr>_Toc133918805</vt:lpwstr>
      </vt:variant>
      <vt:variant>
        <vt:i4>1376315</vt:i4>
      </vt:variant>
      <vt:variant>
        <vt:i4>8</vt:i4>
      </vt:variant>
      <vt:variant>
        <vt:i4>0</vt:i4>
      </vt:variant>
      <vt:variant>
        <vt:i4>5</vt:i4>
      </vt:variant>
      <vt:variant>
        <vt:lpwstr/>
      </vt:variant>
      <vt:variant>
        <vt:lpwstr>_Toc133918804</vt:lpwstr>
      </vt:variant>
      <vt:variant>
        <vt:i4>1376315</vt:i4>
      </vt:variant>
      <vt:variant>
        <vt:i4>5</vt:i4>
      </vt:variant>
      <vt:variant>
        <vt:i4>0</vt:i4>
      </vt:variant>
      <vt:variant>
        <vt:i4>5</vt:i4>
      </vt:variant>
      <vt:variant>
        <vt:lpwstr/>
      </vt:variant>
      <vt:variant>
        <vt:lpwstr>_Toc133918803</vt:lpwstr>
      </vt:variant>
      <vt:variant>
        <vt:i4>1376315</vt:i4>
      </vt:variant>
      <vt:variant>
        <vt:i4>2</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 Phani</dc:creator>
  <cp:keywords/>
  <dc:description/>
  <cp:lastModifiedBy>Nokia</cp:lastModifiedBy>
  <cp:revision>8</cp:revision>
  <dcterms:created xsi:type="dcterms:W3CDTF">2025-11-07T18:17:00Z</dcterms:created>
  <dcterms:modified xsi:type="dcterms:W3CDTF">2025-11-07T18:22:00Z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0x0101002573F2B3F6E18C4DA3A9D2D99BEFEFC8</vt:lpwstr>
  </property>
  <property fmtid="{D5CDD505-2E9C-101B-9397-08002B2CF9AE}" pid="4" name="_dlc_DocIdItemGuid">
    <vt:lpwstr>2aebac30-a300-434c-bf15-e876910fbe5d</vt:lpwstr>
  </property>
</Properties>
</file>