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bookmarkStart w:id="0" w:name="Title"/>
      <w:bookmarkEnd w:id="0"/>
      <w:r>
        <w:rPr>
          <w:rFonts w:ascii="Arial" w:hAnsi="Arial" w:eastAsia="宋体"/>
          <w:b/>
          <w:color w:val="auto"/>
          <w:sz w:val="24"/>
          <w:lang w:val="en-GB" w:eastAsia="zh-CN"/>
        </w:rPr>
        <w:t>3GPP TSG-RAN WG4 Meeting #117</w:t>
      </w:r>
      <w:r>
        <w:rPr>
          <w:rFonts w:ascii="Arial" w:hAnsi="Arial" w:eastAsia="宋体"/>
          <w:b/>
          <w:color w:val="auto"/>
          <w:sz w:val="24"/>
          <w:lang w:val="en-GB" w:eastAsia="zh-CN"/>
        </w:rPr>
        <w:tab/>
      </w:r>
      <w:r>
        <w:rPr>
          <w:rFonts w:hint="eastAsia" w:ascii="Arial" w:hAnsi="Arial"/>
          <w:b/>
          <w:color w:val="auto"/>
          <w:sz w:val="24"/>
          <w:lang w:val="en-US" w:eastAsia="zh-CN"/>
        </w:rPr>
        <w:t xml:space="preserve">                                   </w:t>
      </w:r>
      <w:r>
        <w:rPr>
          <w:rFonts w:hint="eastAsia" w:ascii="Arial" w:hAnsi="Arial" w:eastAsia="宋体"/>
          <w:b/>
          <w:color w:val="auto"/>
          <w:sz w:val="24"/>
          <w:lang w:val="en-GB" w:eastAsia="zh-CN"/>
        </w:rPr>
        <w:t>R4-2521144</w:t>
      </w:r>
      <w:bookmarkStart w:id="7" w:name="_GoBack"/>
      <w:bookmarkEnd w:id="7"/>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r>
        <w:rPr>
          <w:rFonts w:ascii="Arial" w:hAnsi="Arial" w:eastAsia="宋体"/>
          <w:b/>
          <w:color w:val="auto"/>
          <w:sz w:val="24"/>
          <w:lang w:val="en-GB" w:eastAsia="zh-CN"/>
        </w:rPr>
        <w:t>Dallas, USA, Nov. 17-21,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6.10.3</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w:t>
      </w:r>
      <w:r>
        <w:rPr>
          <w:rFonts w:hint="eastAsia" w:ascii="Arial" w:hAnsi="Arial" w:eastAsia="MS Mincho" w:cs="Arial"/>
          <w:b/>
          <w:sz w:val="24"/>
          <w:szCs w:val="24"/>
          <w:lang w:val="en-US" w:eastAsia="en-US"/>
        </w:rPr>
        <w:t>R</w:t>
      </w:r>
      <w:r>
        <w:rPr>
          <w:rFonts w:ascii="Arial" w:hAnsi="Arial" w:eastAsia="MS Mincho" w:cs="Arial"/>
          <w:b/>
          <w:sz w:val="24"/>
          <w:szCs w:val="24"/>
          <w:lang w:val="en-US" w:eastAsia="en-US"/>
        </w:rPr>
        <w:t xml:space="preserve">RM performance requirements of Fast SCell activation for UE supporting Rel-18 EMR </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1" w:name="DocumentFor"/>
      <w:bookmarkEnd w:id="1"/>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03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several enhancements for NR and MR-DC RRM requirements</w:t>
      </w:r>
      <w:r>
        <w:rPr>
          <w:rFonts w:hint="eastAsia"/>
          <w:iCs/>
          <w:lang w:val="en-US" w:eastAsia="zh-CN"/>
        </w:rPr>
        <w:t xml:space="preserve"> was approval. There are two objectives need to be discussed in Rel-19, one is </w:t>
      </w:r>
      <w:r>
        <w:t>FR2-1 SSB based L3 measurement delay reduction for connected mode</w:t>
      </w:r>
      <w:r>
        <w:rPr>
          <w:rFonts w:hint="eastAsia"/>
          <w:lang w:val="en-US" w:eastAsia="zh-CN"/>
        </w:rPr>
        <w:t xml:space="preserve">, and the other is Fast SCell activation for UE supporting Rel-18 EMR. In this meeting, </w:t>
      </w:r>
      <w:r>
        <w:rPr>
          <w:rFonts w:hint="eastAsia"/>
          <w:color w:val="auto"/>
          <w:kern w:val="0"/>
          <w:sz w:val="21"/>
          <w:szCs w:val="21"/>
          <w:lang w:val="en-US" w:eastAsia="zh-CN"/>
        </w:rPr>
        <w:t>we should discuss performance part on fast SCell activation for UE supporting R18 EMR from this meeting</w:t>
      </w:r>
      <w:r>
        <w:rPr>
          <w:rFonts w:hint="eastAsia"/>
          <w:lang w:val="en-US" w:eastAsia="zh-CN"/>
        </w:rPr>
        <w:t xml:space="preserve">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858" w:type="dxa"/>
          </w:tcPr>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highlight w:val="none"/>
                <w:lang w:val="en-US" w:eastAsia="en-GB"/>
              </w:rPr>
            </w:pPr>
            <w:r>
              <w:rPr>
                <w:rFonts w:ascii="Times New Roman" w:hAnsi="Times New Roman" w:eastAsia="宋体" w:cs="Times New Roman"/>
                <w:kern w:val="0"/>
                <w:sz w:val="20"/>
                <w:szCs w:val="20"/>
                <w:highlight w:val="none"/>
                <w:lang w:val="en-GB" w:eastAsia="zh-TW"/>
              </w:rPr>
              <w:t xml:space="preserve">Fast SCell activation </w:t>
            </w:r>
            <w:r>
              <w:rPr>
                <w:rFonts w:ascii="Times New Roman" w:hAnsi="Times New Roman" w:eastAsia="等线" w:cs="Times New Roman"/>
                <w:kern w:val="0"/>
                <w:sz w:val="20"/>
                <w:szCs w:val="20"/>
                <w:highlight w:val="none"/>
                <w:lang w:val="en-GB" w:eastAsia="zh-CN"/>
              </w:rPr>
              <w:t xml:space="preserve">for UE supporting Rel-18 EMR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宋体" w:cs="Times New Roman"/>
                <w:highlight w:val="none"/>
                <w:lang w:val="en-US" w:eastAsia="en-GB" w:bidi="ar-SA"/>
              </w:rPr>
            </w:pPr>
            <w:r>
              <w:rPr>
                <w:rFonts w:ascii="Times New Roman" w:hAnsi="Times New Roman" w:eastAsia="宋体" w:cs="Times New Roman"/>
                <w:highlight w:val="none"/>
                <w:lang w:val="en-US" w:eastAsia="en-GB" w:bidi="ar-SA"/>
              </w:rPr>
              <w:t xml:space="preserve">Study and, if feasible, to reduce the SCell activation delay with </w:t>
            </w:r>
            <w:r>
              <w:rPr>
                <w:rFonts w:ascii="Times New Roman" w:hAnsi="Times New Roman" w:eastAsia="等线" w:cs="Times New Roman"/>
                <w:highlight w:val="none"/>
                <w:lang w:val="en-US" w:eastAsia="zh-CN" w:bidi="ar-SA"/>
              </w:rPr>
              <w:t xml:space="preserve">valid </w:t>
            </w:r>
            <w:r>
              <w:rPr>
                <w:rFonts w:ascii="Times New Roman" w:hAnsi="Times New Roman" w:eastAsia="宋体" w:cs="Times New Roman"/>
                <w:highlight w:val="none"/>
                <w:lang w:val="en-US" w:eastAsia="en-GB" w:bidi="ar-SA"/>
              </w:rPr>
              <w:t>EMR reporting</w:t>
            </w:r>
            <w:r>
              <w:rPr>
                <w:rFonts w:ascii="Times New Roman" w:hAnsi="Times New Roman" w:eastAsia="宋体" w:cs="Times New Roman"/>
                <w:highlight w:val="none"/>
                <w:lang w:val="en-GB" w:eastAsia="en-GB" w:bidi="ar-SA"/>
              </w:rPr>
              <w:t xml:space="preserve">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 xml:space="preserve">Apply fast scell activation in FR1 and FR2-1 </w:t>
            </w:r>
          </w:p>
          <w:p>
            <w:pPr>
              <w:numPr>
                <w:ilvl w:val="1"/>
                <w:numId w:val="4"/>
              </w:numPr>
              <w:overflowPunct w:val="0"/>
              <w:autoSpaceDE w:val="0"/>
              <w:autoSpaceDN w:val="0"/>
              <w:adjustRightInd w:val="0"/>
              <w:spacing w:after="120"/>
              <w:ind w:left="840" w:hanging="420"/>
              <w:contextualSpacing/>
              <w:jc w:val="both"/>
              <w:textAlignment w:val="baseline"/>
              <w:rPr>
                <w:rFonts w:hint="eastAsia"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Note: RAN4 to start this work from Q3’2024 and aim for completion in Dec’2024. Workplan for this bullet can be discussed in May’2024</w:t>
            </w:r>
          </w:p>
          <w:p>
            <w:pPr>
              <w:pStyle w:val="34"/>
              <w:numPr>
                <w:ilvl w:val="-1"/>
                <w:numId w:val="0"/>
              </w:numPr>
              <w:spacing w:before="0" w:beforeLines="0" w:after="0"/>
              <w:ind w:left="0" w:leftChars="0" w:firstLine="0" w:firstLineChars="0"/>
              <w:rPr>
                <w:rFonts w:hint="default" w:ascii="Times New Roman" w:hAnsi="Times New Roman" w:cs="Times New Roman"/>
                <w:b w:val="0"/>
                <w:bCs/>
                <w:color w:val="auto"/>
                <w:sz w:val="21"/>
                <w:szCs w:val="21"/>
              </w:rPr>
            </w:pPr>
          </w:p>
        </w:tc>
      </w:tr>
    </w:tbl>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2" w:name="OLE_LINK20"/>
      <w:bookmarkStart w:id="3" w:name="OLE_LINK10"/>
      <w:bookmarkStart w:id="4" w:name="OLE_LINK13"/>
      <w:bookmarkStart w:id="5" w:name="OLE_LINK14"/>
      <w:r>
        <w:rPr>
          <w:rFonts w:hint="eastAsia" w:eastAsia="Times New Roman"/>
          <w:color w:val="auto"/>
        </w:rPr>
        <w:t xml:space="preserve"> </w:t>
      </w:r>
    </w:p>
    <w:p>
      <w:pPr>
        <w:spacing w:after="157" w:afterLines="50"/>
        <w:rPr>
          <w:rFonts w:hint="default"/>
          <w:color w:val="auto"/>
          <w:lang w:val="en-US" w:eastAsia="zh-CN"/>
        </w:rPr>
      </w:pPr>
      <w:r>
        <w:rPr>
          <w:rFonts w:hint="eastAsia"/>
          <w:color w:val="auto"/>
          <w:lang w:val="en-US" w:eastAsia="zh-CN"/>
        </w:rPr>
        <w:t>During the discussion on core part, RAN4 has agreed that both single direct activation and MAC CE based single SCell activation are supported at SCell addition. Meanwhile, MAC CE based PUCCH SCell activation is included. Therefore, RAN4 should discuss the test cases for the requirements we have defined on core part. Based on this, there are six test cases will be intriduced to verify UE</w:t>
      </w:r>
      <w:r>
        <w:rPr>
          <w:rFonts w:hint="default"/>
          <w:color w:val="auto"/>
          <w:lang w:val="en-US" w:eastAsia="zh-CN"/>
        </w:rPr>
        <w:t>’</w:t>
      </w:r>
      <w:r>
        <w:rPr>
          <w:rFonts w:hint="eastAsia"/>
          <w:color w:val="auto"/>
          <w:lang w:val="en-US" w:eastAsia="zh-CN"/>
        </w:rPr>
        <w:t>s behavior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1" w:hRule="atLeast"/>
        </w:trPr>
        <w:tc>
          <w:tcPr>
            <w:tcW w:w="9858" w:type="dxa"/>
          </w:tcPr>
          <w:p>
            <w:pPr>
              <w:pStyle w:val="4"/>
              <w:rPr>
                <w:rFonts w:eastAsiaTheme="minorEastAsia"/>
                <w:sz w:val="21"/>
                <w:u w:val="single"/>
                <w:lang w:val="en-US"/>
              </w:rPr>
            </w:pPr>
            <w:r>
              <w:rPr>
                <w:sz w:val="21"/>
                <w:u w:val="single"/>
                <w:lang w:val="en-US" w:eastAsia="ko-KR"/>
              </w:rPr>
              <w:t>Issue 2-1-2: Applicability rules and number of test cases</w:t>
            </w:r>
          </w:p>
          <w:p>
            <w:pPr>
              <w:rPr>
                <w:rFonts w:eastAsiaTheme="minorEastAsia"/>
              </w:rPr>
            </w:pPr>
            <w:r>
              <w:rPr>
                <w:highlight w:val="green"/>
              </w:rPr>
              <w:t>Agreements:</w:t>
            </w:r>
            <w:r>
              <w:t xml:space="preserve"> </w:t>
            </w:r>
          </w:p>
          <w:p>
            <w:pPr>
              <w:pStyle w:val="34"/>
              <w:numPr>
                <w:ilvl w:val="0"/>
                <w:numId w:val="5"/>
              </w:numPr>
              <w:spacing w:after="120" w:afterLines="50"/>
              <w:ind w:left="714" w:hanging="357" w:firstLineChars="0"/>
            </w:pPr>
            <w:r>
              <w:rPr>
                <w:highlight w:val="yellow"/>
              </w:rPr>
              <w:t>Further discussion applicability rules</w:t>
            </w:r>
            <w:r>
              <w:t>, taking the table containing TCs for EMR based SCell activation as reference.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4"/>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tcBorders>
                    <w:top w:val="single" w:color="auto" w:sz="4" w:space="0"/>
                    <w:left w:val="single" w:color="auto" w:sz="4" w:space="0"/>
                    <w:bottom w:val="single" w:color="auto" w:sz="4" w:space="0"/>
                    <w:right w:val="single" w:color="auto" w:sz="4" w:space="0"/>
                  </w:tcBorders>
                </w:tcPr>
                <w:p>
                  <w:pPr>
                    <w:spacing w:after="0"/>
                    <w:rPr>
                      <w:rFonts w:eastAsiaTheme="minorEastAsia"/>
                    </w:rPr>
                  </w:pPr>
                  <w:r>
                    <w:rPr>
                      <w:rFonts w:eastAsiaTheme="minorEastAsia"/>
                    </w:rPr>
                    <w:t>TC No. (CR No.)</w:t>
                  </w:r>
                </w:p>
              </w:tc>
              <w:tc>
                <w:tcPr>
                  <w:tcW w:w="5812" w:type="dxa"/>
                  <w:tcBorders>
                    <w:top w:val="single" w:color="auto" w:sz="4" w:space="0"/>
                    <w:left w:val="single" w:color="auto" w:sz="4" w:space="0"/>
                    <w:bottom w:val="single" w:color="auto" w:sz="4" w:space="0"/>
                    <w:right w:val="single" w:color="auto" w:sz="4" w:space="0"/>
                  </w:tcBorders>
                </w:tcPr>
                <w:p>
                  <w:pPr>
                    <w:spacing w:after="0"/>
                    <w:rPr>
                      <w:rFonts w:eastAsiaTheme="minorEastAsia"/>
                    </w:rPr>
                  </w:pPr>
                  <w:r>
                    <w:rPr>
                      <w:rFonts w:eastAsiaTheme="minorEastAsia"/>
                    </w:rPr>
                    <w:t>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restart"/>
                  <w:tcBorders>
                    <w:top w:val="single" w:color="auto" w:sz="4" w:space="0"/>
                    <w:left w:val="single" w:color="auto" w:sz="4" w:space="0"/>
                    <w:right w:val="single" w:color="auto" w:sz="4" w:space="0"/>
                  </w:tcBorders>
                </w:tcPr>
                <w:p>
                  <w:pPr>
                    <w:spacing w:after="0"/>
                    <w:rPr>
                      <w:rFonts w:eastAsiaTheme="minorEastAsia"/>
                    </w:rPr>
                  </w:pPr>
                  <w:r>
                    <w:rPr>
                      <w:rFonts w:eastAsiaTheme="minorEastAsia"/>
                    </w:rPr>
                    <w:t>1</w:t>
                  </w: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Normal SCell activation + FR1 +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Normal SCell activation + FR1 + 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bottom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Normal SCell activation + FR1 + Configuration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restart"/>
                  <w:tcBorders>
                    <w:top w:val="single" w:color="auto" w:sz="4" w:space="0"/>
                    <w:left w:val="single" w:color="auto" w:sz="4" w:space="0"/>
                    <w:right w:val="single" w:color="auto" w:sz="4" w:space="0"/>
                  </w:tcBorders>
                </w:tcPr>
                <w:p>
                  <w:pPr>
                    <w:spacing w:after="0"/>
                    <w:rPr>
                      <w:rFonts w:eastAsiaTheme="minorEastAsia"/>
                    </w:rPr>
                  </w:pPr>
                  <w:r>
                    <w:rPr>
                      <w:rFonts w:eastAsiaTheme="minorEastAsia"/>
                    </w:rPr>
                    <w:t>2</w:t>
                  </w: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Normal SCell activation + FR2 +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Normal SCell activation + FR2 + 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bottom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Normal SCell activation + FR2 + Configuration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restart"/>
                  <w:tcBorders>
                    <w:top w:val="single" w:color="auto" w:sz="4" w:space="0"/>
                    <w:left w:val="single" w:color="auto" w:sz="4" w:space="0"/>
                    <w:right w:val="single" w:color="auto" w:sz="4" w:space="0"/>
                  </w:tcBorders>
                </w:tcPr>
                <w:p>
                  <w:pPr>
                    <w:spacing w:after="0"/>
                    <w:rPr>
                      <w:rFonts w:eastAsiaTheme="minorEastAsia"/>
                    </w:rPr>
                  </w:pPr>
                  <w:r>
                    <w:rPr>
                      <w:rFonts w:eastAsiaTheme="minorEastAsia"/>
                    </w:rPr>
                    <w:t>3</w:t>
                  </w: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Direct SCell activation at SCell addition + FR1 +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Direct SCell activation at SCell addition + FR1 + 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bottom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Direct SCell activation at SCell addition + FR1 + Configuration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restart"/>
                  <w:tcBorders>
                    <w:top w:val="single" w:color="auto" w:sz="4" w:space="0"/>
                    <w:left w:val="single" w:color="auto" w:sz="4" w:space="0"/>
                    <w:right w:val="single" w:color="auto" w:sz="4" w:space="0"/>
                  </w:tcBorders>
                </w:tcPr>
                <w:p>
                  <w:pPr>
                    <w:spacing w:after="0"/>
                    <w:rPr>
                      <w:rFonts w:eastAsiaTheme="minorEastAsia"/>
                    </w:rPr>
                  </w:pPr>
                  <w:r>
                    <w:rPr>
                      <w:rFonts w:eastAsiaTheme="minorEastAsia"/>
                    </w:rPr>
                    <w:t>4</w:t>
                  </w: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Direct SCell activation at SCell addition + FR2 +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Direct SCell activation at SCell addition + FR2 + 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bottom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Direct SCell activation at SCell addition + FR2 + Configuration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restart"/>
                  <w:tcBorders>
                    <w:top w:val="single" w:color="auto" w:sz="4" w:space="0"/>
                    <w:left w:val="single" w:color="auto" w:sz="4" w:space="0"/>
                    <w:right w:val="single" w:color="auto" w:sz="4" w:space="0"/>
                  </w:tcBorders>
                </w:tcPr>
                <w:p>
                  <w:pPr>
                    <w:spacing w:after="0"/>
                    <w:rPr>
                      <w:rFonts w:eastAsiaTheme="minorEastAsia"/>
                    </w:rPr>
                  </w:pPr>
                  <w:r>
                    <w:rPr>
                      <w:rFonts w:eastAsiaTheme="minorEastAsia"/>
                    </w:rPr>
                    <w:t>5</w:t>
                  </w: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PUCCH SCell activation + FR1 +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PUCCH SCell activation + FR1 + 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bottom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PUCCH SCell activation + FR1 + Configuration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restart"/>
                  <w:tcBorders>
                    <w:top w:val="single" w:color="auto" w:sz="4" w:space="0"/>
                    <w:left w:val="single" w:color="auto" w:sz="4" w:space="0"/>
                    <w:right w:val="single" w:color="auto" w:sz="4" w:space="0"/>
                  </w:tcBorders>
                </w:tcPr>
                <w:p>
                  <w:pPr>
                    <w:spacing w:after="0"/>
                    <w:rPr>
                      <w:rFonts w:eastAsiaTheme="minorEastAsia"/>
                    </w:rPr>
                  </w:pPr>
                  <w:r>
                    <w:rPr>
                      <w:rFonts w:eastAsiaTheme="minorEastAsia"/>
                    </w:rPr>
                    <w:t>6</w:t>
                  </w: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PUCCH SCell activation + FR2 +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PUCCH SCell activation + FR2 + 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Merge w:val="continue"/>
                  <w:tcBorders>
                    <w:left w:val="single" w:color="auto" w:sz="4" w:space="0"/>
                    <w:bottom w:val="single" w:color="auto" w:sz="4" w:space="0"/>
                    <w:right w:val="single" w:color="auto" w:sz="4" w:space="0"/>
                  </w:tcBorders>
                </w:tcPr>
                <w:p>
                  <w:pPr>
                    <w:spacing w:after="0"/>
                    <w:rPr>
                      <w:rFonts w:eastAsiaTheme="minorEastAsia"/>
                    </w:rPr>
                  </w:pPr>
                </w:p>
              </w:tc>
              <w:tc>
                <w:tcPr>
                  <w:tcW w:w="5812" w:type="dxa"/>
                  <w:tcBorders>
                    <w:top w:val="single" w:color="auto" w:sz="4" w:space="0"/>
                    <w:left w:val="single" w:color="auto" w:sz="4" w:space="0"/>
                    <w:bottom w:val="single" w:color="auto" w:sz="4" w:space="0"/>
                    <w:right w:val="single" w:color="auto" w:sz="4" w:space="0"/>
                  </w:tcBorders>
                  <w:vAlign w:val="center"/>
                </w:tcPr>
                <w:p>
                  <w:pPr>
                    <w:spacing w:after="0"/>
                  </w:pPr>
                  <w:r>
                    <w:t>PUCCH SCell activation + FR2 + Configuration 3</w:t>
                  </w:r>
                </w:p>
              </w:tc>
            </w:tr>
          </w:tbl>
          <w:p>
            <w:pPr>
              <w:spacing w:after="120"/>
              <w:rPr>
                <w:rFonts w:eastAsiaTheme="minorEastAsia"/>
                <w:lang w:val="en-US"/>
              </w:rPr>
            </w:pPr>
            <w:r>
              <w:rPr>
                <w:rFonts w:hint="eastAsia" w:eastAsiaTheme="minorEastAsia"/>
                <w:lang w:val="en-US"/>
              </w:rPr>
              <w:t>Way forward:</w:t>
            </w:r>
          </w:p>
          <w:p>
            <w:pPr>
              <w:pStyle w:val="34"/>
              <w:numPr>
                <w:ilvl w:val="1"/>
                <w:numId w:val="6"/>
              </w:numPr>
              <w:overflowPunct/>
              <w:autoSpaceDE/>
              <w:autoSpaceDN/>
              <w:adjustRightInd/>
              <w:spacing w:after="120"/>
              <w:ind w:left="1440" w:firstLineChars="0"/>
              <w:textAlignment w:val="auto"/>
              <w:rPr>
                <w:rFonts w:eastAsia="宋体"/>
                <w:szCs w:val="24"/>
              </w:rPr>
            </w:pPr>
            <w:r>
              <w:rPr>
                <w:rFonts w:hint="eastAsia" w:eastAsia="宋体"/>
                <w:szCs w:val="24"/>
              </w:rPr>
              <w:t>Discuss the following applicability rules as a starting point:</w:t>
            </w:r>
          </w:p>
          <w:p>
            <w:pPr>
              <w:pStyle w:val="34"/>
              <w:numPr>
                <w:ilvl w:val="2"/>
                <w:numId w:val="6"/>
              </w:numPr>
              <w:overflowPunct/>
              <w:autoSpaceDE/>
              <w:autoSpaceDN/>
              <w:adjustRightInd/>
              <w:spacing w:after="120"/>
              <w:ind w:left="1843" w:firstLineChars="0"/>
              <w:textAlignment w:val="auto"/>
              <w:rPr>
                <w:rFonts w:eastAsia="宋体"/>
                <w:szCs w:val="24"/>
              </w:rPr>
            </w:pPr>
            <w:r>
              <w:rPr>
                <w:rFonts w:hint="eastAsia" w:eastAsia="宋体"/>
                <w:szCs w:val="24"/>
              </w:rPr>
              <w:t>A</w:t>
            </w:r>
            <w:r>
              <w:rPr>
                <w:rFonts w:eastAsia="宋体"/>
                <w:szCs w:val="24"/>
              </w:rPr>
              <w:t>gree the following testing applicability rules:</w:t>
            </w:r>
            <w:r>
              <w:rPr>
                <w:rFonts w:hint="eastAsia" w:eastAsia="宋体"/>
                <w:szCs w:val="24"/>
              </w:rPr>
              <w:t xml:space="preserve"> </w:t>
            </w:r>
          </w:p>
          <w:p>
            <w:pPr>
              <w:pStyle w:val="34"/>
              <w:numPr>
                <w:ilvl w:val="3"/>
                <w:numId w:val="6"/>
              </w:numPr>
              <w:spacing w:after="120"/>
              <w:ind w:left="2268" w:firstLineChars="0"/>
              <w:rPr>
                <w:rFonts w:eastAsia="宋体"/>
                <w:szCs w:val="24"/>
              </w:rPr>
            </w:pPr>
            <w:r>
              <w:rPr>
                <w:rFonts w:eastAsia="宋体"/>
                <w:szCs w:val="24"/>
              </w:rPr>
              <w:t>Rule 1: for UE supporting Direct SCell activation at SCell addition or PUCCH SCell activation, eEMR-based fast SCell activation for normal SCell activation can be skipped.</w:t>
            </w:r>
          </w:p>
          <w:p>
            <w:pPr>
              <w:pStyle w:val="34"/>
              <w:numPr>
                <w:ilvl w:val="3"/>
                <w:numId w:val="6"/>
              </w:numPr>
              <w:spacing w:after="120"/>
              <w:ind w:left="2268" w:firstLineChars="0"/>
              <w:rPr>
                <w:rFonts w:eastAsia="宋体"/>
                <w:szCs w:val="24"/>
              </w:rPr>
            </w:pPr>
            <w:r>
              <w:rPr>
                <w:rFonts w:eastAsia="宋体"/>
                <w:szCs w:val="24"/>
              </w:rPr>
              <w:t>Rule 2: for UE supporting both Direct SCell activation at SCell addition and PUCCH SCell activation, eEMR-based fast SCell activation for Direct SCell activation at SCell addition can be skipped.</w:t>
            </w:r>
          </w:p>
          <w:p>
            <w:pPr>
              <w:pStyle w:val="34"/>
              <w:numPr>
                <w:ilvl w:val="3"/>
                <w:numId w:val="6"/>
              </w:numPr>
              <w:spacing w:after="120"/>
              <w:ind w:left="2268" w:firstLineChars="0"/>
              <w:rPr>
                <w:rFonts w:eastAsia="宋体"/>
                <w:szCs w:val="24"/>
              </w:rPr>
            </w:pPr>
            <w:r>
              <w:rPr>
                <w:rFonts w:eastAsia="宋体"/>
                <w:szCs w:val="24"/>
              </w:rPr>
              <w:t>Rule 3: for UE which can pass R19 test case for fast SCell activation based on R18 early measurement report, corresponding R18 test case with valid report can be skipped.</w:t>
            </w:r>
          </w:p>
          <w:p>
            <w:pPr>
              <w:pStyle w:val="34"/>
              <w:numPr>
                <w:ilvl w:val="1"/>
                <w:numId w:val="6"/>
              </w:numPr>
              <w:overflowPunct/>
              <w:autoSpaceDE/>
              <w:autoSpaceDN/>
              <w:adjustRightInd/>
              <w:spacing w:after="120"/>
              <w:ind w:left="1440" w:firstLineChars="0"/>
              <w:textAlignment w:val="auto"/>
              <w:rPr>
                <w:rFonts w:eastAsia="宋体"/>
                <w:szCs w:val="24"/>
              </w:rPr>
            </w:pPr>
            <w:r>
              <w:rPr>
                <w:rFonts w:hint="eastAsia" w:eastAsia="宋体"/>
                <w:szCs w:val="24"/>
              </w:rPr>
              <w:t xml:space="preserve">Other applicability rules are not precluded. </w:t>
            </w:r>
          </w:p>
          <w:p>
            <w:pPr>
              <w:pStyle w:val="34"/>
              <w:numPr>
                <w:ilvl w:val="1"/>
                <w:numId w:val="6"/>
              </w:numPr>
              <w:overflowPunct/>
              <w:autoSpaceDE/>
              <w:autoSpaceDN/>
              <w:adjustRightInd/>
              <w:spacing w:after="120"/>
              <w:ind w:left="1440" w:firstLineChars="0"/>
              <w:textAlignment w:val="auto"/>
              <w:rPr>
                <w:rFonts w:eastAsia="宋体"/>
                <w:szCs w:val="24"/>
              </w:rPr>
            </w:pPr>
            <w:r>
              <w:rPr>
                <w:rFonts w:hint="eastAsia" w:eastAsia="宋体"/>
                <w:szCs w:val="24"/>
              </w:rPr>
              <w:t xml:space="preserve">Note: Any agreed testing applicability rules will be captured in clause A.3.X in 38.133. </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default"/>
          <w:lang w:val="en-US" w:eastAsia="zh-CN"/>
        </w:rPr>
      </w:pPr>
      <w:r>
        <w:rPr>
          <w:rFonts w:hint="eastAsia"/>
          <w:lang w:val="en-US" w:eastAsia="zh-CN"/>
        </w:rPr>
        <w:t xml:space="preserve">During the disscussion in core part, the requirements have been </w:t>
      </w:r>
      <w:r>
        <w:rPr>
          <w:rFonts w:hint="default"/>
          <w:lang w:val="en-US" w:eastAsia="zh-CN"/>
        </w:rPr>
        <w:t xml:space="preserve">modified for </w:t>
      </w:r>
      <w:r>
        <w:rPr>
          <w:rFonts w:hint="eastAsia"/>
          <w:lang w:val="en-US" w:eastAsia="zh-CN"/>
        </w:rPr>
        <w:t>the case</w:t>
      </w:r>
      <w:r>
        <w:rPr>
          <w:rFonts w:hint="default"/>
          <w:lang w:val="en-US" w:eastAsia="zh-CN"/>
        </w:rPr>
        <w:t xml:space="preserve"> where the target </w:t>
      </w:r>
      <w:r>
        <w:rPr>
          <w:rFonts w:hint="eastAsia"/>
          <w:lang w:val="en-US" w:eastAsia="zh-CN"/>
        </w:rPr>
        <w:t>SC</w:t>
      </w:r>
      <w:r>
        <w:rPr>
          <w:rFonts w:hint="default"/>
          <w:lang w:val="en-US" w:eastAsia="zh-CN"/>
        </w:rPr>
        <w:t>ell is unknown and meets the conditions</w:t>
      </w:r>
      <w:r>
        <w:rPr>
          <w:rFonts w:hint="eastAsia"/>
          <w:lang w:val="en-US" w:eastAsia="zh-CN"/>
        </w:rPr>
        <w:t xml:space="preserve"> and the requirenebts </w:t>
      </w:r>
      <w:r>
        <w:rPr>
          <w:rFonts w:hint="default"/>
          <w:lang w:val="en-US" w:eastAsia="zh-CN"/>
        </w:rPr>
        <w:t>refer to 8.3.2</w:t>
      </w:r>
      <w:r>
        <w:rPr>
          <w:rFonts w:hint="eastAsia"/>
          <w:lang w:val="en-US" w:eastAsia="zh-CN"/>
        </w:rPr>
        <w:t>A</w:t>
      </w:r>
      <w:r>
        <w:rPr>
          <w:rFonts w:hint="default"/>
          <w:lang w:val="en-US" w:eastAsia="zh-CN"/>
        </w:rPr>
        <w:t xml:space="preserve">. Therefore, we </w:t>
      </w:r>
      <w:r>
        <w:rPr>
          <w:rFonts w:hint="eastAsia"/>
          <w:lang w:val="en-US" w:eastAsia="zh-CN"/>
        </w:rPr>
        <w:t>think</w:t>
      </w:r>
      <w:r>
        <w:rPr>
          <w:rFonts w:hint="default"/>
          <w:lang w:val="en-US" w:eastAsia="zh-CN"/>
        </w:rPr>
        <w:t xml:space="preserve"> that</w:t>
      </w:r>
      <w:r>
        <w:rPr>
          <w:rFonts w:hint="eastAsia"/>
          <w:lang w:val="en-US" w:eastAsia="zh-CN"/>
        </w:rPr>
        <w:t xml:space="preserve"> </w:t>
      </w:r>
      <w:r>
        <w:rPr>
          <w:rFonts w:hint="eastAsia"/>
          <w:color w:val="auto"/>
          <w:lang w:val="en-US" w:eastAsia="zh-CN"/>
        </w:rPr>
        <w:t>both single direct activation and MAC CE based single SCell activation</w:t>
      </w:r>
      <w:r>
        <w:rPr>
          <w:rFonts w:hint="eastAsia"/>
          <w:lang w:val="en-US" w:eastAsia="zh-CN"/>
        </w:rPr>
        <w:t>, should</w:t>
      </w:r>
      <w:r>
        <w:rPr>
          <w:rFonts w:hint="default"/>
          <w:lang w:val="en-US" w:eastAsia="zh-CN"/>
        </w:rPr>
        <w:t xml:space="preserve"> be considered in the design of</w:t>
      </w:r>
      <w:r>
        <w:rPr>
          <w:rFonts w:hint="eastAsia"/>
          <w:lang w:val="en-US" w:eastAsia="zh-CN"/>
        </w:rPr>
        <w:t xml:space="preserve"> </w:t>
      </w:r>
      <w:r>
        <w:rPr>
          <w:rFonts w:hint="default"/>
          <w:lang w:val="en-US" w:eastAsia="zh-CN"/>
        </w:rPr>
        <w:t>test case</w:t>
      </w:r>
      <w:r>
        <w:rPr>
          <w:rFonts w:hint="eastAsia"/>
          <w:lang w:val="en-US" w:eastAsia="zh-CN"/>
        </w:rPr>
        <w:t xml:space="preserve">s due to </w:t>
      </w:r>
      <w:r>
        <w:rPr>
          <w:rFonts w:hint="eastAsia"/>
          <w:szCs w:val="24"/>
          <w:lang w:val="en-US" w:eastAsia="zh-CN"/>
        </w:rPr>
        <w:t xml:space="preserve">RAN4 needs to guarantee test coverage if UE may only supports some of scenarios. Meanwhile, some applicability rules can be defined </w:t>
      </w:r>
      <w:r>
        <w:rPr>
          <w:rFonts w:hint="eastAsia"/>
          <w:lang w:val="en-US" w:eastAsia="zh-CN"/>
        </w:rPr>
        <w:t>and maybe it</w:t>
      </w:r>
      <w:r>
        <w:rPr>
          <w:rFonts w:hint="default"/>
          <w:lang w:val="en-US" w:eastAsia="zh-CN"/>
        </w:rPr>
        <w:t>’</w:t>
      </w:r>
      <w:r>
        <w:rPr>
          <w:rFonts w:hint="eastAsia"/>
          <w:lang w:val="en-US" w:eastAsia="zh-CN"/>
        </w:rPr>
        <w:t xml:space="preserve">s enough for UE to pass one of them due to </w:t>
      </w:r>
      <w:r>
        <w:rPr>
          <w:rFonts w:hint="default"/>
          <w:lang w:val="en-US" w:eastAsia="zh-CN"/>
        </w:rPr>
        <w:t>the requirements of unknown</w:t>
      </w:r>
      <w:r>
        <w:rPr>
          <w:rFonts w:hint="eastAsia"/>
          <w:lang w:val="en-US" w:eastAsia="zh-CN"/>
        </w:rPr>
        <w:t xml:space="preserve"> SCell</w:t>
      </w:r>
      <w:r>
        <w:rPr>
          <w:rFonts w:hint="default"/>
          <w:lang w:val="en-US" w:eastAsia="zh-CN"/>
        </w:rPr>
        <w:t xml:space="preserve"> case are the same </w:t>
      </w:r>
      <w:r>
        <w:rPr>
          <w:rFonts w:hint="eastAsia"/>
          <w:lang w:val="en-US" w:eastAsia="zh-CN"/>
        </w:rPr>
        <w:t>for these three scenarios</w:t>
      </w:r>
      <w:r>
        <w:rPr>
          <w:rFonts w:hint="default"/>
          <w:lang w:val="en-US" w:eastAsia="zh-CN"/>
        </w:rPr>
        <w:t xml:space="preserve"> and do not </w:t>
      </w:r>
      <w:r>
        <w:rPr>
          <w:rFonts w:hint="eastAsia"/>
          <w:lang w:val="en-US" w:eastAsia="zh-CN"/>
        </w:rPr>
        <w:t>need</w:t>
      </w:r>
      <w:r>
        <w:rPr>
          <w:rFonts w:hint="default"/>
          <w:lang w:val="en-US" w:eastAsia="zh-CN"/>
        </w:rPr>
        <w:t xml:space="preserve"> </w:t>
      </w:r>
      <w:r>
        <w:rPr>
          <w:rFonts w:hint="eastAsia"/>
          <w:lang w:val="en-US" w:eastAsia="zh-CN"/>
        </w:rPr>
        <w:t xml:space="preserve">the </w:t>
      </w:r>
      <w:r>
        <w:rPr>
          <w:rFonts w:hint="default"/>
          <w:lang w:val="en-US" w:eastAsia="zh-CN"/>
        </w:rPr>
        <w:t xml:space="preserve">repeated validation. </w:t>
      </w:r>
    </w:p>
    <w:p>
      <w:pPr>
        <w:spacing w:after="157" w:afterLines="50"/>
        <w:rPr>
          <w:rFonts w:hint="default"/>
          <w:lang w:val="en-US" w:eastAsia="zh-CN"/>
        </w:rPr>
      </w:pPr>
      <w:r>
        <w:rPr>
          <w:rFonts w:hint="eastAsia"/>
          <w:lang w:val="en-US" w:eastAsia="zh-CN"/>
        </w:rPr>
        <w:t>The applicability rules mentioned in way forward looks fine for us. For these three scenarios, normal SCell activation is a baseline scenario, and direct SCell activation and PUCCH SCell activation are enhancement scenario. If UE only supports normal SCell activation, TC1 or TC2 should be used. If UE supports normal SCell activation and d</w:t>
      </w:r>
      <w:r>
        <w:rPr>
          <w:rFonts w:eastAsia="宋体"/>
          <w:szCs w:val="24"/>
        </w:rPr>
        <w:t>irect SCell activation or PUCCH SCell activation</w:t>
      </w:r>
      <w:r>
        <w:rPr>
          <w:rFonts w:hint="eastAsia"/>
          <w:szCs w:val="24"/>
          <w:lang w:val="en-US" w:eastAsia="zh-CN"/>
        </w:rPr>
        <w:t>, the latter one should be tested and UE can pass the former one directly if UE behavior is right for the latter scenario.</w:t>
      </w:r>
      <w:r>
        <w:rPr>
          <w:rFonts w:hint="eastAsia"/>
          <w:lang w:val="en-US" w:eastAsia="zh-CN"/>
        </w:rPr>
        <w:t xml:space="preserve"> Similiar principle, </w:t>
      </w:r>
      <w:r>
        <w:rPr>
          <w:rFonts w:eastAsia="宋体"/>
          <w:szCs w:val="24"/>
        </w:rPr>
        <w:t>for UE supporting both Direct SCell activation at SCell addition and PUCCH SCell activation, eEMR-based fast SCell activation for Direct SCell activation at SCell addition can be skipped</w:t>
      </w:r>
      <w:r>
        <w:rPr>
          <w:rFonts w:hint="eastAsia"/>
          <w:szCs w:val="24"/>
          <w:lang w:val="en-US" w:eastAsia="zh-CN"/>
        </w:rPr>
        <w:t xml:space="preserve">. Due to </w:t>
      </w:r>
      <w:r>
        <w:rPr>
          <w:rFonts w:eastAsia="宋体"/>
          <w:szCs w:val="24"/>
        </w:rPr>
        <w:t>R18 early measurement report</w:t>
      </w:r>
      <w:r>
        <w:rPr>
          <w:rFonts w:hint="eastAsia"/>
          <w:szCs w:val="24"/>
          <w:lang w:val="en-US" w:eastAsia="zh-CN"/>
        </w:rPr>
        <w:t xml:space="preserve"> has been included in the R19 test case, </w:t>
      </w:r>
      <w:r>
        <w:rPr>
          <w:rFonts w:eastAsia="宋体"/>
          <w:szCs w:val="24"/>
        </w:rPr>
        <w:t>corresponding R18 test case with valid report can be skipped</w:t>
      </w:r>
      <w:r>
        <w:rPr>
          <w:rFonts w:hint="eastAsia"/>
          <w:szCs w:val="24"/>
          <w:lang w:val="en-US" w:eastAsia="zh-CN"/>
        </w:rPr>
        <w:t xml:space="preserve"> if </w:t>
      </w:r>
      <w:r>
        <w:rPr>
          <w:rFonts w:eastAsia="宋体"/>
          <w:szCs w:val="24"/>
        </w:rPr>
        <w:t xml:space="preserve">UE can pass R19 test case for fast SCell activation based on R18 </w:t>
      </w:r>
      <w:r>
        <w:rPr>
          <w:rFonts w:hint="eastAsia"/>
          <w:szCs w:val="24"/>
          <w:lang w:val="en-US" w:eastAsia="zh-CN"/>
        </w:rPr>
        <w:t>EMR.</w:t>
      </w:r>
    </w:p>
    <w:p>
      <w:pPr>
        <w:pStyle w:val="95"/>
        <w:overflowPunct/>
        <w:autoSpaceDE/>
        <w:autoSpaceDN/>
        <w:adjustRightInd/>
        <w:snapToGrid w:val="0"/>
        <w:spacing w:after="120"/>
        <w:ind w:left="0" w:firstLineChars="0"/>
        <w:textAlignment w:val="auto"/>
        <w:rPr>
          <w:rFonts w:hint="eastAsia"/>
          <w:lang w:val="en-US" w:eastAsia="zh-CN"/>
        </w:rPr>
      </w:pPr>
      <w:bookmarkStart w:id="6" w:name="_Toc206179124"/>
      <w:r>
        <w:rPr>
          <w:rFonts w:hint="eastAsia"/>
          <w:lang w:val="en-US" w:eastAsia="zh-CN"/>
        </w:rPr>
        <w:t>T</w:t>
      </w:r>
      <w:r>
        <w:t>he following testing applicability rules</w:t>
      </w:r>
      <w:r>
        <w:rPr>
          <w:rFonts w:hint="eastAsia"/>
          <w:lang w:val="en-US" w:eastAsia="zh-CN"/>
        </w:rPr>
        <w:t xml:space="preserve"> are applied for Rel-19 fast SCell activation based on measurement in IDLE/INACTIVE mode</w:t>
      </w:r>
    </w:p>
    <w:p>
      <w:pPr>
        <w:pStyle w:val="95"/>
        <w:numPr>
          <w:ilvl w:val="0"/>
          <w:numId w:val="7"/>
        </w:numPr>
        <w:overflowPunct/>
        <w:autoSpaceDE/>
        <w:autoSpaceDN/>
        <w:adjustRightInd/>
        <w:snapToGrid w:val="0"/>
        <w:spacing w:after="120"/>
        <w:ind w:left="420" w:hanging="420" w:firstLineChars="0"/>
        <w:textAlignment w:val="auto"/>
      </w:pPr>
      <w:r>
        <w:t>Rule 1: for UE supporting Direct SCell activation at SCell addition or PUCCH SCell activation, eEMR-based fast SCell activation for normal SCell activation can be skipped.</w:t>
      </w:r>
    </w:p>
    <w:p>
      <w:pPr>
        <w:pStyle w:val="95"/>
        <w:numPr>
          <w:ilvl w:val="0"/>
          <w:numId w:val="7"/>
        </w:numPr>
        <w:overflowPunct/>
        <w:autoSpaceDE/>
        <w:autoSpaceDN/>
        <w:adjustRightInd/>
        <w:snapToGrid w:val="0"/>
        <w:spacing w:after="120"/>
        <w:ind w:left="420" w:hanging="420" w:firstLineChars="0"/>
        <w:textAlignment w:val="auto"/>
      </w:pPr>
      <w:r>
        <w:t>Rule 2: for UE supporting both Direct SCell activation at SCell addition and PUCCH SCell activation, eEMR-based fast SCell activation for Direct SCell activation at SCell addition can be skipped.</w:t>
      </w:r>
    </w:p>
    <w:p>
      <w:pPr>
        <w:pStyle w:val="95"/>
        <w:numPr>
          <w:ilvl w:val="0"/>
          <w:numId w:val="7"/>
        </w:numPr>
        <w:overflowPunct/>
        <w:autoSpaceDE/>
        <w:autoSpaceDN/>
        <w:adjustRightInd/>
        <w:snapToGrid w:val="0"/>
        <w:spacing w:after="120"/>
        <w:ind w:left="420" w:hanging="420" w:firstLineChars="0"/>
        <w:textAlignment w:val="auto"/>
      </w:pPr>
      <w:r>
        <w:t xml:space="preserve">Rule 3: for UE which can pass R19 test case for fast SCell activation based on </w:t>
      </w:r>
      <w:r>
        <w:rPr>
          <w:lang w:val="en-US" w:eastAsia="zh-CN"/>
        </w:rPr>
        <w:t>measurement in IDLE/INACTIVE mode</w:t>
      </w:r>
      <w:r>
        <w:t>, corresponding test case with report can be skipped.</w:t>
      </w:r>
    </w:p>
    <w:bookmarkEnd w:id="2"/>
    <w:bookmarkEnd w:id="3"/>
    <w:bookmarkEnd w:id="4"/>
    <w:bookmarkEnd w:id="5"/>
    <w:bookmarkEnd w:id="6"/>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w:t>
      </w:r>
    </w:p>
    <w:p>
      <w:pPr>
        <w:pStyle w:val="95"/>
        <w:numPr>
          <w:ilvl w:val="-1"/>
          <w:numId w:val="0"/>
        </w:numPr>
        <w:overflowPunct/>
        <w:autoSpaceDE/>
        <w:autoSpaceDN/>
        <w:adjustRightInd/>
        <w:snapToGrid w:val="0"/>
        <w:spacing w:after="120"/>
        <w:ind w:left="0" w:firstLineChars="0"/>
        <w:textAlignment w:val="auto"/>
        <w:rPr>
          <w:rFonts w:hint="eastAsia"/>
          <w:lang w:val="en-US" w:eastAsia="zh-CN"/>
        </w:rPr>
      </w:pPr>
      <w:r>
        <w:rPr>
          <w:rFonts w:hint="eastAsia"/>
          <w:lang w:val="en-US" w:eastAsia="zh-CN"/>
        </w:rPr>
        <w:t>Proposal 1: T</w:t>
      </w:r>
      <w:r>
        <w:t>he following testing applicability rules</w:t>
      </w:r>
      <w:r>
        <w:rPr>
          <w:rFonts w:hint="eastAsia"/>
          <w:lang w:val="en-US" w:eastAsia="zh-CN"/>
        </w:rPr>
        <w:t xml:space="preserve"> are applied for Rel-19 fast SCell activation based on measurement in IDLE/INACTIVE mode</w:t>
      </w:r>
    </w:p>
    <w:p>
      <w:pPr>
        <w:pStyle w:val="95"/>
        <w:numPr>
          <w:ilvl w:val="0"/>
          <w:numId w:val="7"/>
        </w:numPr>
        <w:overflowPunct/>
        <w:autoSpaceDE/>
        <w:autoSpaceDN/>
        <w:adjustRightInd/>
        <w:snapToGrid w:val="0"/>
        <w:spacing w:after="120"/>
        <w:ind w:left="420" w:hanging="420" w:firstLineChars="0"/>
        <w:textAlignment w:val="auto"/>
      </w:pPr>
      <w:r>
        <w:t>Rule 1: for UE supporting Direct SCell activation at SCell addition or PUCCH SCell activation, eEMR-based fast SCell activation for normal SCell activation can be skipped.</w:t>
      </w:r>
    </w:p>
    <w:p>
      <w:pPr>
        <w:pStyle w:val="95"/>
        <w:numPr>
          <w:ilvl w:val="0"/>
          <w:numId w:val="7"/>
        </w:numPr>
        <w:overflowPunct/>
        <w:autoSpaceDE/>
        <w:autoSpaceDN/>
        <w:adjustRightInd/>
        <w:snapToGrid w:val="0"/>
        <w:spacing w:after="120"/>
        <w:ind w:left="420" w:hanging="420" w:firstLineChars="0"/>
        <w:textAlignment w:val="auto"/>
      </w:pPr>
      <w:r>
        <w:t>Rule 2: for UE supporting both Direct SCell activation at SCell addition and PUCCH SCell activation, eEMR-based fast SCell activation for Direct SCell activation at SCell addition can be skipped.</w:t>
      </w:r>
    </w:p>
    <w:p>
      <w:pPr>
        <w:pStyle w:val="95"/>
        <w:numPr>
          <w:ilvl w:val="0"/>
          <w:numId w:val="7"/>
        </w:numPr>
        <w:overflowPunct/>
        <w:autoSpaceDE/>
        <w:autoSpaceDN/>
        <w:adjustRightInd/>
        <w:snapToGrid w:val="0"/>
        <w:spacing w:after="120"/>
        <w:ind w:left="420" w:hanging="420" w:firstLineChars="0"/>
        <w:textAlignment w:val="auto"/>
      </w:pPr>
      <w:r>
        <w:t xml:space="preserve">Rule 3: for UE which can pass R19 test case for fast SCell activation based on </w:t>
      </w:r>
      <w:r>
        <w:rPr>
          <w:lang w:val="en-US" w:eastAsia="zh-CN"/>
        </w:rPr>
        <w:t>measurement in IDLE/INACTIVE mode</w:t>
      </w:r>
      <w:r>
        <w:t>, corresponding test case with report can be skipped.</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8"/>
        </w:numPr>
        <w:spacing w:before="157" w:beforeLines="50"/>
        <w:ind w:leftChars="0"/>
        <w:rPr>
          <w:rFonts w:hint="eastAsia"/>
          <w:lang w:val="en-US" w:eastAsia="zh-CN"/>
        </w:rPr>
      </w:pPr>
      <w:r>
        <w:rPr>
          <w:rFonts w:hint="eastAsia"/>
          <w:bCs/>
          <w:lang w:val="en-US" w:eastAsia="zh-CN"/>
        </w:rPr>
        <w:t>RP-242380, Revised WID: NR Radio Resource Management (RRM) Phase 5, Apple, CATT</w:t>
      </w:r>
    </w:p>
    <w:p>
      <w:pPr>
        <w:pStyle w:val="53"/>
        <w:numPr>
          <w:ilvl w:val="0"/>
          <w:numId w:val="8"/>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"ftp://10.10.10.10/ftp/tsg_ran/WG4_Radio/TSGR4_116bis/Inbox/R4-2514801.zip" </w:instrText>
      </w:r>
      <w:r>
        <w:rPr>
          <w:rFonts w:hint="eastAsia"/>
          <w:lang w:val="en-US" w:eastAsia="zh-CN"/>
        </w:rPr>
        <w:fldChar w:fldCharType="separate"/>
      </w:r>
      <w:r>
        <w:rPr>
          <w:rFonts w:hint="eastAsia"/>
          <w:lang w:val="en-US" w:eastAsia="zh-CN"/>
        </w:rPr>
        <w:t>R4-2514801</w:t>
      </w:r>
      <w:r>
        <w:rPr>
          <w:rFonts w:hint="eastAsia"/>
          <w:lang w:val="en-US" w:eastAsia="zh-CN"/>
        </w:rPr>
        <w:fldChar w:fldCharType="end"/>
      </w:r>
      <w:r>
        <w:rPr>
          <w:rFonts w:hint="eastAsia"/>
          <w:lang w:val="en-US" w:eastAsia="zh-CN"/>
        </w:rPr>
        <w:t>, WF on NR_RRM_Ph5_Part2, CATT</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5"/>
      <w:suff w:val="space"/>
      <w:lvlText w:val="Proposal %1:"/>
      <w:lvlJc w:val="left"/>
      <w:pPr>
        <w:ind w:left="-2016" w:hanging="360"/>
      </w:pPr>
      <w:rPr>
        <w:rFonts w:hint="default" w:ascii="Times New Roman" w:hAnsi="Times New Roman"/>
        <w:b/>
        <w:i w:val="0"/>
        <w:color w:val="auto"/>
        <w:sz w:val="21"/>
        <w:szCs w:val="21"/>
      </w:rPr>
    </w:lvl>
    <w:lvl w:ilvl="1" w:tentative="0">
      <w:start w:val="1"/>
      <w:numFmt w:val="lowerLetter"/>
      <w:lvlText w:val="%2."/>
      <w:lvlJc w:val="left"/>
      <w:pPr>
        <w:ind w:left="-1296" w:hanging="360"/>
      </w:pPr>
    </w:lvl>
    <w:lvl w:ilvl="2" w:tentative="0">
      <w:start w:val="1"/>
      <w:numFmt w:val="lowerRoman"/>
      <w:lvlText w:val="%3."/>
      <w:lvlJc w:val="right"/>
      <w:pPr>
        <w:ind w:left="-576" w:hanging="180"/>
      </w:pPr>
    </w:lvl>
    <w:lvl w:ilvl="3" w:tentative="0">
      <w:start w:val="1"/>
      <w:numFmt w:val="decimal"/>
      <w:lvlText w:val="%4."/>
      <w:lvlJc w:val="left"/>
      <w:pPr>
        <w:ind w:left="144" w:hanging="360"/>
      </w:pPr>
    </w:lvl>
    <w:lvl w:ilvl="4" w:tentative="0">
      <w:start w:val="1"/>
      <w:numFmt w:val="lowerLetter"/>
      <w:lvlText w:val="%5."/>
      <w:lvlJc w:val="left"/>
      <w:pPr>
        <w:ind w:left="864" w:hanging="360"/>
      </w:pPr>
    </w:lvl>
    <w:lvl w:ilvl="5" w:tentative="0">
      <w:start w:val="1"/>
      <w:numFmt w:val="lowerRoman"/>
      <w:lvlText w:val="%6."/>
      <w:lvlJc w:val="right"/>
      <w:pPr>
        <w:ind w:left="1584" w:hanging="180"/>
      </w:pPr>
    </w:lvl>
    <w:lvl w:ilvl="6" w:tentative="0">
      <w:start w:val="1"/>
      <w:numFmt w:val="decimal"/>
      <w:lvlText w:val="%7."/>
      <w:lvlJc w:val="left"/>
      <w:pPr>
        <w:ind w:left="2304" w:hanging="360"/>
      </w:pPr>
    </w:lvl>
    <w:lvl w:ilvl="7" w:tentative="0">
      <w:start w:val="1"/>
      <w:numFmt w:val="lowerLetter"/>
      <w:lvlText w:val="%8."/>
      <w:lvlJc w:val="left"/>
      <w:pPr>
        <w:ind w:left="3024" w:hanging="360"/>
      </w:pPr>
    </w:lvl>
    <w:lvl w:ilvl="8" w:tentative="0">
      <w:start w:val="1"/>
      <w:numFmt w:val="lowerRoman"/>
      <w:lvlText w:val="%9."/>
      <w:lvlJc w:val="right"/>
      <w:pPr>
        <w:ind w:left="3744" w:hanging="180"/>
      </w:pPr>
    </w:lvl>
  </w:abstractNum>
  <w:abstractNum w:abstractNumId="2">
    <w:nsid w:val="58B73482"/>
    <w:multiLevelType w:val="multilevel"/>
    <w:tmpl w:val="58B73482"/>
    <w:lvl w:ilvl="0" w:tentative="0">
      <w:start w:val="1"/>
      <w:numFmt w:val="bullet"/>
      <w:lvlText w:val=""/>
      <w:lvlJc w:val="left"/>
      <w:pPr>
        <w:ind w:left="576" w:hanging="360"/>
      </w:pPr>
      <w:rPr>
        <w:rFonts w:hint="default" w:ascii="Symbol" w:hAnsi="Symbol"/>
      </w:rPr>
    </w:lvl>
    <w:lvl w:ilvl="1" w:tentative="0">
      <w:start w:val="1"/>
      <w:numFmt w:val="bullet"/>
      <w:lvlText w:val="o"/>
      <w:lvlJc w:val="left"/>
      <w:pPr>
        <w:ind w:left="1296" w:hanging="360"/>
      </w:pPr>
      <w:rPr>
        <w:rFonts w:hint="default" w:ascii="Courier New" w:hAnsi="Courier New" w:cs="Courier New"/>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24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0AC6EA0"/>
    <w:multiLevelType w:val="multilevel"/>
    <w:tmpl w:val="60AC6E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342890F"/>
    <w:multiLevelType w:val="singleLevel"/>
    <w:tmpl w:val="6342890F"/>
    <w:lvl w:ilvl="0" w:tentative="0">
      <w:start w:val="1"/>
      <w:numFmt w:val="bullet"/>
      <w:lvlText w:val=""/>
      <w:lvlJc w:val="left"/>
      <w:pPr>
        <w:ind w:left="420" w:hanging="420"/>
      </w:pPr>
      <w:rPr>
        <w:rFonts w:hint="default" w:ascii="Wingdings" w:hAnsi="Wingdings"/>
      </w:r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6"/>
  </w:num>
  <w:num w:numId="3">
    <w:abstractNumId w:val="1"/>
  </w:num>
  <w:num w:numId="4">
    <w:abstractNumId w:val="7"/>
  </w:num>
  <w:num w:numId="5">
    <w:abstractNumId w:val="4"/>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2E86"/>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1FD1152"/>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72632"/>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251B18"/>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57DFB"/>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61466"/>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23B4A"/>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D175E0"/>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8D306B"/>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26D02"/>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A0EE4"/>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47404"/>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60A83"/>
    <w:rsid w:val="4D0F1680"/>
    <w:rsid w:val="4D1D6CA0"/>
    <w:rsid w:val="4D2609C6"/>
    <w:rsid w:val="4D2F5C2A"/>
    <w:rsid w:val="4D33448A"/>
    <w:rsid w:val="4D3F4840"/>
    <w:rsid w:val="4D410392"/>
    <w:rsid w:val="4D422D07"/>
    <w:rsid w:val="4D427BBD"/>
    <w:rsid w:val="4D541F22"/>
    <w:rsid w:val="4D570519"/>
    <w:rsid w:val="4D5C5732"/>
    <w:rsid w:val="4D656800"/>
    <w:rsid w:val="4D6E748A"/>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5FA01B2"/>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AB1071"/>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048FF"/>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05A1B"/>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5E7721"/>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B7D53"/>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D738AB"/>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C411D"/>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9B3CC7"/>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C7300"/>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5</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2025-11-07T08:56:55Z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843B62F70C694E9AB3A9085E07635B3F</vt:lpwstr>
  </property>
</Properties>
</file>