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57E78A">
      <w:pPr>
        <w:keepNext w:val="0"/>
        <w:keepLines w:val="0"/>
        <w:pageBreakBefore w:val="0"/>
        <w:widowControl/>
        <w:tabs>
          <w:tab w:val="left" w:pos="2160"/>
        </w:tabs>
        <w:kinsoku/>
        <w:wordWrap/>
        <w:overflowPunct w:val="0"/>
        <w:topLinePunct w:val="0"/>
        <w:autoSpaceDE w:val="0"/>
        <w:autoSpaceDN w:val="0"/>
        <w:bidi w:val="0"/>
        <w:adjustRightInd w:val="0"/>
        <w:snapToGrid/>
        <w:spacing w:after="0"/>
        <w:textAlignment w:val="baseline"/>
        <w:rPr>
          <w:rFonts w:hint="default" w:ascii="Arial" w:hAnsi="Arial" w:eastAsia="宋体" w:cs="Arial"/>
          <w:b/>
          <w:sz w:val="24"/>
          <w:szCs w:val="24"/>
          <w:highlight w:val="none"/>
          <w:lang w:val="en-US" w:eastAsia="zh-CN"/>
        </w:rPr>
      </w:pPr>
      <w:bookmarkStart w:id="0" w:name="_Hlk127531451"/>
      <w:bookmarkEnd w:id="0"/>
      <w:bookmarkStart w:id="1" w:name="OLE_LINK5"/>
      <w:bookmarkStart w:id="2" w:name="OLE_LINK7"/>
      <w:bookmarkStart w:id="3" w:name="OLE_LINK6"/>
      <w:r>
        <w:rPr>
          <w:rFonts w:hint="eastAsia" w:ascii="Arial" w:hAnsi="Arial" w:cs="Arial"/>
          <w:b/>
          <w:sz w:val="24"/>
          <w:szCs w:val="24"/>
          <w:highlight w:val="none"/>
        </w:rPr>
        <w:t>3GPP TSG-RAN WG4 Meeting #116bis</w:t>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eastAsia="宋体" w:cs="Arial"/>
          <w:b/>
          <w:sz w:val="24"/>
          <w:szCs w:val="24"/>
          <w:highlight w:val="none"/>
          <w:lang w:val="en-US" w:eastAsia="zh-CN"/>
        </w:rPr>
        <w:tab/>
      </w:r>
      <w:r>
        <w:rPr>
          <w:rFonts w:hint="eastAsia" w:ascii="Arial" w:hAnsi="Arial" w:eastAsia="宋体" w:cs="Arial"/>
          <w:b/>
          <w:sz w:val="24"/>
          <w:szCs w:val="24"/>
          <w:highlight w:val="none"/>
          <w:lang w:val="en-US" w:eastAsia="zh-CN"/>
        </w:rPr>
        <w:tab/>
      </w:r>
      <w:r>
        <w:rPr>
          <w:rFonts w:hint="eastAsia" w:ascii="Arial" w:hAnsi="Arial" w:eastAsia="宋体" w:cs="Arial"/>
          <w:b/>
          <w:sz w:val="24"/>
          <w:szCs w:val="24"/>
          <w:highlight w:val="none"/>
          <w:lang w:val="en-US" w:eastAsia="zh-CN"/>
        </w:rPr>
        <w:tab/>
      </w:r>
      <w:r>
        <w:rPr>
          <w:rFonts w:hint="eastAsia" w:ascii="Arial" w:hAnsi="Arial" w:eastAsia="宋体" w:cs="Arial"/>
          <w:b/>
          <w:sz w:val="24"/>
          <w:szCs w:val="24"/>
          <w:highlight w:val="none"/>
          <w:lang w:val="en-US" w:eastAsia="zh-CN"/>
        </w:rPr>
        <w:tab/>
      </w:r>
      <w:r>
        <w:rPr>
          <w:rFonts w:hint="eastAsia" w:ascii="Arial" w:hAnsi="Arial" w:eastAsia="宋体" w:cs="Arial"/>
          <w:b/>
          <w:sz w:val="24"/>
          <w:szCs w:val="24"/>
          <w:highlight w:val="none"/>
          <w:lang w:val="en-US" w:eastAsia="zh-CN"/>
        </w:rPr>
        <w:tab/>
      </w:r>
      <w:r>
        <w:rPr>
          <w:rFonts w:hint="eastAsia" w:ascii="Arial" w:hAnsi="Arial" w:cs="Arial"/>
          <w:b/>
          <w:sz w:val="24"/>
          <w:szCs w:val="24"/>
          <w:highlight w:val="none"/>
        </w:rPr>
        <w:t>R4-25</w:t>
      </w:r>
      <w:r>
        <w:rPr>
          <w:rFonts w:hint="eastAsia" w:ascii="Arial" w:hAnsi="Arial" w:eastAsia="宋体" w:cs="Arial"/>
          <w:b/>
          <w:sz w:val="24"/>
          <w:szCs w:val="24"/>
          <w:highlight w:val="none"/>
          <w:lang w:val="en-US" w:eastAsia="zh-CN"/>
        </w:rPr>
        <w:t>13134</w:t>
      </w:r>
      <w:bookmarkStart w:id="10" w:name="_GoBack"/>
      <w:bookmarkEnd w:id="10"/>
    </w:p>
    <w:p w14:paraId="7EB7DE3A">
      <w:pPr>
        <w:keepNext w:val="0"/>
        <w:keepLines w:val="0"/>
        <w:pageBreakBefore w:val="0"/>
        <w:widowControl/>
        <w:tabs>
          <w:tab w:val="left" w:pos="2160"/>
        </w:tabs>
        <w:kinsoku/>
        <w:wordWrap/>
        <w:overflowPunct w:val="0"/>
        <w:topLinePunct w:val="0"/>
        <w:autoSpaceDE w:val="0"/>
        <w:autoSpaceDN w:val="0"/>
        <w:bidi w:val="0"/>
        <w:adjustRightInd w:val="0"/>
        <w:snapToGrid/>
        <w:spacing w:after="0"/>
        <w:textAlignment w:val="baseline"/>
        <w:rPr>
          <w:rFonts w:ascii="Arial" w:hAnsi="Arial" w:cs="Arial"/>
          <w:b/>
          <w:sz w:val="24"/>
          <w:szCs w:val="24"/>
          <w:highlight w:val="none"/>
        </w:rPr>
      </w:pPr>
      <w:r>
        <w:rPr>
          <w:rFonts w:hint="eastAsia" w:ascii="Arial" w:hAnsi="Arial" w:cs="Arial"/>
          <w:b/>
          <w:sz w:val="24"/>
          <w:szCs w:val="24"/>
          <w:highlight w:val="none"/>
        </w:rPr>
        <w:t>Prague, Czech Republic, Oct. 13-17, 2025</w:t>
      </w:r>
    </w:p>
    <w:p w14:paraId="06BB1B24">
      <w:pPr>
        <w:tabs>
          <w:tab w:val="left" w:pos="2160"/>
        </w:tabs>
        <w:spacing w:before="180"/>
        <w:rPr>
          <w:rFonts w:ascii="Arial" w:hAnsi="Arial" w:cs="Arial"/>
          <w:b/>
          <w:sz w:val="24"/>
          <w:szCs w:val="24"/>
          <w:highlight w:val="yellow"/>
        </w:rPr>
      </w:pPr>
    </w:p>
    <w:p w14:paraId="12601FD5">
      <w:pPr>
        <w:tabs>
          <w:tab w:val="left" w:pos="2160"/>
        </w:tabs>
        <w:spacing w:before="180"/>
        <w:rPr>
          <w:rFonts w:hint="default" w:ascii="Arial" w:hAnsi="Arial" w:eastAsia="宋体" w:cs="Arial"/>
          <w:b/>
          <w:sz w:val="24"/>
          <w:szCs w:val="24"/>
          <w:highlight w:val="none"/>
          <w:lang w:val="en-US" w:eastAsia="zh-CN"/>
        </w:rPr>
      </w:pPr>
      <w:r>
        <w:rPr>
          <w:rFonts w:ascii="Arial" w:hAnsi="Arial" w:cs="Arial"/>
          <w:b/>
          <w:sz w:val="24"/>
          <w:szCs w:val="24"/>
          <w:highlight w:val="none"/>
        </w:rPr>
        <w:t>Agenda item:</w:t>
      </w:r>
      <w:r>
        <w:rPr>
          <w:rFonts w:ascii="Arial" w:hAnsi="Arial" w:cs="Arial"/>
          <w:b/>
          <w:sz w:val="24"/>
          <w:szCs w:val="24"/>
          <w:highlight w:val="none"/>
        </w:rPr>
        <w:tab/>
      </w:r>
      <w:r>
        <w:rPr>
          <w:rFonts w:hint="eastAsia" w:ascii="Arial" w:hAnsi="Arial" w:eastAsia="宋体" w:cs="Arial"/>
          <w:b/>
          <w:sz w:val="24"/>
          <w:szCs w:val="24"/>
          <w:highlight w:val="none"/>
          <w:lang w:val="en-US" w:eastAsia="zh-CN"/>
        </w:rPr>
        <w:t>8.6</w:t>
      </w:r>
    </w:p>
    <w:p w14:paraId="185D1CC5">
      <w:pPr>
        <w:tabs>
          <w:tab w:val="left" w:pos="2160"/>
        </w:tabs>
        <w:rPr>
          <w:rFonts w:hint="default" w:ascii="Arial" w:hAnsi="Arial" w:eastAsia="宋体" w:cs="Arial"/>
          <w:b/>
          <w:sz w:val="24"/>
          <w:szCs w:val="24"/>
          <w:lang w:val="en-US" w:eastAsia="zh-CN"/>
        </w:rPr>
      </w:pPr>
      <w:bookmarkStart w:id="4" w:name="OLE_LINK9"/>
      <w:r>
        <w:rPr>
          <w:rFonts w:ascii="Arial" w:hAnsi="Arial" w:cs="Arial"/>
          <w:b/>
          <w:sz w:val="24"/>
          <w:szCs w:val="24"/>
        </w:rPr>
        <w:t>Source:</w:t>
      </w:r>
      <w:r>
        <w:rPr>
          <w:rFonts w:ascii="Arial" w:hAnsi="Arial" w:cs="Arial"/>
          <w:b/>
          <w:sz w:val="24"/>
          <w:szCs w:val="24"/>
        </w:rPr>
        <w:tab/>
      </w:r>
      <w:bookmarkStart w:id="5" w:name="OLE_LINK12"/>
      <w:r>
        <w:rPr>
          <w:rFonts w:hint="eastAsia" w:ascii="Arial" w:hAnsi="Arial" w:cs="Arial"/>
          <w:b/>
          <w:sz w:val="24"/>
          <w:szCs w:val="24"/>
        </w:rPr>
        <w:t>C</w:t>
      </w:r>
      <w:bookmarkEnd w:id="5"/>
      <w:r>
        <w:rPr>
          <w:rFonts w:hint="eastAsia" w:ascii="Arial" w:hAnsi="Arial" w:eastAsia="宋体" w:cs="Arial"/>
          <w:b/>
          <w:sz w:val="24"/>
          <w:szCs w:val="24"/>
          <w:lang w:val="en-US" w:eastAsia="zh-CN"/>
        </w:rPr>
        <w:t>MCC</w:t>
      </w:r>
    </w:p>
    <w:bookmarkEnd w:id="4"/>
    <w:p w14:paraId="007044DE">
      <w:pPr>
        <w:tabs>
          <w:tab w:val="left" w:pos="2160"/>
        </w:tabs>
        <w:rPr>
          <w:rFonts w:hint="default" w:ascii="Arial" w:hAnsi="Arial" w:eastAsia="宋体" w:cs="Arial"/>
          <w:b/>
          <w:sz w:val="24"/>
          <w:szCs w:val="24"/>
          <w:highlight w:val="none"/>
          <w:lang w:val="en-US" w:eastAsia="zh-CN"/>
        </w:rPr>
      </w:pPr>
      <w:r>
        <w:rPr>
          <w:rFonts w:ascii="Arial" w:hAnsi="Arial" w:cs="Arial"/>
          <w:b/>
          <w:sz w:val="24"/>
          <w:szCs w:val="24"/>
        </w:rPr>
        <w:t>Title:</w:t>
      </w:r>
      <w:r>
        <w:rPr>
          <w:rFonts w:ascii="Arial" w:hAnsi="Arial" w:cs="Arial"/>
          <w:b/>
          <w:sz w:val="24"/>
          <w:szCs w:val="24"/>
        </w:rPr>
        <w:tab/>
      </w:r>
      <w:bookmarkStart w:id="6" w:name="OLE_LINK8"/>
      <w:r>
        <w:rPr>
          <w:rFonts w:hint="eastAsia" w:ascii="Arial" w:hAnsi="Arial" w:eastAsia="宋体" w:cs="Arial"/>
          <w:b/>
          <w:sz w:val="24"/>
          <w:szCs w:val="24"/>
          <w:highlight w:val="none"/>
          <w:lang w:val="en-US" w:eastAsia="zh-CN"/>
        </w:rPr>
        <w:t>Discussion o</w:t>
      </w:r>
      <w:r>
        <w:rPr>
          <w:rFonts w:ascii="Arial" w:hAnsi="Arial" w:cs="Arial"/>
          <w:b/>
          <w:sz w:val="24"/>
          <w:szCs w:val="24"/>
          <w:highlight w:val="none"/>
        </w:rPr>
        <w:t xml:space="preserve">n </w:t>
      </w:r>
      <w:bookmarkEnd w:id="6"/>
      <w:r>
        <w:rPr>
          <w:rFonts w:hint="eastAsia" w:ascii="Arial" w:hAnsi="Arial" w:eastAsia="宋体" w:cs="Arial"/>
          <w:b/>
          <w:sz w:val="24"/>
          <w:szCs w:val="24"/>
          <w:highlight w:val="none"/>
          <w:lang w:val="en-US" w:eastAsia="zh-CN"/>
        </w:rPr>
        <w:t>6G spectrum</w:t>
      </w:r>
    </w:p>
    <w:p w14:paraId="11B7221F">
      <w:pPr>
        <w:tabs>
          <w:tab w:val="left" w:pos="2160"/>
        </w:tabs>
        <w:rPr>
          <w:rFonts w:hint="default" w:ascii="Arial" w:hAnsi="Arial" w:eastAsia="宋体" w:cs="Arial"/>
          <w:b/>
          <w:sz w:val="24"/>
          <w:szCs w:val="24"/>
          <w:lang w:val="en-US" w:eastAsia="zh-CN"/>
        </w:rPr>
      </w:pPr>
      <w:r>
        <w:rPr>
          <w:rFonts w:ascii="Arial" w:hAnsi="Arial" w:cs="Arial"/>
          <w:b/>
          <w:sz w:val="24"/>
          <w:szCs w:val="24"/>
        </w:rPr>
        <w:t>Document for:</w:t>
      </w:r>
      <w:r>
        <w:rPr>
          <w:rFonts w:ascii="Arial" w:hAnsi="Arial" w:cs="Arial"/>
          <w:b/>
          <w:sz w:val="24"/>
          <w:szCs w:val="24"/>
        </w:rPr>
        <w:tab/>
      </w:r>
      <w:r>
        <w:rPr>
          <w:rFonts w:hint="eastAsia" w:ascii="Arial" w:hAnsi="Arial" w:eastAsia="宋体" w:cs="Arial"/>
          <w:b/>
          <w:sz w:val="24"/>
          <w:szCs w:val="24"/>
          <w:lang w:val="en-US" w:eastAsia="zh-CN"/>
        </w:rPr>
        <w:t>Discussion</w:t>
      </w:r>
    </w:p>
    <w:p w14:paraId="4CE3F22E">
      <w:pPr>
        <w:pStyle w:val="2"/>
      </w:pPr>
      <w:r>
        <w:t>Introduction</w:t>
      </w:r>
      <w:bookmarkStart w:id="7" w:name="OLE_LINK15"/>
      <w:bookmarkStart w:id="8" w:name="OLE_LINK4"/>
    </w:p>
    <w:bookmarkEnd w:id="7"/>
    <w:bookmarkEnd w:id="8"/>
    <w:p w14:paraId="7AA3CAEE">
      <w:pPr>
        <w:spacing w:before="0"/>
        <w:jc w:val="both"/>
        <w:rPr>
          <w:rFonts w:hint="eastAsia"/>
          <w:lang w:val="en-US" w:eastAsia="zh-CN"/>
        </w:rPr>
      </w:pPr>
      <w:r>
        <w:rPr>
          <w:color w:val="000000"/>
          <w:lang w:eastAsia="zh-CN"/>
        </w:rPr>
        <w:t>I</w:t>
      </w:r>
      <w:r>
        <w:rPr>
          <w:rFonts w:hint="eastAsia"/>
          <w:color w:val="000000"/>
          <w:lang w:eastAsia="zh-CN"/>
        </w:rPr>
        <w:t xml:space="preserve">n </w:t>
      </w:r>
      <w:r>
        <w:rPr>
          <w:szCs w:val="22"/>
        </w:rPr>
        <w:t>RAN#</w:t>
      </w:r>
      <w:r>
        <w:rPr>
          <w:rFonts w:hint="eastAsia"/>
          <w:szCs w:val="22"/>
          <w:lang w:eastAsia="zh-CN"/>
        </w:rPr>
        <w:t>108</w:t>
      </w:r>
      <w:r>
        <w:rPr>
          <w:szCs w:val="22"/>
        </w:rPr>
        <w:t xml:space="preserve">, the technology study item for </w:t>
      </w:r>
      <w:r>
        <w:rPr>
          <w:rFonts w:hint="eastAsia"/>
          <w:szCs w:val="22"/>
          <w:lang w:eastAsia="zh-CN"/>
        </w:rPr>
        <w:t>6</w:t>
      </w:r>
      <w:r>
        <w:rPr>
          <w:szCs w:val="22"/>
        </w:rPr>
        <w:t>G</w:t>
      </w:r>
      <w:r>
        <w:rPr>
          <w:rFonts w:hint="eastAsia"/>
          <w:szCs w:val="22"/>
          <w:lang w:eastAsia="zh-CN"/>
        </w:rPr>
        <w:t xml:space="preserve"> radio (6GR)</w:t>
      </w:r>
      <w:r>
        <w:rPr>
          <w:szCs w:val="22"/>
        </w:rPr>
        <w:t xml:space="preserve"> has been approved</w:t>
      </w:r>
      <w:r>
        <w:rPr>
          <w:rFonts w:hint="eastAsia"/>
          <w:szCs w:val="22"/>
          <w:lang w:eastAsia="zh-CN"/>
        </w:rPr>
        <w:t xml:space="preserve"> [1]</w:t>
      </w:r>
      <w:r>
        <w:rPr>
          <w:szCs w:val="22"/>
        </w:rPr>
        <w:t xml:space="preserve">. </w:t>
      </w:r>
      <w:r>
        <w:rPr>
          <w:rFonts w:hint="eastAsia"/>
          <w:lang w:val="en-US" w:eastAsia="zh-CN"/>
        </w:rPr>
        <w:t xml:space="preserve">The anticipated services of 6GR range from immersive communication and massive communication to integrated sensing and communication. Furthermore, 6G services can be provided by both terrestrial network (TN) and non-terrestrial network (NTN). </w:t>
      </w:r>
    </w:p>
    <w:p w14:paraId="79A45E56">
      <w:pPr>
        <w:spacing w:before="0"/>
        <w:jc w:val="both"/>
        <w:rPr>
          <w:rFonts w:hint="default"/>
          <w:lang w:val="en-US" w:eastAsia="zh-CN"/>
        </w:rPr>
      </w:pPr>
      <w:r>
        <w:rPr>
          <w:rFonts w:hint="eastAsia"/>
          <w:lang w:val="en-US" w:eastAsia="zh-CN"/>
        </w:rPr>
        <w:t>According to chairman</w:t>
      </w:r>
      <w:r>
        <w:rPr>
          <w:rFonts w:hint="default"/>
          <w:lang w:val="en-US" w:eastAsia="zh-CN"/>
        </w:rPr>
        <w:t>’</w:t>
      </w:r>
      <w:r>
        <w:rPr>
          <w:rFonts w:hint="eastAsia"/>
          <w:lang w:val="en-US" w:eastAsia="zh-CN"/>
        </w:rPr>
        <w:t>s suggestion, this scope includes band/band combination definition and simplification, the definition of frequency ranges, 6G spectrum related other aspects, including the regulatory status survey..</w:t>
      </w:r>
    </w:p>
    <w:p w14:paraId="3950E5B5">
      <w:pPr>
        <w:numPr>
          <w:ilvl w:val="0"/>
          <w:numId w:val="0"/>
        </w:numPr>
        <w:spacing w:after="120"/>
        <w:ind w:right="-96" w:rightChars="0"/>
        <w:jc w:val="both"/>
        <w:rPr>
          <w:rFonts w:hint="default" w:ascii="Times" w:hAnsi="Times" w:eastAsia="宋体"/>
          <w:bCs/>
          <w:highlight w:val="yellow"/>
          <w:lang w:val="en-US" w:eastAsia="zh-CN"/>
        </w:rPr>
      </w:pPr>
      <w:r>
        <w:rPr>
          <w:rFonts w:hint="eastAsia"/>
          <w:lang w:eastAsia="zh-CN"/>
        </w:rPr>
        <w:t xml:space="preserve">In this contribution, </w:t>
      </w:r>
      <w:r>
        <w:rPr>
          <w:rFonts w:hint="eastAsia"/>
          <w:lang w:val="en-US" w:eastAsia="zh-CN"/>
        </w:rPr>
        <w:t>we show out view on 6G spect</w:t>
      </w:r>
      <w:r>
        <w:rPr>
          <w:rFonts w:hint="eastAsia"/>
          <w:highlight w:val="none"/>
          <w:lang w:val="en-US" w:eastAsia="zh-CN"/>
        </w:rPr>
        <w:t>rum</w:t>
      </w:r>
      <w:r>
        <w:rPr>
          <w:rFonts w:hint="eastAsia"/>
          <w:color w:val="000000"/>
          <w:highlight w:val="none"/>
          <w:lang w:eastAsia="zh-CN"/>
        </w:rPr>
        <w:t>.</w:t>
      </w:r>
    </w:p>
    <w:p w14:paraId="3C04DC75">
      <w:pPr>
        <w:pStyle w:val="2"/>
        <w:jc w:val="both"/>
        <w:rPr>
          <w:rFonts w:hint="default" w:eastAsia="宋体"/>
          <w:lang w:val="en-US" w:eastAsia="zh-CN"/>
        </w:rPr>
      </w:pPr>
      <w:bookmarkStart w:id="9" w:name="OLE_LINK3"/>
      <w:r>
        <w:rPr>
          <w:rFonts w:hint="eastAsia" w:eastAsia="宋体"/>
          <w:lang w:val="en-US" w:eastAsia="zh-CN"/>
        </w:rPr>
        <w:t>Discussion</w:t>
      </w:r>
    </w:p>
    <w:p w14:paraId="6F165A40">
      <w:pPr>
        <w:pStyle w:val="3"/>
        <w:numPr>
          <w:ilvl w:val="1"/>
          <w:numId w:val="1"/>
        </w:numPr>
        <w:bidi w:val="0"/>
        <w:ind w:left="575" w:leftChars="0" w:hanging="575" w:firstLineChars="0"/>
        <w:rPr>
          <w:rFonts w:hint="eastAsia"/>
          <w:lang w:val="en-US" w:eastAsia="zh-CN"/>
        </w:rPr>
      </w:pPr>
      <w:r>
        <w:rPr>
          <w:rFonts w:hint="eastAsia"/>
          <w:lang w:val="en-US" w:eastAsia="zh-CN"/>
        </w:rPr>
        <w:t>The definition of frequency ranges</w:t>
      </w:r>
    </w:p>
    <w:p w14:paraId="4062E9E6">
      <w:pPr>
        <w:jc w:val="both"/>
        <w:rPr>
          <w:lang w:val="en-US"/>
        </w:rPr>
      </w:pPr>
      <w:r>
        <w:rPr>
          <w:lang w:val="en-US"/>
        </w:rPr>
        <w:t>The RAN led study on 6G Scenarios and requirements has been approved at RAN#108 [1]. Among its objectives, it includes</w:t>
      </w:r>
    </w:p>
    <w:p w14:paraId="3952171C">
      <w:pPr>
        <w:numPr>
          <w:ilvl w:val="0"/>
          <w:numId w:val="2"/>
        </w:numPr>
        <w:overflowPunct w:val="0"/>
        <w:autoSpaceDE w:val="0"/>
        <w:autoSpaceDN w:val="0"/>
        <w:adjustRightInd w:val="0"/>
        <w:spacing w:after="180" w:line="240" w:lineRule="auto"/>
        <w:contextualSpacing/>
        <w:textAlignment w:val="baseline"/>
        <w:rPr>
          <w:rFonts w:eastAsia="等线"/>
          <w:i/>
          <w:lang w:val="en-US"/>
        </w:rPr>
      </w:pPr>
      <w:r>
        <w:rPr>
          <w:rFonts w:eastAsia="等线"/>
          <w:i/>
          <w:lang w:val="en-US"/>
        </w:rPr>
        <w:t xml:space="preserve">Develop 3GPP requirements for 6G Radio for these practical deployment scenarios to ensure substantial gains in all relevant bands: overall performance, user experience, TCO reduction including at least: </w:t>
      </w:r>
    </w:p>
    <w:p w14:paraId="34020B9E">
      <w:pPr>
        <w:numPr>
          <w:ilvl w:val="1"/>
          <w:numId w:val="2"/>
        </w:numPr>
        <w:overflowPunct w:val="0"/>
        <w:autoSpaceDE w:val="0"/>
        <w:autoSpaceDN w:val="0"/>
        <w:adjustRightInd w:val="0"/>
        <w:spacing w:after="180" w:line="240" w:lineRule="auto"/>
        <w:contextualSpacing/>
        <w:textAlignment w:val="baseline"/>
        <w:rPr>
          <w:rFonts w:eastAsia="等线"/>
          <w:bCs/>
          <w:i/>
          <w:iCs/>
          <w:lang w:val="en-US"/>
        </w:rPr>
      </w:pPr>
      <w:r>
        <w:rPr>
          <w:rFonts w:eastAsia="等线"/>
          <w:bCs/>
          <w:i/>
          <w:iCs/>
          <w:lang w:val="en-US"/>
        </w:rPr>
        <w:t>…</w:t>
      </w:r>
    </w:p>
    <w:p w14:paraId="1FA0D63C">
      <w:pPr>
        <w:numPr>
          <w:ilvl w:val="1"/>
          <w:numId w:val="2"/>
        </w:numPr>
        <w:overflowPunct w:val="0"/>
        <w:autoSpaceDE w:val="0"/>
        <w:autoSpaceDN w:val="0"/>
        <w:adjustRightInd w:val="0"/>
        <w:spacing w:after="180" w:line="240" w:lineRule="auto"/>
        <w:contextualSpacing/>
        <w:textAlignment w:val="baseline"/>
        <w:rPr>
          <w:rFonts w:eastAsia="等线"/>
          <w:bCs/>
          <w:i/>
          <w:iCs/>
          <w:lang w:val="en-US"/>
        </w:rPr>
      </w:pPr>
      <w:r>
        <w:rPr>
          <w:rFonts w:eastAsia="等线"/>
          <w:bCs/>
          <w:i/>
          <w:iCs/>
          <w:lang w:val="en-US"/>
        </w:rPr>
        <w:t xml:space="preserve">Wider channel bandwidth (at least 200MHz) support for 6G deployments </w:t>
      </w:r>
      <w:r>
        <w:rPr>
          <w:rFonts w:hint="eastAsia" w:eastAsia="等线"/>
          <w:bCs/>
          <w:i/>
          <w:iCs/>
          <w:lang w:val="en-US" w:eastAsia="zh-CN"/>
        </w:rPr>
        <w:t>at least</w:t>
      </w:r>
      <w:r>
        <w:rPr>
          <w:rFonts w:eastAsia="等线"/>
          <w:bCs/>
          <w:i/>
          <w:iCs/>
          <w:lang w:val="en-US"/>
        </w:rPr>
        <w:t xml:space="preserve"> </w:t>
      </w:r>
      <w:r>
        <w:rPr>
          <w:rFonts w:hint="eastAsia" w:eastAsia="等线"/>
          <w:bCs/>
          <w:i/>
          <w:iCs/>
          <w:lang w:val="en-US" w:eastAsia="zh-CN"/>
        </w:rPr>
        <w:t xml:space="preserve">above 2 GHz, </w:t>
      </w:r>
      <w:r>
        <w:rPr>
          <w:rFonts w:eastAsia="等线"/>
          <w:bCs/>
          <w:i/>
          <w:iCs/>
          <w:lang w:val="en-US"/>
        </w:rPr>
        <w:t>around 7 GHz</w:t>
      </w:r>
    </w:p>
    <w:p w14:paraId="78476C33">
      <w:pPr>
        <w:numPr>
          <w:ilvl w:val="1"/>
          <w:numId w:val="2"/>
        </w:numPr>
        <w:overflowPunct w:val="0"/>
        <w:autoSpaceDE w:val="0"/>
        <w:autoSpaceDN w:val="0"/>
        <w:adjustRightInd w:val="0"/>
        <w:spacing w:after="180" w:line="240" w:lineRule="auto"/>
        <w:contextualSpacing/>
        <w:textAlignment w:val="baseline"/>
        <w:rPr>
          <w:rFonts w:eastAsia="等线"/>
          <w:bCs/>
          <w:i/>
          <w:iCs/>
          <w:lang w:val="en-US"/>
        </w:rPr>
      </w:pPr>
      <w:r>
        <w:rPr>
          <w:rFonts w:eastAsia="等线"/>
          <w:bCs/>
          <w:i/>
          <w:iCs/>
          <w:lang w:val="en-US"/>
        </w:rPr>
        <w:t>Re-use of existing 5G mid-band (~3.5GHz) site grid for 6G deployments in at least around 7 GHz and targeting comparable coverage to 5G mid-band</w:t>
      </w:r>
    </w:p>
    <w:p w14:paraId="346C4677">
      <w:pPr>
        <w:numPr>
          <w:ilvl w:val="1"/>
          <w:numId w:val="2"/>
        </w:numPr>
        <w:overflowPunct w:val="0"/>
        <w:autoSpaceDE w:val="0"/>
        <w:autoSpaceDN w:val="0"/>
        <w:adjustRightInd w:val="0"/>
        <w:spacing w:after="180" w:line="240" w:lineRule="auto"/>
        <w:contextualSpacing/>
        <w:textAlignment w:val="baseline"/>
        <w:rPr>
          <w:rFonts w:eastAsia="等线"/>
          <w:bCs/>
          <w:i/>
          <w:iCs/>
          <w:lang w:val="en-US"/>
        </w:rPr>
      </w:pPr>
      <w:r>
        <w:rPr>
          <w:rFonts w:eastAsia="等线"/>
          <w:bCs/>
          <w:i/>
          <w:iCs/>
          <w:lang w:val="en-US"/>
        </w:rPr>
        <w:t>…</w:t>
      </w:r>
    </w:p>
    <w:p w14:paraId="60EB8D64">
      <w:pPr>
        <w:numPr>
          <w:ilvl w:val="0"/>
          <w:numId w:val="0"/>
        </w:numPr>
        <w:ind w:leftChars="0"/>
        <w:rPr>
          <w:rFonts w:hint="eastAsia" w:eastAsia="宋体"/>
          <w:sz w:val="20"/>
          <w:szCs w:val="20"/>
          <w:lang w:val="en-US" w:eastAsia="zh-CN"/>
        </w:rPr>
      </w:pPr>
      <w:r>
        <w:rPr>
          <w:rFonts w:hint="eastAsia" w:eastAsia="宋体"/>
          <w:sz w:val="20"/>
          <w:szCs w:val="20"/>
          <w:lang w:val="en-US" w:eastAsia="zh-CN"/>
        </w:rPr>
        <w:t>Based on the discussion in RAN1 and RAN plenary, we have following agreements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2AB82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7D074C21">
            <w:pPr>
              <w:rPr>
                <w:rFonts w:hint="eastAsia" w:eastAsia="等线"/>
                <w:lang w:eastAsia="zh-CN"/>
              </w:rPr>
            </w:pPr>
            <w:r>
              <w:rPr>
                <w:rFonts w:hint="eastAsia" w:eastAsia="等线"/>
                <w:lang w:eastAsia="zh-CN"/>
              </w:rPr>
              <w:t>Regarding the RAN1 agreement below, the following is agreed:</w:t>
            </w:r>
            <w:r>
              <w:rPr>
                <w:rFonts w:hint="eastAsia" w:eastAsia="等线"/>
                <w:lang w:val="en-US" w:eastAsia="zh-CN"/>
              </w:rPr>
              <w:t xml:space="preserve"> </w:t>
            </w:r>
            <w:r>
              <w:rPr>
                <w:rFonts w:eastAsia="等线"/>
                <w:lang w:eastAsia="zh-CN"/>
              </w:rPr>
              <w:t>K</w:t>
            </w:r>
            <w:r>
              <w:rPr>
                <w:rFonts w:hint="eastAsia" w:eastAsia="等线"/>
                <w:lang w:eastAsia="zh-CN"/>
              </w:rPr>
              <w:t xml:space="preserve">eep using </w:t>
            </w:r>
            <w:r>
              <w:rPr>
                <w:rFonts w:eastAsia="等线"/>
                <w:lang w:eastAsia="zh-CN"/>
              </w:rPr>
              <w:t>“</w:t>
            </w:r>
            <w:r>
              <w:rPr>
                <w:rFonts w:hint="eastAsia" w:eastAsia="等线"/>
                <w:lang w:eastAsia="zh-CN"/>
              </w:rPr>
              <w:t>around 7GHz</w:t>
            </w:r>
            <w:r>
              <w:rPr>
                <w:rFonts w:eastAsia="等线"/>
                <w:lang w:eastAsia="zh-CN"/>
              </w:rPr>
              <w:t>”</w:t>
            </w:r>
            <w:r>
              <w:rPr>
                <w:rFonts w:hint="eastAsia" w:eastAsia="等线"/>
                <w:lang w:eastAsia="zh-CN"/>
              </w:rPr>
              <w:t xml:space="preserve"> instead of using detailed </w:t>
            </w:r>
            <w:r>
              <w:rPr>
                <w:rFonts w:eastAsia="等线"/>
                <w:lang w:eastAsia="zh-CN"/>
              </w:rPr>
              <w:t>frequency</w:t>
            </w:r>
            <w:r>
              <w:rPr>
                <w:rFonts w:hint="eastAsia" w:eastAsia="等线"/>
                <w:lang w:eastAsia="zh-CN"/>
              </w:rPr>
              <w:t xml:space="preserve"> range </w:t>
            </w:r>
            <w:r>
              <w:rPr>
                <w:rFonts w:eastAsia="等线"/>
                <w:lang w:eastAsia="zh-CN"/>
              </w:rPr>
              <w:t>definition</w:t>
            </w:r>
            <w:r>
              <w:rPr>
                <w:rFonts w:hint="eastAsia" w:eastAsia="等线"/>
                <w:lang w:eastAsia="zh-CN"/>
              </w:rPr>
              <w:t xml:space="preserve"> in RAN1</w:t>
            </w:r>
            <w:r>
              <w:rPr>
                <w:rFonts w:eastAsia="等线"/>
                <w:lang w:eastAsia="zh-CN"/>
              </w:rPr>
              <w:t>’</w:t>
            </w:r>
            <w:r>
              <w:rPr>
                <w:rFonts w:hint="eastAsia" w:eastAsia="等线"/>
                <w:lang w:eastAsia="zh-CN"/>
              </w:rPr>
              <w:t>s and RAN4</w:t>
            </w:r>
            <w:r>
              <w:rPr>
                <w:rFonts w:eastAsia="等线"/>
                <w:lang w:eastAsia="zh-CN"/>
              </w:rPr>
              <w:t>’</w:t>
            </w:r>
            <w:r>
              <w:rPr>
                <w:rFonts w:hint="eastAsia" w:eastAsia="等线"/>
                <w:lang w:eastAsia="zh-CN"/>
              </w:rPr>
              <w:t xml:space="preserve">s study. </w:t>
            </w:r>
          </w:p>
          <w:p w14:paraId="08308598">
            <w:pPr>
              <w:numPr>
                <w:ilvl w:val="0"/>
                <w:numId w:val="0"/>
              </w:numPr>
              <w:ind w:leftChars="0"/>
              <w:rPr>
                <w:rFonts w:hint="eastAsia" w:eastAsia="宋体"/>
                <w:sz w:val="20"/>
                <w:szCs w:val="20"/>
                <w:vertAlign w:val="baseline"/>
                <w:lang w:val="en-US" w:eastAsia="zh-CN"/>
              </w:rPr>
            </w:pPr>
            <w:r>
              <w:rPr>
                <w:rFonts w:hint="eastAsia" w:eastAsia="宋体"/>
                <w:sz w:val="20"/>
                <w:szCs w:val="20"/>
                <w:lang w:val="en-US" w:eastAsia="zh-CN"/>
              </w:rPr>
              <w:t xml:space="preserve">Still keep </w:t>
            </w:r>
            <w:r>
              <w:rPr>
                <w:rFonts w:hint="default" w:eastAsia="宋体"/>
                <w:sz w:val="20"/>
                <w:szCs w:val="20"/>
                <w:lang w:val="en-US" w:eastAsia="zh-CN"/>
              </w:rPr>
              <w:t>“</w:t>
            </w:r>
            <w:r>
              <w:rPr>
                <w:rFonts w:hint="eastAsia" w:eastAsia="宋体"/>
                <w:sz w:val="20"/>
                <w:szCs w:val="20"/>
                <w:lang w:val="en-US" w:eastAsia="zh-CN"/>
              </w:rPr>
              <w:t>FFS: for around 15GHz</w:t>
            </w:r>
            <w:r>
              <w:rPr>
                <w:rFonts w:hint="default" w:eastAsia="宋体"/>
                <w:sz w:val="20"/>
                <w:szCs w:val="20"/>
                <w:lang w:val="en-US" w:eastAsia="zh-CN"/>
              </w:rPr>
              <w:t>”</w:t>
            </w:r>
            <w:r>
              <w:rPr>
                <w:rFonts w:hint="eastAsia" w:eastAsia="宋体"/>
                <w:sz w:val="20"/>
                <w:szCs w:val="20"/>
                <w:lang w:val="en-US" w:eastAsia="zh-CN"/>
              </w:rPr>
              <w:t xml:space="preserve"> without replacing it with sub-24.25GHz.</w:t>
            </w:r>
          </w:p>
        </w:tc>
      </w:tr>
    </w:tbl>
    <w:p w14:paraId="72158000">
      <w:pPr>
        <w:numPr>
          <w:ilvl w:val="0"/>
          <w:numId w:val="0"/>
        </w:numPr>
        <w:ind w:leftChars="0"/>
        <w:rPr>
          <w:rFonts w:hint="eastAsia" w:eastAsia="宋体"/>
          <w:sz w:val="20"/>
          <w:szCs w:val="20"/>
          <w:lang w:val="en-US" w:eastAsia="zh-CN"/>
        </w:rPr>
      </w:pPr>
      <w:r>
        <w:rPr>
          <w:rFonts w:hint="eastAsia" w:eastAsia="宋体"/>
          <w:sz w:val="20"/>
          <w:szCs w:val="20"/>
          <w:lang w:val="en-US" w:eastAsia="zh-CN"/>
        </w:rPr>
        <w:t>It</w:t>
      </w:r>
      <w:r>
        <w:rPr>
          <w:rFonts w:hint="default" w:eastAsia="宋体"/>
          <w:sz w:val="20"/>
          <w:szCs w:val="20"/>
          <w:lang w:val="en-US" w:eastAsia="zh-CN"/>
        </w:rPr>
        <w:t>’</w:t>
      </w:r>
      <w:r>
        <w:rPr>
          <w:rFonts w:hint="eastAsia" w:eastAsia="宋体"/>
          <w:sz w:val="20"/>
          <w:szCs w:val="20"/>
          <w:lang w:val="en-US" w:eastAsia="zh-CN"/>
        </w:rPr>
        <w:t>s RAN4</w:t>
      </w:r>
      <w:r>
        <w:rPr>
          <w:rFonts w:hint="default" w:eastAsia="宋体"/>
          <w:sz w:val="20"/>
          <w:szCs w:val="20"/>
          <w:lang w:val="en-US" w:eastAsia="zh-CN"/>
        </w:rPr>
        <w:t>’</w:t>
      </w:r>
      <w:r>
        <w:rPr>
          <w:rFonts w:hint="eastAsia" w:eastAsia="宋体"/>
          <w:sz w:val="20"/>
          <w:szCs w:val="20"/>
          <w:lang w:val="en-US" w:eastAsia="zh-CN"/>
        </w:rPr>
        <w:t>s scope to discuss the frequency range for FR1 and RAN4 can further discuss based on previous RAN1 discussion options as below:</w:t>
      </w:r>
    </w:p>
    <w:p w14:paraId="443A7B65">
      <w:pPr>
        <w:numPr>
          <w:ilvl w:val="0"/>
          <w:numId w:val="3"/>
        </w:numPr>
        <w:spacing w:after="180"/>
        <w:jc w:val="both"/>
        <w:rPr>
          <w:rFonts w:eastAsia="Malgun Gothic"/>
          <w:lang w:eastAsia="ko-KR"/>
        </w:rPr>
      </w:pPr>
      <w:r>
        <w:rPr>
          <w:rFonts w:hint="eastAsia" w:eastAsia="等线"/>
          <w:lang w:eastAsia="zh-CN"/>
        </w:rPr>
        <w:t xml:space="preserve">How to categorize the frequency range? </w:t>
      </w:r>
      <w:r>
        <w:rPr>
          <w:rFonts w:eastAsia="等线"/>
          <w:lang w:eastAsia="zh-CN"/>
        </w:rPr>
        <w:t>S</w:t>
      </w:r>
      <w:r>
        <w:rPr>
          <w:rFonts w:hint="eastAsia" w:eastAsia="等线"/>
          <w:lang w:eastAsia="zh-CN"/>
        </w:rPr>
        <w:t>hould the spectrum resource from 7.125GHz to 8.4GHz be categorized into the lower group or the higher group?</w:t>
      </w:r>
    </w:p>
    <w:p w14:paraId="1933EB6A">
      <w:pPr>
        <w:numPr>
          <w:ilvl w:val="1"/>
          <w:numId w:val="3"/>
        </w:numPr>
        <w:spacing w:after="180"/>
        <w:ind w:left="709" w:hanging="283"/>
        <w:jc w:val="both"/>
        <w:rPr>
          <w:rFonts w:eastAsia="Malgun Gothic"/>
          <w:lang w:eastAsia="ko-KR"/>
        </w:rPr>
      </w:pPr>
      <w:r>
        <w:rPr>
          <w:rFonts w:eastAsia="Malgun Gothic"/>
          <w:lang w:eastAsia="ko-KR"/>
        </w:rPr>
        <w:t xml:space="preserve">Option </w:t>
      </w:r>
      <w:r>
        <w:rPr>
          <w:rFonts w:hint="eastAsia" w:eastAsia="等线"/>
          <w:lang w:eastAsia="zh-CN"/>
        </w:rPr>
        <w:t>1</w:t>
      </w:r>
      <w:r>
        <w:rPr>
          <w:rFonts w:eastAsia="Malgun Gothic"/>
          <w:lang w:eastAsia="ko-KR"/>
        </w:rPr>
        <w:t>: extend FR1 to 8.4 GHz and define a separate mid-high band (8.4–24.25 GHz) with its own single numerology.</w:t>
      </w:r>
    </w:p>
    <w:p w14:paraId="6EF615EB">
      <w:pPr>
        <w:numPr>
          <w:ilvl w:val="1"/>
          <w:numId w:val="3"/>
        </w:numPr>
        <w:spacing w:after="180"/>
        <w:ind w:left="709" w:hanging="283"/>
        <w:jc w:val="both"/>
        <w:rPr>
          <w:rFonts w:eastAsia="Malgun Gothic"/>
          <w:lang w:eastAsia="ko-KR"/>
        </w:rPr>
      </w:pPr>
      <w:r>
        <w:rPr>
          <w:rFonts w:eastAsia="Malgun Gothic"/>
          <w:lang w:eastAsia="ko-KR"/>
        </w:rPr>
        <w:t xml:space="preserve">Option </w:t>
      </w:r>
      <w:r>
        <w:rPr>
          <w:rFonts w:hint="eastAsia" w:eastAsia="等线"/>
          <w:lang w:eastAsia="zh-CN"/>
        </w:rPr>
        <w:t>2</w:t>
      </w:r>
      <w:r>
        <w:rPr>
          <w:rFonts w:eastAsia="Malgun Gothic"/>
          <w:lang w:eastAsia="ko-KR"/>
        </w:rPr>
        <w:t>: extend FR1 to 8.4 GHz and merge 8.4–24.25 GHz into FR2, creating a unified FR2 family.</w:t>
      </w:r>
    </w:p>
    <w:p w14:paraId="6E562438">
      <w:pPr>
        <w:numPr>
          <w:ilvl w:val="1"/>
          <w:numId w:val="3"/>
        </w:numPr>
        <w:spacing w:after="180"/>
        <w:ind w:left="709" w:hanging="283"/>
        <w:jc w:val="both"/>
        <w:rPr>
          <w:rFonts w:eastAsia="Malgun Gothic"/>
          <w:lang w:eastAsia="ko-KR"/>
        </w:rPr>
      </w:pPr>
      <w:r>
        <w:rPr>
          <w:rFonts w:eastAsia="Malgun Gothic"/>
          <w:lang w:eastAsia="ko-KR"/>
        </w:rPr>
        <w:t xml:space="preserve">Option </w:t>
      </w:r>
      <w:r>
        <w:rPr>
          <w:rFonts w:hint="eastAsia" w:eastAsia="等线"/>
          <w:lang w:eastAsia="zh-CN"/>
        </w:rPr>
        <w:t>3</w:t>
      </w:r>
      <w:r>
        <w:rPr>
          <w:rFonts w:eastAsia="Malgun Gothic"/>
          <w:lang w:eastAsia="ko-KR"/>
        </w:rPr>
        <w:t>: define separate FR for 7.125 – 24.25 GHz.</w:t>
      </w:r>
    </w:p>
    <w:p w14:paraId="604B8D0A">
      <w:pPr>
        <w:numPr>
          <w:ilvl w:val="0"/>
          <w:numId w:val="0"/>
        </w:numPr>
        <w:ind w:leftChars="0"/>
        <w:rPr>
          <w:rFonts w:hint="eastAsia" w:eastAsia="宋体"/>
          <w:b/>
          <w:bCs/>
          <w:sz w:val="20"/>
          <w:szCs w:val="20"/>
          <w:lang w:val="en-US" w:eastAsia="zh-CN"/>
        </w:rPr>
      </w:pPr>
      <w:r>
        <w:rPr>
          <w:rFonts w:hint="eastAsia" w:eastAsia="宋体"/>
          <w:b/>
          <w:bCs/>
          <w:sz w:val="20"/>
          <w:szCs w:val="20"/>
          <w:lang w:val="en-US" w:eastAsia="zh-CN"/>
        </w:rPr>
        <w:t>Proposal 1: it</w:t>
      </w:r>
      <w:r>
        <w:rPr>
          <w:rFonts w:hint="default" w:eastAsia="宋体"/>
          <w:b/>
          <w:bCs/>
          <w:sz w:val="20"/>
          <w:szCs w:val="20"/>
          <w:lang w:val="en-US" w:eastAsia="zh-CN"/>
        </w:rPr>
        <w:t>’</w:t>
      </w:r>
      <w:r>
        <w:rPr>
          <w:rFonts w:hint="eastAsia" w:eastAsia="宋体"/>
          <w:b/>
          <w:bCs/>
          <w:sz w:val="20"/>
          <w:szCs w:val="20"/>
          <w:lang w:val="en-US" w:eastAsia="zh-CN"/>
        </w:rPr>
        <w:t>s RAN4</w:t>
      </w:r>
      <w:r>
        <w:rPr>
          <w:rFonts w:hint="default" w:eastAsia="宋体"/>
          <w:b/>
          <w:bCs/>
          <w:sz w:val="20"/>
          <w:szCs w:val="20"/>
          <w:lang w:val="en-US" w:eastAsia="zh-CN"/>
        </w:rPr>
        <w:t>’</w:t>
      </w:r>
      <w:r>
        <w:rPr>
          <w:rFonts w:hint="eastAsia" w:eastAsia="宋体"/>
          <w:b/>
          <w:bCs/>
          <w:sz w:val="20"/>
          <w:szCs w:val="20"/>
          <w:lang w:val="en-US" w:eastAsia="zh-CN"/>
        </w:rPr>
        <w:t>s scope to discuss the frequency range for FR1 based on the options proposed in RAN1 as above.</w:t>
      </w:r>
    </w:p>
    <w:p w14:paraId="70EB0D4C">
      <w:pPr>
        <w:jc w:val="both"/>
        <w:rPr>
          <w:rFonts w:hint="eastAsia" w:eastAsia="宋体"/>
          <w:sz w:val="20"/>
          <w:szCs w:val="20"/>
          <w:lang w:val="en-US" w:eastAsia="zh-CN"/>
        </w:rPr>
      </w:pPr>
      <w:r>
        <w:rPr>
          <w:rFonts w:hint="eastAsia" w:eastAsia="宋体"/>
          <w:sz w:val="20"/>
          <w:szCs w:val="20"/>
          <w:lang w:val="en-US" w:eastAsia="zh-CN"/>
        </w:rPr>
        <w:t xml:space="preserve">Following list the progress of around 7GHz in ITU. </w:t>
      </w:r>
    </w:p>
    <w:p w14:paraId="430170A4">
      <w:pPr>
        <w:jc w:val="both"/>
        <w:rPr>
          <w:rFonts w:hint="eastAsia" w:eastAsia="宋体"/>
          <w:lang w:val="en-US" w:eastAsia="zh-CN"/>
        </w:rPr>
      </w:pPr>
      <w:r>
        <w:rPr>
          <w:lang w:val="en-GB"/>
        </w:rPr>
        <w:t xml:space="preserve">6 425 – 7 125 MHz range </w:t>
      </w:r>
      <w:r>
        <w:rPr>
          <w:rFonts w:hint="eastAsia" w:eastAsia="宋体"/>
          <w:lang w:val="en-US" w:eastAsia="zh-CN"/>
        </w:rPr>
        <w:t xml:space="preserve">has been identified as IMT spectrum regional </w:t>
      </w:r>
      <w:r>
        <w:rPr>
          <w:lang w:val="en-GB"/>
        </w:rPr>
        <w:t>at WRC-23</w:t>
      </w:r>
      <w:r>
        <w:rPr>
          <w:rFonts w:hint="eastAsia" w:eastAsia="宋体"/>
          <w:lang w:val="en-US" w:eastAsia="zh-CN"/>
        </w:rPr>
        <w:t>. Despite its previous strong opposition, India has shifted its position and now offers support IMT identification for 6425-7125MHz. Besides, following list the candidate IMT spectrum under WRC-27 agenda item 1.7</w:t>
      </w:r>
    </w:p>
    <w:p w14:paraId="263F7C9A">
      <w:pPr>
        <w:numPr>
          <w:ilvl w:val="0"/>
          <w:numId w:val="4"/>
        </w:numPr>
        <w:ind w:left="420" w:leftChars="0" w:hanging="420" w:firstLineChars="0"/>
        <w:jc w:val="both"/>
        <w:rPr>
          <w:rFonts w:hint="default" w:eastAsia="宋体"/>
          <w:lang w:val="en-US" w:eastAsia="zh-CN"/>
        </w:rPr>
      </w:pPr>
      <w:r>
        <w:rPr>
          <w:rFonts w:hint="eastAsia" w:eastAsia="宋体"/>
          <w:lang w:val="en-US" w:eastAsia="zh-CN"/>
        </w:rPr>
        <w:t>4400-4800MHz: the major proponents is Russia. US tends to abandon 7125-8400MHz and shift its position to support these frequency range</w:t>
      </w:r>
    </w:p>
    <w:p w14:paraId="259A9FF3">
      <w:pPr>
        <w:numPr>
          <w:ilvl w:val="0"/>
          <w:numId w:val="4"/>
        </w:numPr>
        <w:ind w:left="420" w:leftChars="0" w:hanging="420" w:firstLineChars="0"/>
        <w:jc w:val="both"/>
        <w:rPr>
          <w:rFonts w:hint="default" w:eastAsia="宋体"/>
          <w:lang w:val="en-US" w:eastAsia="zh-CN"/>
        </w:rPr>
      </w:pPr>
      <w:r>
        <w:rPr>
          <w:rFonts w:hint="eastAsia" w:eastAsia="宋体"/>
          <w:lang w:val="en-US" w:eastAsia="zh-CN"/>
        </w:rPr>
        <w:t>7125-8400MHz: this frequency range was opposed by many countries and regional groups, including CEPT, due to strategic usages. These strategic usages are, and will remain, critical in all of this frequency band. Besides, this frequency range is intensively used by a large number of government satellite systems for down-links (i.e. 7 250-7 750 MHz) and up-links (i.e. 7 900-8400 MHz). The upper part of the band (i.e. 8 025-8 400 MHz) is also used for the downlink of Earth observation data by a large majority of Earth Observation satellites. On the other side, Japan and Korea tends to support such frequency range.</w:t>
      </w:r>
    </w:p>
    <w:p w14:paraId="4CC6C465">
      <w:pPr>
        <w:numPr>
          <w:ilvl w:val="0"/>
          <w:numId w:val="4"/>
        </w:numPr>
        <w:ind w:left="420" w:leftChars="0" w:hanging="420" w:firstLineChars="0"/>
        <w:jc w:val="both"/>
        <w:rPr>
          <w:rFonts w:hint="default" w:eastAsia="宋体"/>
          <w:lang w:val="en-US" w:eastAsia="zh-CN"/>
        </w:rPr>
      </w:pPr>
      <w:r>
        <w:rPr>
          <w:rFonts w:hint="eastAsia" w:eastAsia="宋体"/>
          <w:lang w:val="en-US" w:eastAsia="zh-CN"/>
        </w:rPr>
        <w:t>14.8-15.35GHz: now no countries/groups strongly support such bands</w:t>
      </w:r>
    </w:p>
    <w:p w14:paraId="4D6AA6DD">
      <w:pPr>
        <w:jc w:val="both"/>
        <w:rPr>
          <w:rFonts w:hint="default"/>
          <w:b/>
          <w:bCs/>
          <w:lang w:val="en-US"/>
        </w:rPr>
      </w:pPr>
      <w:r>
        <w:rPr>
          <w:rFonts w:hint="eastAsia" w:eastAsia="宋体"/>
          <w:b/>
          <w:bCs/>
          <w:lang w:val="en-US" w:eastAsia="zh-CN"/>
        </w:rPr>
        <w:t xml:space="preserve">Observation 1: above list the </w:t>
      </w:r>
      <w:r>
        <w:rPr>
          <w:rFonts w:hint="eastAsia"/>
          <w:b/>
          <w:bCs/>
          <w:lang w:val="en-US" w:eastAsia="zh-CN"/>
        </w:rPr>
        <w:t>regulatory status survey of 6425-7125MHz, 4400-4800MHz, 7125-8400MHz and 14.8-15.35GHz.</w:t>
      </w:r>
    </w:p>
    <w:p w14:paraId="0C3179CA">
      <w:pPr>
        <w:numPr>
          <w:ilvl w:val="0"/>
          <w:numId w:val="0"/>
        </w:numPr>
        <w:ind w:leftChars="0"/>
        <w:rPr>
          <w:rFonts w:hint="eastAsia" w:eastAsia="宋体"/>
          <w:sz w:val="20"/>
          <w:szCs w:val="20"/>
          <w:lang w:val="en-US" w:eastAsia="zh-CN"/>
        </w:rPr>
      </w:pPr>
      <w:r>
        <w:rPr>
          <w:rFonts w:hint="eastAsia" w:eastAsia="宋体"/>
          <w:sz w:val="20"/>
          <w:szCs w:val="20"/>
          <w:lang w:val="en-US" w:eastAsia="zh-CN"/>
        </w:rPr>
        <w:t>During the RAN plenary, some satellite operators suggest to postpone any 6G study and normative work with with regard to IMT identification, on the frequency range [7250 - 7750 MHz] and [7900 - 8400 MHz], at least until WRC27 final decision. The 6G study phase will end in June of 2027, the detailed band definition of 7125-8400MHz can wait for conclusion of WRC-27. now at study phase, RAN can just use around 7GHz as 6G new spectrum since at least 6425-7125MHz has been identified as IMT spectrum.</w:t>
      </w:r>
    </w:p>
    <w:p w14:paraId="068C75B2">
      <w:pPr>
        <w:numPr>
          <w:ilvl w:val="0"/>
          <w:numId w:val="0"/>
        </w:numPr>
        <w:ind w:leftChars="0"/>
        <w:rPr>
          <w:rFonts w:hint="eastAsia" w:eastAsia="宋体"/>
          <w:b/>
          <w:bCs/>
          <w:sz w:val="20"/>
          <w:szCs w:val="20"/>
          <w:lang w:val="en-US" w:eastAsia="zh-CN"/>
        </w:rPr>
      </w:pPr>
      <w:r>
        <w:rPr>
          <w:rFonts w:hint="eastAsia" w:eastAsia="宋体"/>
          <w:b/>
          <w:bCs/>
          <w:sz w:val="20"/>
          <w:szCs w:val="20"/>
          <w:lang w:val="en-US" w:eastAsia="zh-CN"/>
        </w:rPr>
        <w:t>Proposal 2: it</w:t>
      </w:r>
      <w:r>
        <w:rPr>
          <w:rFonts w:hint="default" w:eastAsia="宋体"/>
          <w:b/>
          <w:bCs/>
          <w:sz w:val="20"/>
          <w:szCs w:val="20"/>
          <w:lang w:val="en-US" w:eastAsia="zh-CN"/>
        </w:rPr>
        <w:t>’</w:t>
      </w:r>
      <w:r>
        <w:rPr>
          <w:rFonts w:hint="eastAsia" w:eastAsia="宋体"/>
          <w:b/>
          <w:bCs/>
          <w:sz w:val="20"/>
          <w:szCs w:val="20"/>
          <w:lang w:val="en-US" w:eastAsia="zh-CN"/>
        </w:rPr>
        <w:t>s work item scope of detailed band definition among 7125-8400MHz based on the conclusion of WRC-27. at study phase, RAN4 study system parameter/RF requirements using around 7GHz as 6G new spectrum.</w:t>
      </w:r>
    </w:p>
    <w:p w14:paraId="00BD10F1">
      <w:pPr>
        <w:numPr>
          <w:ilvl w:val="0"/>
          <w:numId w:val="0"/>
        </w:numPr>
        <w:ind w:leftChars="0"/>
        <w:rPr>
          <w:rFonts w:hint="default" w:eastAsia="宋体"/>
          <w:b/>
          <w:bCs/>
          <w:sz w:val="20"/>
          <w:szCs w:val="20"/>
          <w:lang w:val="en-US" w:eastAsia="zh-CN"/>
        </w:rPr>
      </w:pPr>
    </w:p>
    <w:p w14:paraId="1FC1CB48">
      <w:pPr>
        <w:pStyle w:val="3"/>
        <w:bidi w:val="0"/>
        <w:rPr>
          <w:rFonts w:hint="eastAsia"/>
          <w:lang w:val="en-US" w:eastAsia="zh-CN"/>
        </w:rPr>
      </w:pPr>
      <w:r>
        <w:rPr>
          <w:rFonts w:hint="eastAsia"/>
          <w:lang w:val="en-US" w:eastAsia="zh-CN"/>
        </w:rPr>
        <w:t>Band/band combination definition and simplification</w:t>
      </w:r>
    </w:p>
    <w:p w14:paraId="14EA00C1">
      <w:pPr>
        <w:pStyle w:val="26"/>
        <w:numPr>
          <w:ilvl w:val="0"/>
          <w:numId w:val="0"/>
        </w:numPr>
        <w:tabs>
          <w:tab w:val="left" w:pos="-420"/>
        </w:tabs>
        <w:spacing w:before="0"/>
        <w:rPr>
          <w:rFonts w:hint="eastAsia" w:eastAsia="宋体" w:cs="Times New Roman"/>
          <w:b w:val="0"/>
          <w:bCs w:val="0"/>
          <w:sz w:val="20"/>
          <w:szCs w:val="20"/>
          <w:lang w:val="en-US" w:eastAsia="zh-CN" w:bidi="ar-SA"/>
        </w:rPr>
      </w:pPr>
      <w:r>
        <w:rPr>
          <w:rFonts w:hint="eastAsia" w:eastAsia="宋体" w:cs="Times New Roman"/>
          <w:b w:val="0"/>
          <w:bCs w:val="0"/>
          <w:sz w:val="20"/>
          <w:szCs w:val="20"/>
          <w:lang w:val="en-US" w:eastAsia="zh-CN" w:bidi="ar-SA"/>
        </w:rPr>
        <w:t xml:space="preserve">During 5G stage, RAN 4 specified 70+ single bands and 10000+ band combinations numbers for CA, EN-DC, NE-DC, NR-DC, SUL which introduce huge workload for RAN4 requirement definition and RAN5 testing. As a results, increasing the RF front end complexity for UE when it has to support as much band combination as possible. </w:t>
      </w:r>
    </w:p>
    <w:p w14:paraId="281D2D15">
      <w:pPr>
        <w:pStyle w:val="26"/>
        <w:numPr>
          <w:ilvl w:val="0"/>
          <w:numId w:val="0"/>
        </w:numPr>
        <w:tabs>
          <w:tab w:val="left" w:pos="-420"/>
        </w:tabs>
        <w:spacing w:before="0"/>
        <w:rPr>
          <w:rFonts w:hint="eastAsia" w:eastAsia="宋体" w:cs="Times New Roman"/>
          <w:b w:val="0"/>
          <w:bCs w:val="0"/>
          <w:sz w:val="20"/>
          <w:szCs w:val="20"/>
          <w:lang w:val="en-US" w:eastAsia="zh-CN" w:bidi="ar-SA"/>
        </w:rPr>
      </w:pPr>
      <w:r>
        <w:rPr>
          <w:rFonts w:hint="eastAsia" w:eastAsia="宋体" w:cs="Times New Roman"/>
          <w:b w:val="0"/>
          <w:bCs w:val="0"/>
          <w:sz w:val="20"/>
          <w:szCs w:val="20"/>
          <w:lang w:val="en-US" w:eastAsia="zh-CN" w:bidi="ar-SA"/>
        </w:rPr>
        <w:t>Following options are proposed to simplify RAN4 and RAN5 workload of band combinations:</w:t>
      </w:r>
    </w:p>
    <w:p w14:paraId="06BE0189">
      <w:pPr>
        <w:pStyle w:val="26"/>
        <w:numPr>
          <w:ilvl w:val="0"/>
          <w:numId w:val="5"/>
        </w:numPr>
        <w:tabs>
          <w:tab w:val="left" w:pos="-420"/>
        </w:tabs>
        <w:spacing w:before="0"/>
        <w:ind w:left="720" w:leftChars="0" w:hanging="360" w:firstLineChars="0"/>
        <w:rPr>
          <w:rFonts w:hint="default" w:ascii="Times New Roman" w:hAnsi="Times New Roman" w:eastAsia="宋体" w:cs="Times New Roman"/>
          <w:b w:val="0"/>
          <w:bCs w:val="0"/>
          <w:sz w:val="20"/>
          <w:szCs w:val="20"/>
          <w:lang w:val="en-US" w:eastAsia="zh-CN" w:bidi="ar-SA"/>
        </w:rPr>
      </w:pPr>
      <w:r>
        <w:rPr>
          <w:rFonts w:hint="eastAsia" w:eastAsia="宋体" w:cs="Times New Roman"/>
          <w:b w:val="0"/>
          <w:bCs w:val="0"/>
          <w:sz w:val="20"/>
          <w:szCs w:val="20"/>
          <w:lang w:val="en-US" w:eastAsia="zh-CN" w:bidi="ar-SA"/>
        </w:rPr>
        <w:t>Option 1: use band group concept. For the bands belong to the same band group, switching instead CA is suggested. For the bands cross band group, the CA is suggested. This is something like what is done for the LBCA WID which use switching instead of CA for less than 1GHz spectrum. And RAN4 can further study the applicable frequency range, e.g. further check whether can extend the upper frequency to 2GHz. The main benefit is to reduce RF front end complexity and reduce insertion loss caused by duplexer to enlarge UL/DL coverage.</w:t>
      </w:r>
    </w:p>
    <w:p w14:paraId="7432A3D2">
      <w:pPr>
        <w:pStyle w:val="26"/>
        <w:numPr>
          <w:ilvl w:val="0"/>
          <w:numId w:val="5"/>
        </w:numPr>
        <w:tabs>
          <w:tab w:val="left" w:pos="-420"/>
        </w:tabs>
        <w:spacing w:before="0"/>
        <w:ind w:left="720" w:leftChars="0" w:hanging="360" w:firstLineChars="0"/>
        <w:rPr>
          <w:rFonts w:hint="default" w:ascii="Times New Roman" w:hAnsi="Times New Roman" w:eastAsia="宋体" w:cs="Times New Roman"/>
          <w:b w:val="0"/>
          <w:bCs w:val="0"/>
          <w:sz w:val="20"/>
          <w:szCs w:val="20"/>
          <w:lang w:val="en-US" w:eastAsia="zh-CN" w:bidi="ar-SA"/>
        </w:rPr>
      </w:pPr>
      <w:r>
        <w:rPr>
          <w:rFonts w:hint="eastAsia" w:eastAsia="宋体" w:cs="Times New Roman"/>
          <w:b w:val="0"/>
          <w:bCs w:val="0"/>
          <w:sz w:val="20"/>
          <w:szCs w:val="20"/>
          <w:lang w:val="en-US" w:eastAsia="zh-CN" w:bidi="ar-SA"/>
        </w:rPr>
        <w:t>Option 2:reuse current 5G RF requirements for 6G for the legacy band/band combinations and further study the method to reduce conformance testing workload.</w:t>
      </w:r>
    </w:p>
    <w:p w14:paraId="7D3965D7">
      <w:pPr>
        <w:pStyle w:val="26"/>
        <w:numPr>
          <w:ilvl w:val="0"/>
          <w:numId w:val="5"/>
        </w:numPr>
        <w:tabs>
          <w:tab w:val="left" w:pos="-420"/>
        </w:tabs>
        <w:spacing w:before="0"/>
        <w:ind w:left="720" w:leftChars="0" w:hanging="360" w:firstLineChars="0"/>
        <w:rPr>
          <w:rFonts w:hint="default" w:ascii="Times New Roman" w:hAnsi="Times New Roman" w:eastAsia="宋体" w:cs="Times New Roman"/>
          <w:b w:val="0"/>
          <w:bCs w:val="0"/>
          <w:sz w:val="20"/>
          <w:szCs w:val="20"/>
          <w:lang w:val="en-US" w:eastAsia="zh-CN" w:bidi="ar-SA"/>
        </w:rPr>
      </w:pPr>
      <w:r>
        <w:rPr>
          <w:rFonts w:hint="eastAsia" w:eastAsia="宋体" w:cs="Times New Roman"/>
          <w:b w:val="0"/>
          <w:bCs w:val="0"/>
          <w:sz w:val="20"/>
          <w:szCs w:val="20"/>
          <w:lang w:val="en-US" w:eastAsia="zh-CN" w:bidi="ar-SA"/>
        </w:rPr>
        <w:t>Option 3: define new bands for the lower frequency range.</w:t>
      </w:r>
    </w:p>
    <w:p w14:paraId="3DB65503">
      <w:pPr>
        <w:pStyle w:val="26"/>
        <w:numPr>
          <w:ilvl w:val="0"/>
          <w:numId w:val="0"/>
        </w:numPr>
        <w:tabs>
          <w:tab w:val="left" w:pos="-420"/>
        </w:tabs>
        <w:spacing w:before="0"/>
        <w:rPr>
          <w:rFonts w:hint="eastAsia" w:eastAsia="宋体" w:cs="Times New Roman"/>
          <w:b w:val="0"/>
          <w:bCs w:val="0"/>
          <w:sz w:val="20"/>
          <w:szCs w:val="20"/>
          <w:lang w:val="en-US" w:eastAsia="zh-CN" w:bidi="ar-SA"/>
        </w:rPr>
      </w:pPr>
      <w:r>
        <w:rPr>
          <w:rFonts w:hint="eastAsia" w:eastAsia="宋体" w:cs="Times New Roman"/>
          <w:b w:val="0"/>
          <w:bCs w:val="0"/>
          <w:sz w:val="20"/>
          <w:szCs w:val="20"/>
          <w:lang w:val="en-US" w:eastAsia="zh-CN" w:bidi="ar-SA"/>
        </w:rPr>
        <w:t>RAN4 can further study the band/band combination definitions and simplification based on above options.</w:t>
      </w:r>
    </w:p>
    <w:p w14:paraId="0E331C8F">
      <w:pPr>
        <w:pStyle w:val="26"/>
        <w:numPr>
          <w:ilvl w:val="0"/>
          <w:numId w:val="0"/>
        </w:numPr>
        <w:tabs>
          <w:tab w:val="left" w:pos="-420"/>
        </w:tabs>
        <w:spacing w:before="0"/>
        <w:rPr>
          <w:rFonts w:hint="eastAsia" w:eastAsia="宋体" w:cs="Times New Roman"/>
          <w:b/>
          <w:bCs/>
          <w:sz w:val="20"/>
          <w:szCs w:val="20"/>
          <w:lang w:val="en-US" w:eastAsia="zh-CN" w:bidi="ar-SA"/>
        </w:rPr>
      </w:pPr>
      <w:r>
        <w:rPr>
          <w:rFonts w:hint="eastAsia" w:eastAsia="宋体" w:cs="Times New Roman"/>
          <w:b/>
          <w:bCs/>
          <w:sz w:val="20"/>
          <w:szCs w:val="20"/>
          <w:lang w:val="en-US" w:eastAsia="zh-CN" w:bidi="ar-SA"/>
        </w:rPr>
        <w:t>Proposal 3: RAN4 can further study the options to reduce band combination workload and reduce RF front end complexity based on following options:</w:t>
      </w:r>
    </w:p>
    <w:p w14:paraId="6219CCB1">
      <w:pPr>
        <w:pStyle w:val="26"/>
        <w:numPr>
          <w:ilvl w:val="0"/>
          <w:numId w:val="5"/>
        </w:numPr>
        <w:tabs>
          <w:tab w:val="left" w:pos="-420"/>
        </w:tabs>
        <w:spacing w:before="0"/>
        <w:ind w:left="720" w:leftChars="0" w:hanging="360" w:firstLineChars="0"/>
        <w:rPr>
          <w:rFonts w:hint="default" w:ascii="Times New Roman" w:hAnsi="Times New Roman" w:eastAsia="宋体" w:cs="Times New Roman"/>
          <w:b/>
          <w:bCs/>
          <w:sz w:val="20"/>
          <w:szCs w:val="20"/>
          <w:lang w:val="en-US" w:eastAsia="zh-CN" w:bidi="ar-SA"/>
        </w:rPr>
      </w:pPr>
      <w:r>
        <w:rPr>
          <w:rFonts w:hint="eastAsia" w:eastAsia="宋体" w:cs="Times New Roman"/>
          <w:b/>
          <w:bCs/>
          <w:sz w:val="20"/>
          <w:szCs w:val="20"/>
          <w:lang w:val="en-US" w:eastAsia="zh-CN" w:bidi="ar-SA"/>
        </w:rPr>
        <w:t xml:space="preserve">Option 1: use band group concept. For the bands belong to the same band group, switching instead CA is suggested. For the bands cross band group, the CA is suggested. </w:t>
      </w:r>
    </w:p>
    <w:p w14:paraId="1CC2211F">
      <w:pPr>
        <w:pStyle w:val="26"/>
        <w:numPr>
          <w:ilvl w:val="1"/>
          <w:numId w:val="5"/>
        </w:numPr>
        <w:tabs>
          <w:tab w:val="left" w:pos="-420"/>
        </w:tabs>
        <w:spacing w:before="0"/>
        <w:ind w:left="1440" w:leftChars="0" w:hanging="360" w:firstLineChars="0"/>
        <w:rPr>
          <w:rFonts w:hint="default" w:ascii="Times New Roman" w:hAnsi="Times New Roman" w:eastAsia="宋体" w:cs="Times New Roman"/>
          <w:b/>
          <w:bCs/>
          <w:sz w:val="20"/>
          <w:szCs w:val="20"/>
          <w:lang w:val="en-US" w:eastAsia="zh-CN" w:bidi="ar-SA"/>
        </w:rPr>
      </w:pPr>
      <w:r>
        <w:rPr>
          <w:rFonts w:hint="eastAsia" w:eastAsia="宋体" w:cs="Times New Roman"/>
          <w:b/>
          <w:bCs/>
          <w:sz w:val="20"/>
          <w:szCs w:val="20"/>
          <w:lang w:val="en-US" w:eastAsia="zh-CN" w:bidi="ar-SA"/>
        </w:rPr>
        <w:t xml:space="preserve">RAN4 can further study the applicable frequency range, e.g. further check whether can extend the upper frequency to 2GHz. </w:t>
      </w:r>
    </w:p>
    <w:p w14:paraId="7FB53AFF">
      <w:pPr>
        <w:pStyle w:val="26"/>
        <w:numPr>
          <w:ilvl w:val="0"/>
          <w:numId w:val="5"/>
        </w:numPr>
        <w:tabs>
          <w:tab w:val="left" w:pos="-420"/>
        </w:tabs>
        <w:spacing w:before="0"/>
        <w:ind w:left="720" w:leftChars="0" w:hanging="360" w:firstLineChars="0"/>
        <w:rPr>
          <w:rFonts w:hint="default" w:ascii="Times New Roman" w:hAnsi="Times New Roman" w:eastAsia="宋体" w:cs="Times New Roman"/>
          <w:b/>
          <w:bCs/>
          <w:sz w:val="20"/>
          <w:szCs w:val="20"/>
          <w:lang w:val="en-US" w:eastAsia="zh-CN" w:bidi="ar-SA"/>
        </w:rPr>
      </w:pPr>
      <w:r>
        <w:rPr>
          <w:rFonts w:hint="eastAsia" w:eastAsia="宋体" w:cs="Times New Roman"/>
          <w:b/>
          <w:bCs/>
          <w:sz w:val="20"/>
          <w:szCs w:val="20"/>
          <w:lang w:val="en-US" w:eastAsia="zh-CN" w:bidi="ar-SA"/>
        </w:rPr>
        <w:t>Option 2:reuse current 5G RF requirements for 6G for the legacy band/band combinations and further study the method to reduce conformance testing workload.</w:t>
      </w:r>
    </w:p>
    <w:p w14:paraId="5A099BDF">
      <w:pPr>
        <w:pStyle w:val="26"/>
        <w:numPr>
          <w:ilvl w:val="0"/>
          <w:numId w:val="5"/>
        </w:numPr>
        <w:tabs>
          <w:tab w:val="left" w:pos="-420"/>
        </w:tabs>
        <w:spacing w:before="0"/>
        <w:ind w:left="720" w:leftChars="0" w:hanging="360" w:firstLineChars="0"/>
        <w:rPr>
          <w:rFonts w:hint="default" w:eastAsia="宋体" w:cs="Times New Roman"/>
          <w:b w:val="0"/>
          <w:bCs w:val="0"/>
          <w:sz w:val="20"/>
          <w:szCs w:val="20"/>
          <w:lang w:val="en-US" w:eastAsia="zh-CN" w:bidi="ar-SA"/>
        </w:rPr>
      </w:pPr>
      <w:r>
        <w:rPr>
          <w:rFonts w:hint="eastAsia" w:eastAsia="宋体" w:cs="Times New Roman"/>
          <w:b/>
          <w:bCs/>
          <w:sz w:val="20"/>
          <w:szCs w:val="20"/>
          <w:lang w:val="en-US" w:eastAsia="zh-CN" w:bidi="ar-SA"/>
        </w:rPr>
        <w:t>Option 3: define new bands for the lower frequency range.</w:t>
      </w:r>
    </w:p>
    <w:p w14:paraId="6A5E1546">
      <w:pPr>
        <w:pStyle w:val="26"/>
        <w:numPr>
          <w:ilvl w:val="0"/>
          <w:numId w:val="5"/>
        </w:numPr>
        <w:tabs>
          <w:tab w:val="left" w:pos="-420"/>
        </w:tabs>
        <w:spacing w:before="0"/>
        <w:ind w:left="720" w:leftChars="0" w:hanging="360" w:firstLineChars="0"/>
        <w:rPr>
          <w:rFonts w:hint="default" w:eastAsia="宋体" w:cs="Times New Roman"/>
          <w:b w:val="0"/>
          <w:bCs w:val="0"/>
          <w:sz w:val="20"/>
          <w:szCs w:val="20"/>
          <w:lang w:val="en-US" w:eastAsia="zh-CN" w:bidi="ar-SA"/>
        </w:rPr>
      </w:pPr>
      <w:r>
        <w:rPr>
          <w:rFonts w:hint="eastAsia" w:eastAsia="宋体" w:cs="Times New Roman"/>
          <w:b/>
          <w:bCs/>
          <w:sz w:val="20"/>
          <w:szCs w:val="20"/>
          <w:lang w:val="en-US" w:eastAsia="zh-CN" w:bidi="ar-SA"/>
        </w:rPr>
        <w:t>Option 4: decouple DL and DL and support feasible combinations</w:t>
      </w:r>
    </w:p>
    <w:p w14:paraId="0E1C369C">
      <w:pPr>
        <w:pStyle w:val="26"/>
        <w:numPr>
          <w:numId w:val="0"/>
        </w:numPr>
        <w:tabs>
          <w:tab w:val="left" w:pos="-420"/>
        </w:tabs>
        <w:spacing w:before="0"/>
        <w:rPr>
          <w:rFonts w:hint="default" w:eastAsia="宋体" w:cs="Times New Roman"/>
          <w:b w:val="0"/>
          <w:bCs w:val="0"/>
          <w:sz w:val="20"/>
          <w:szCs w:val="20"/>
          <w:lang w:val="en-US" w:eastAsia="zh-CN" w:bidi="ar-SA"/>
        </w:rPr>
      </w:pPr>
    </w:p>
    <w:bookmarkEnd w:id="9"/>
    <w:p w14:paraId="1CF59D43">
      <w:pPr>
        <w:pStyle w:val="2"/>
        <w:rPr>
          <w:rFonts w:eastAsia="宋体"/>
          <w:lang w:eastAsia="zh-CN"/>
        </w:rPr>
      </w:pPr>
      <w:r>
        <w:rPr>
          <w:rFonts w:hint="eastAsia" w:eastAsia="宋体"/>
          <w:lang w:eastAsia="zh-CN"/>
        </w:rPr>
        <w:t>Conclusion</w:t>
      </w:r>
    </w:p>
    <w:p w14:paraId="2D368AE8">
      <w:pPr>
        <w:rPr>
          <w:rFonts w:eastAsia="宋体"/>
          <w:sz w:val="22"/>
          <w:szCs w:val="22"/>
          <w:lang w:eastAsia="zh-CN"/>
        </w:rPr>
      </w:pPr>
      <w:r>
        <w:rPr>
          <w:rFonts w:eastAsia="宋体"/>
          <w:sz w:val="22"/>
          <w:szCs w:val="22"/>
          <w:lang w:eastAsia="zh-CN"/>
        </w:rPr>
        <w:t>This contribution makes the following observations and proposals.</w:t>
      </w:r>
    </w:p>
    <w:p w14:paraId="494B1A06">
      <w:pPr>
        <w:numPr>
          <w:ilvl w:val="0"/>
          <w:numId w:val="3"/>
        </w:numPr>
        <w:spacing w:after="180"/>
        <w:jc w:val="both"/>
        <w:rPr>
          <w:rFonts w:eastAsia="Malgun Gothic"/>
          <w:lang w:eastAsia="ko-KR"/>
        </w:rPr>
      </w:pPr>
      <w:r>
        <w:rPr>
          <w:rFonts w:hint="eastAsia" w:eastAsia="等线"/>
          <w:lang w:eastAsia="zh-CN"/>
        </w:rPr>
        <w:t xml:space="preserve">How to categorize the frequency range? </w:t>
      </w:r>
      <w:r>
        <w:rPr>
          <w:rFonts w:eastAsia="等线"/>
          <w:lang w:eastAsia="zh-CN"/>
        </w:rPr>
        <w:t>S</w:t>
      </w:r>
      <w:r>
        <w:rPr>
          <w:rFonts w:hint="eastAsia" w:eastAsia="等线"/>
          <w:lang w:eastAsia="zh-CN"/>
        </w:rPr>
        <w:t>hould the spectrum resource from 7.125GHz to 8.4GHz be categorized into the lower group or the higher group?</w:t>
      </w:r>
    </w:p>
    <w:p w14:paraId="62BA9105">
      <w:pPr>
        <w:numPr>
          <w:ilvl w:val="1"/>
          <w:numId w:val="3"/>
        </w:numPr>
        <w:spacing w:after="180"/>
        <w:ind w:left="709" w:hanging="283"/>
        <w:jc w:val="both"/>
        <w:rPr>
          <w:rFonts w:eastAsia="Malgun Gothic"/>
          <w:lang w:eastAsia="ko-KR"/>
        </w:rPr>
      </w:pPr>
      <w:r>
        <w:rPr>
          <w:rFonts w:eastAsia="Malgun Gothic"/>
          <w:lang w:eastAsia="ko-KR"/>
        </w:rPr>
        <w:t xml:space="preserve">Option </w:t>
      </w:r>
      <w:r>
        <w:rPr>
          <w:rFonts w:hint="eastAsia" w:eastAsia="等线"/>
          <w:lang w:eastAsia="zh-CN"/>
        </w:rPr>
        <w:t>1</w:t>
      </w:r>
      <w:r>
        <w:rPr>
          <w:rFonts w:eastAsia="Malgun Gothic"/>
          <w:lang w:eastAsia="ko-KR"/>
        </w:rPr>
        <w:t>: extend FR1 to 8.4 GHz and define a separate mid-high band (8.4–24.25 GHz) with its own single numerology.</w:t>
      </w:r>
    </w:p>
    <w:p w14:paraId="6DEF3787">
      <w:pPr>
        <w:numPr>
          <w:ilvl w:val="1"/>
          <w:numId w:val="3"/>
        </w:numPr>
        <w:spacing w:after="180"/>
        <w:ind w:left="709" w:hanging="283"/>
        <w:jc w:val="both"/>
        <w:rPr>
          <w:rFonts w:eastAsia="Malgun Gothic"/>
          <w:lang w:eastAsia="ko-KR"/>
        </w:rPr>
      </w:pPr>
      <w:r>
        <w:rPr>
          <w:rFonts w:eastAsia="Malgun Gothic"/>
          <w:lang w:eastAsia="ko-KR"/>
        </w:rPr>
        <w:t xml:space="preserve">Option </w:t>
      </w:r>
      <w:r>
        <w:rPr>
          <w:rFonts w:hint="eastAsia" w:eastAsia="等线"/>
          <w:lang w:eastAsia="zh-CN"/>
        </w:rPr>
        <w:t>2</w:t>
      </w:r>
      <w:r>
        <w:rPr>
          <w:rFonts w:eastAsia="Malgun Gothic"/>
          <w:lang w:eastAsia="ko-KR"/>
        </w:rPr>
        <w:t>: extend FR1 to 8.4 GHz and merge 8.4–24.25 GHz into FR2, creating a unified FR2 family.</w:t>
      </w:r>
    </w:p>
    <w:p w14:paraId="352BA3C7">
      <w:pPr>
        <w:numPr>
          <w:ilvl w:val="1"/>
          <w:numId w:val="3"/>
        </w:numPr>
        <w:spacing w:after="180"/>
        <w:ind w:left="709" w:hanging="283"/>
        <w:jc w:val="both"/>
        <w:rPr>
          <w:rFonts w:eastAsia="Malgun Gothic"/>
          <w:lang w:eastAsia="ko-KR"/>
        </w:rPr>
      </w:pPr>
      <w:r>
        <w:rPr>
          <w:rFonts w:eastAsia="Malgun Gothic"/>
          <w:lang w:eastAsia="ko-KR"/>
        </w:rPr>
        <w:t xml:space="preserve">Option </w:t>
      </w:r>
      <w:r>
        <w:rPr>
          <w:rFonts w:hint="eastAsia" w:eastAsia="等线"/>
          <w:lang w:eastAsia="zh-CN"/>
        </w:rPr>
        <w:t>3</w:t>
      </w:r>
      <w:r>
        <w:rPr>
          <w:rFonts w:eastAsia="Malgun Gothic"/>
          <w:lang w:eastAsia="ko-KR"/>
        </w:rPr>
        <w:t>: define separate FR for 7.125 – 24.25 GHz.</w:t>
      </w:r>
    </w:p>
    <w:p w14:paraId="5948E84E">
      <w:pPr>
        <w:numPr>
          <w:ilvl w:val="0"/>
          <w:numId w:val="0"/>
        </w:numPr>
        <w:ind w:leftChars="0"/>
        <w:rPr>
          <w:rFonts w:hint="eastAsia" w:eastAsia="宋体"/>
          <w:b/>
          <w:bCs/>
          <w:sz w:val="20"/>
          <w:szCs w:val="20"/>
          <w:lang w:val="en-US" w:eastAsia="zh-CN"/>
        </w:rPr>
      </w:pPr>
      <w:r>
        <w:rPr>
          <w:rFonts w:hint="eastAsia" w:eastAsia="宋体"/>
          <w:b/>
          <w:bCs/>
          <w:sz w:val="20"/>
          <w:szCs w:val="20"/>
          <w:lang w:val="en-US" w:eastAsia="zh-CN"/>
        </w:rPr>
        <w:t>Proposal 1: it</w:t>
      </w:r>
      <w:r>
        <w:rPr>
          <w:rFonts w:hint="default" w:eastAsia="宋体"/>
          <w:b/>
          <w:bCs/>
          <w:sz w:val="20"/>
          <w:szCs w:val="20"/>
          <w:lang w:val="en-US" w:eastAsia="zh-CN"/>
        </w:rPr>
        <w:t>’</w:t>
      </w:r>
      <w:r>
        <w:rPr>
          <w:rFonts w:hint="eastAsia" w:eastAsia="宋体"/>
          <w:b/>
          <w:bCs/>
          <w:sz w:val="20"/>
          <w:szCs w:val="20"/>
          <w:lang w:val="en-US" w:eastAsia="zh-CN"/>
        </w:rPr>
        <w:t>s RAN4</w:t>
      </w:r>
      <w:r>
        <w:rPr>
          <w:rFonts w:hint="default" w:eastAsia="宋体"/>
          <w:b/>
          <w:bCs/>
          <w:sz w:val="20"/>
          <w:szCs w:val="20"/>
          <w:lang w:val="en-US" w:eastAsia="zh-CN"/>
        </w:rPr>
        <w:t>’</w:t>
      </w:r>
      <w:r>
        <w:rPr>
          <w:rFonts w:hint="eastAsia" w:eastAsia="宋体"/>
          <w:b/>
          <w:bCs/>
          <w:sz w:val="20"/>
          <w:szCs w:val="20"/>
          <w:lang w:val="en-US" w:eastAsia="zh-CN"/>
        </w:rPr>
        <w:t>s scope to discuss the frequency range for FR1 based on the options proposed in RAN1 as above.</w:t>
      </w:r>
    </w:p>
    <w:p w14:paraId="4885A464">
      <w:pPr>
        <w:numPr>
          <w:ilvl w:val="0"/>
          <w:numId w:val="4"/>
        </w:numPr>
        <w:ind w:left="420" w:leftChars="0" w:hanging="420" w:firstLineChars="0"/>
        <w:jc w:val="both"/>
        <w:rPr>
          <w:rFonts w:hint="default" w:eastAsia="宋体"/>
          <w:lang w:val="en-US" w:eastAsia="zh-CN"/>
        </w:rPr>
      </w:pPr>
      <w:r>
        <w:rPr>
          <w:rFonts w:hint="default" w:eastAsia="宋体"/>
          <w:lang w:val="en-US" w:eastAsia="zh-CN"/>
        </w:rPr>
        <w:t>6 425 – 7 125 MHz range has been identified as IMT spectrum regional at WRC-23. Despite its previous strong opposition, India has shifted its position and now offers support IMT identification for 6425-7125MHz. Besides, following list the candidate IMT spectrum under WRC-27 agenda item 1.7</w:t>
      </w:r>
    </w:p>
    <w:p w14:paraId="1640A7AD">
      <w:pPr>
        <w:numPr>
          <w:ilvl w:val="0"/>
          <w:numId w:val="4"/>
        </w:numPr>
        <w:ind w:left="420" w:leftChars="0" w:hanging="420" w:firstLineChars="0"/>
        <w:jc w:val="both"/>
        <w:rPr>
          <w:rFonts w:hint="default" w:eastAsia="宋体"/>
          <w:lang w:val="en-US" w:eastAsia="zh-CN"/>
        </w:rPr>
      </w:pPr>
      <w:r>
        <w:rPr>
          <w:rFonts w:hint="eastAsia" w:eastAsia="宋体"/>
          <w:lang w:val="en-US" w:eastAsia="zh-CN"/>
        </w:rPr>
        <w:t>4400-4800MHz: the major proponents is Russia. US tends to abandon 7125-8400MHz and shift its position to support these frequency range</w:t>
      </w:r>
    </w:p>
    <w:p w14:paraId="7D1B5981">
      <w:pPr>
        <w:numPr>
          <w:ilvl w:val="0"/>
          <w:numId w:val="4"/>
        </w:numPr>
        <w:ind w:left="420" w:leftChars="0" w:hanging="420" w:firstLineChars="0"/>
        <w:jc w:val="both"/>
        <w:rPr>
          <w:rFonts w:hint="default" w:eastAsia="宋体"/>
          <w:lang w:val="en-US" w:eastAsia="zh-CN"/>
        </w:rPr>
      </w:pPr>
      <w:r>
        <w:rPr>
          <w:rFonts w:hint="eastAsia" w:eastAsia="宋体"/>
          <w:lang w:val="en-US" w:eastAsia="zh-CN"/>
        </w:rPr>
        <w:t>7125-8400MHz: this frequency range was opposed by many countries and regional groups, including CEPT, due to strategic usages. These strategic usages are, and will remain, critical in all of this frequency band. Besides, this frequency range is intensively used by a large number of government satellite systems for down-links (i.e. 7 250-7 750 MHz) and up-links (i.e. 7 900-8400 MHz). The upper part of the band (i.e. 8 025-8 400 MHz) is also used for the downlink of Earth observation data by a large majority of Earth Observation satellites. On the other side, Japan and Korea tends to support such frequency range.</w:t>
      </w:r>
    </w:p>
    <w:p w14:paraId="38BAD774">
      <w:pPr>
        <w:numPr>
          <w:ilvl w:val="0"/>
          <w:numId w:val="4"/>
        </w:numPr>
        <w:ind w:left="420" w:leftChars="0" w:hanging="420" w:firstLineChars="0"/>
        <w:jc w:val="both"/>
        <w:rPr>
          <w:rFonts w:hint="default" w:eastAsia="宋体"/>
          <w:lang w:val="en-US" w:eastAsia="zh-CN"/>
        </w:rPr>
      </w:pPr>
      <w:r>
        <w:rPr>
          <w:rFonts w:hint="eastAsia" w:eastAsia="宋体"/>
          <w:lang w:val="en-US" w:eastAsia="zh-CN"/>
        </w:rPr>
        <w:t>14.8-15.35GHz: now no countries/groups strongly support such bands</w:t>
      </w:r>
    </w:p>
    <w:p w14:paraId="500DAB54">
      <w:pPr>
        <w:jc w:val="both"/>
        <w:rPr>
          <w:rFonts w:hint="default"/>
          <w:b/>
          <w:bCs/>
          <w:lang w:val="en-US"/>
        </w:rPr>
      </w:pPr>
      <w:r>
        <w:rPr>
          <w:rFonts w:hint="eastAsia" w:eastAsia="宋体"/>
          <w:b/>
          <w:bCs/>
          <w:lang w:val="en-US" w:eastAsia="zh-CN"/>
        </w:rPr>
        <w:t xml:space="preserve">Observation 1: above list the </w:t>
      </w:r>
      <w:r>
        <w:rPr>
          <w:rFonts w:hint="eastAsia"/>
          <w:b/>
          <w:bCs/>
          <w:lang w:val="en-US" w:eastAsia="zh-CN"/>
        </w:rPr>
        <w:t>regulatory status survey of 6425-7125MHz, 4400-4800MHz, 7125-8400MHz and 14.8-15.35GHz.</w:t>
      </w:r>
    </w:p>
    <w:p w14:paraId="1EF59207">
      <w:pPr>
        <w:numPr>
          <w:ilvl w:val="0"/>
          <w:numId w:val="0"/>
        </w:numPr>
        <w:ind w:leftChars="0"/>
        <w:rPr>
          <w:rFonts w:hint="eastAsia" w:eastAsia="宋体"/>
          <w:b/>
          <w:bCs/>
          <w:sz w:val="20"/>
          <w:szCs w:val="20"/>
          <w:lang w:val="en-US" w:eastAsia="zh-CN"/>
        </w:rPr>
      </w:pPr>
      <w:r>
        <w:rPr>
          <w:rFonts w:hint="eastAsia" w:eastAsia="宋体"/>
          <w:b/>
          <w:bCs/>
          <w:sz w:val="20"/>
          <w:szCs w:val="20"/>
          <w:lang w:val="en-US" w:eastAsia="zh-CN"/>
        </w:rPr>
        <w:t>Proposal 2: it</w:t>
      </w:r>
      <w:r>
        <w:rPr>
          <w:rFonts w:hint="default" w:eastAsia="宋体"/>
          <w:b/>
          <w:bCs/>
          <w:sz w:val="20"/>
          <w:szCs w:val="20"/>
          <w:lang w:val="en-US" w:eastAsia="zh-CN"/>
        </w:rPr>
        <w:t>’</w:t>
      </w:r>
      <w:r>
        <w:rPr>
          <w:rFonts w:hint="eastAsia" w:eastAsia="宋体"/>
          <w:b/>
          <w:bCs/>
          <w:sz w:val="20"/>
          <w:szCs w:val="20"/>
          <w:lang w:val="en-US" w:eastAsia="zh-CN"/>
        </w:rPr>
        <w:t>s work item</w:t>
      </w:r>
      <w:r>
        <w:rPr>
          <w:rFonts w:hint="default" w:eastAsia="宋体"/>
          <w:b/>
          <w:bCs/>
          <w:sz w:val="20"/>
          <w:szCs w:val="20"/>
          <w:lang w:val="en-US" w:eastAsia="zh-CN"/>
        </w:rPr>
        <w:t>’</w:t>
      </w:r>
      <w:r>
        <w:rPr>
          <w:rFonts w:hint="eastAsia" w:eastAsia="宋体"/>
          <w:b/>
          <w:bCs/>
          <w:sz w:val="20"/>
          <w:szCs w:val="20"/>
          <w:lang w:val="en-US" w:eastAsia="zh-CN"/>
        </w:rPr>
        <w:t xml:space="preserve"> scope for detailed band definition among 7125-8400MHz based on the conclusion of WRC-27. At study phase, RAN4 study system parameter/RF requirements using around 7GHz as 6G new spectrum.</w:t>
      </w:r>
    </w:p>
    <w:p w14:paraId="5019A435">
      <w:pPr>
        <w:pStyle w:val="26"/>
        <w:numPr>
          <w:ilvl w:val="0"/>
          <w:numId w:val="0"/>
        </w:numPr>
        <w:tabs>
          <w:tab w:val="left" w:pos="-420"/>
        </w:tabs>
        <w:spacing w:before="0"/>
        <w:rPr>
          <w:rFonts w:hint="eastAsia" w:eastAsia="宋体" w:cs="Times New Roman"/>
          <w:b/>
          <w:bCs/>
          <w:sz w:val="20"/>
          <w:szCs w:val="20"/>
          <w:lang w:val="en-US" w:eastAsia="zh-CN" w:bidi="ar-SA"/>
        </w:rPr>
      </w:pPr>
      <w:r>
        <w:rPr>
          <w:rFonts w:hint="eastAsia" w:eastAsia="宋体" w:cs="Times New Roman"/>
          <w:b/>
          <w:bCs/>
          <w:sz w:val="20"/>
          <w:szCs w:val="20"/>
          <w:lang w:val="en-US" w:eastAsia="zh-CN" w:bidi="ar-SA"/>
        </w:rPr>
        <w:t>Proposal 3: RAN4 can further study the options to reduce band combination workload and reduce RF front end complexity:</w:t>
      </w:r>
    </w:p>
    <w:p w14:paraId="7DFCB745">
      <w:pPr>
        <w:pStyle w:val="26"/>
        <w:numPr>
          <w:ilvl w:val="0"/>
          <w:numId w:val="5"/>
        </w:numPr>
        <w:tabs>
          <w:tab w:val="left" w:pos="-420"/>
        </w:tabs>
        <w:spacing w:before="0"/>
        <w:ind w:left="720" w:leftChars="0" w:hanging="360" w:firstLineChars="0"/>
        <w:rPr>
          <w:rFonts w:hint="default" w:ascii="Times New Roman" w:hAnsi="Times New Roman" w:eastAsia="宋体" w:cs="Times New Roman"/>
          <w:b/>
          <w:bCs/>
          <w:sz w:val="20"/>
          <w:szCs w:val="20"/>
          <w:lang w:val="en-US" w:eastAsia="zh-CN" w:bidi="ar-SA"/>
        </w:rPr>
      </w:pPr>
      <w:r>
        <w:rPr>
          <w:rFonts w:hint="eastAsia" w:eastAsia="宋体" w:cs="Times New Roman"/>
          <w:b/>
          <w:bCs/>
          <w:sz w:val="20"/>
          <w:szCs w:val="20"/>
          <w:lang w:val="en-US" w:eastAsia="zh-CN" w:bidi="ar-SA"/>
        </w:rPr>
        <w:t xml:space="preserve">Option 1: use band group concept. For the bands belong to the same band group, switching instead CA is suggested. For the bands cross band group, the CA is suggested. </w:t>
      </w:r>
    </w:p>
    <w:p w14:paraId="6226BA11">
      <w:pPr>
        <w:pStyle w:val="26"/>
        <w:numPr>
          <w:ilvl w:val="1"/>
          <w:numId w:val="5"/>
        </w:numPr>
        <w:tabs>
          <w:tab w:val="left" w:pos="-420"/>
        </w:tabs>
        <w:spacing w:before="0"/>
        <w:ind w:left="1440" w:leftChars="0" w:hanging="360" w:firstLineChars="0"/>
        <w:rPr>
          <w:rFonts w:hint="default" w:ascii="Times New Roman" w:hAnsi="Times New Roman" w:eastAsia="宋体" w:cs="Times New Roman"/>
          <w:b/>
          <w:bCs/>
          <w:sz w:val="20"/>
          <w:szCs w:val="20"/>
          <w:lang w:val="en-US" w:eastAsia="zh-CN" w:bidi="ar-SA"/>
        </w:rPr>
      </w:pPr>
      <w:r>
        <w:rPr>
          <w:rFonts w:hint="eastAsia" w:eastAsia="宋体" w:cs="Times New Roman"/>
          <w:b/>
          <w:bCs/>
          <w:sz w:val="20"/>
          <w:szCs w:val="20"/>
          <w:lang w:val="en-US" w:eastAsia="zh-CN" w:bidi="ar-SA"/>
        </w:rPr>
        <w:t xml:space="preserve">RAN4 can further study the applicable frequency range, e.g. further check whether can extend the upper frequency to 2GHz. </w:t>
      </w:r>
    </w:p>
    <w:p w14:paraId="56C3A939">
      <w:pPr>
        <w:pStyle w:val="26"/>
        <w:numPr>
          <w:ilvl w:val="0"/>
          <w:numId w:val="5"/>
        </w:numPr>
        <w:tabs>
          <w:tab w:val="left" w:pos="-420"/>
        </w:tabs>
        <w:spacing w:before="0"/>
        <w:ind w:left="720" w:leftChars="0" w:hanging="360" w:firstLineChars="0"/>
        <w:rPr>
          <w:rFonts w:hint="default" w:ascii="Times New Roman" w:hAnsi="Times New Roman" w:eastAsia="宋体" w:cs="Times New Roman"/>
          <w:b/>
          <w:bCs/>
          <w:sz w:val="20"/>
          <w:szCs w:val="20"/>
          <w:lang w:val="en-US" w:eastAsia="zh-CN" w:bidi="ar-SA"/>
        </w:rPr>
      </w:pPr>
      <w:r>
        <w:rPr>
          <w:rFonts w:hint="eastAsia" w:eastAsia="宋体" w:cs="Times New Roman"/>
          <w:b/>
          <w:bCs/>
          <w:sz w:val="20"/>
          <w:szCs w:val="20"/>
          <w:lang w:val="en-US" w:eastAsia="zh-CN" w:bidi="ar-SA"/>
        </w:rPr>
        <w:t>Option 2:reuse current 5G RF requirements for 6G for the legacy band/band combinations and further study the method to reduce conformance testing workload.</w:t>
      </w:r>
    </w:p>
    <w:p w14:paraId="4FC5E5EE">
      <w:pPr>
        <w:pStyle w:val="26"/>
        <w:numPr>
          <w:ilvl w:val="0"/>
          <w:numId w:val="5"/>
        </w:numPr>
        <w:tabs>
          <w:tab w:val="left" w:pos="-420"/>
        </w:tabs>
        <w:spacing w:before="0"/>
        <w:ind w:left="720" w:leftChars="0" w:hanging="360" w:firstLineChars="0"/>
        <w:rPr>
          <w:rFonts w:hint="default" w:eastAsia="宋体" w:cs="Times New Roman"/>
          <w:b w:val="0"/>
          <w:bCs w:val="0"/>
          <w:sz w:val="20"/>
          <w:szCs w:val="20"/>
          <w:lang w:val="en-US" w:eastAsia="zh-CN" w:bidi="ar-SA"/>
        </w:rPr>
      </w:pPr>
      <w:r>
        <w:rPr>
          <w:rFonts w:hint="eastAsia" w:eastAsia="宋体" w:cs="Times New Roman"/>
          <w:b/>
          <w:bCs/>
          <w:sz w:val="20"/>
          <w:szCs w:val="20"/>
          <w:lang w:val="en-US" w:eastAsia="zh-CN" w:bidi="ar-SA"/>
        </w:rPr>
        <w:t>Option 3: define new bands for the lower frequency range.</w:t>
      </w:r>
    </w:p>
    <w:p w14:paraId="27117E05">
      <w:pPr>
        <w:pStyle w:val="26"/>
        <w:numPr>
          <w:ilvl w:val="0"/>
          <w:numId w:val="5"/>
        </w:numPr>
        <w:tabs>
          <w:tab w:val="left" w:pos="-420"/>
        </w:tabs>
        <w:spacing w:before="0"/>
        <w:ind w:left="720" w:leftChars="0" w:hanging="360" w:firstLineChars="0"/>
        <w:rPr>
          <w:rFonts w:hint="eastAsia" w:eastAsia="宋体"/>
          <w:b/>
          <w:bCs/>
          <w:sz w:val="20"/>
          <w:szCs w:val="20"/>
          <w:lang w:val="en-US" w:eastAsia="zh-CN"/>
        </w:rPr>
      </w:pPr>
      <w:r>
        <w:rPr>
          <w:rFonts w:hint="eastAsia" w:eastAsia="宋体" w:cs="Times New Roman"/>
          <w:b/>
          <w:bCs/>
          <w:sz w:val="20"/>
          <w:szCs w:val="20"/>
          <w:lang w:val="en-US" w:eastAsia="zh-CN" w:bidi="ar-SA"/>
        </w:rPr>
        <w:t>Option 4: decouple DL and DL and support feasible combinations</w:t>
      </w:r>
    </w:p>
    <w:p w14:paraId="5EEE4E53">
      <w:pPr>
        <w:pStyle w:val="2"/>
        <w:ind w:left="0" w:firstLine="0"/>
      </w:pPr>
      <w:r>
        <w:t>References</w:t>
      </w:r>
    </w:p>
    <w:bookmarkEnd w:id="1"/>
    <w:bookmarkEnd w:id="2"/>
    <w:bookmarkEnd w:id="3"/>
    <w:p w14:paraId="5021D1EB">
      <w:pPr>
        <w:pStyle w:val="50"/>
        <w:numPr>
          <w:ilvl w:val="0"/>
          <w:numId w:val="6"/>
        </w:numPr>
        <w:ind w:firstLineChars="0"/>
        <w:rPr>
          <w:rFonts w:hint="eastAsia" w:eastAsia="Malgun Gothic"/>
          <w:sz w:val="20"/>
          <w:szCs w:val="20"/>
          <w:lang w:val="en-US" w:eastAsia="zh-CN"/>
        </w:rPr>
      </w:pPr>
      <w:r>
        <w:rPr>
          <w:rFonts w:hint="eastAsia" w:eastAsia="Malgun Gothic"/>
          <w:sz w:val="20"/>
          <w:szCs w:val="20"/>
          <w:lang w:val="en-US" w:eastAsia="zh-CN"/>
        </w:rPr>
        <w:t>RP-251881, New SID: Study on 6G Radio, NTT DOCOMO</w:t>
      </w:r>
    </w:p>
    <w:sectPr>
      <w:pgSz w:w="11906" w:h="16838"/>
      <w:pgMar w:top="1418"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Roboto Condensed">
    <w:altName w:val="Segoe Print"/>
    <w:panose1 w:val="00000000000000000000"/>
    <w:charset w:val="00"/>
    <w:family w:val="auto"/>
    <w:pitch w:val="default"/>
    <w:sig w:usb0="00000000" w:usb1="00000000" w:usb2="00000021"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auto"/>
    <w:pitch w:val="default"/>
    <w:sig w:usb0="E00006FF" w:usb1="420024FF" w:usb2="02000000" w:usb3="00000000" w:csb0="2000019F" w:csb1="00000000"/>
  </w:font>
  <w:font w:name="Batang">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5C2D7E"/>
    <w:multiLevelType w:val="multilevel"/>
    <w:tmpl w:val="AC5C2D7E"/>
    <w:lvl w:ilvl="0" w:tentative="0">
      <w:start w:val="1"/>
      <w:numFmt w:val="bullet"/>
      <w:lvlText w:val=""/>
      <w:lvlJc w:val="left"/>
      <w:pPr>
        <w:ind w:left="420" w:hanging="420"/>
      </w:pPr>
      <w:rPr>
        <w:rFonts w:hint="default" w:ascii="Symbol" w:hAnsi="Symbol"/>
      </w:rPr>
    </w:lvl>
    <w:lvl w:ilvl="1" w:tentative="0">
      <w:start w:val="1"/>
      <w:numFmt w:val="bullet"/>
      <w:lvlText w:val="o"/>
      <w:lvlJc w:val="left"/>
      <w:pPr>
        <w:ind w:left="840" w:hanging="420"/>
      </w:pPr>
      <w:rPr>
        <w:rFonts w:hint="default" w:ascii="Courier New" w:hAnsi="Courier New" w:cs="Cambria Math"/>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C5DCC3BA"/>
    <w:multiLevelType w:val="multilevel"/>
    <w:tmpl w:val="C5DCC3BA"/>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2">
    <w:nsid w:val="00DB08AA"/>
    <w:multiLevelType w:val="multilevel"/>
    <w:tmpl w:val="00DB08AA"/>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0FD062E0"/>
    <w:multiLevelType w:val="multilevel"/>
    <w:tmpl w:val="0FD062E0"/>
    <w:lvl w:ilvl="0" w:tentative="0">
      <w:start w:val="1"/>
      <w:numFmt w:val="bullet"/>
      <w:lvlText w:val=""/>
      <w:lvlJc w:val="left"/>
      <w:pPr>
        <w:ind w:left="440" w:hanging="440"/>
      </w:pPr>
      <w:rPr>
        <w:rFonts w:hint="default" w:ascii="Symbol" w:hAnsi="Symbol"/>
      </w:rPr>
    </w:lvl>
    <w:lvl w:ilvl="1" w:tentative="0">
      <w:start w:val="1"/>
      <w:numFmt w:val="bullet"/>
      <w:lvlText w:val=""/>
      <w:lvlJc w:val="left"/>
      <w:pPr>
        <w:ind w:left="880" w:hanging="440"/>
      </w:pPr>
      <w:rPr>
        <w:rFonts w:hint="default" w:ascii="Symbol" w:hAnsi="Symbol"/>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
    <w:nsid w:val="3C3607DB"/>
    <w:multiLevelType w:val="multilevel"/>
    <w:tmpl w:val="3C3607DB"/>
    <w:lvl w:ilvl="0" w:tentative="0">
      <w:start w:val="0"/>
      <w:numFmt w:val="bullet"/>
      <w:lvlText w:val="-"/>
      <w:lvlJc w:val="left"/>
      <w:pPr>
        <w:ind w:left="720" w:hanging="360"/>
      </w:pPr>
      <w:rPr>
        <w:rFonts w:hint="default" w:ascii="Times" w:hAnsi="Times" w:eastAsia="Batang" w:cs="等线"/>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5E872652"/>
    <w:multiLevelType w:val="multilevel"/>
    <w:tmpl w:val="5E872652"/>
    <w:lvl w:ilvl="0" w:tentative="0">
      <w:start w:val="4"/>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5"/>
  </w:num>
  <w:num w:numId="3">
    <w:abstractNumId w:val="3"/>
  </w:num>
  <w:num w:numId="4">
    <w:abstractNumId w:val="0"/>
  </w:num>
  <w:num w:numId="5">
    <w:abstractNumId w:val="4"/>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488F"/>
    <w:rsid w:val="00012FEE"/>
    <w:rsid w:val="0002184D"/>
    <w:rsid w:val="00025ED3"/>
    <w:rsid w:val="00031404"/>
    <w:rsid w:val="00032345"/>
    <w:rsid w:val="00033A5D"/>
    <w:rsid w:val="00041C73"/>
    <w:rsid w:val="000435A7"/>
    <w:rsid w:val="0004683A"/>
    <w:rsid w:val="00050C36"/>
    <w:rsid w:val="00053FC7"/>
    <w:rsid w:val="00064957"/>
    <w:rsid w:val="00067F95"/>
    <w:rsid w:val="000716C2"/>
    <w:rsid w:val="00072F25"/>
    <w:rsid w:val="00074554"/>
    <w:rsid w:val="00075BD1"/>
    <w:rsid w:val="00084F7F"/>
    <w:rsid w:val="00090E94"/>
    <w:rsid w:val="000964E7"/>
    <w:rsid w:val="000A0775"/>
    <w:rsid w:val="000A2233"/>
    <w:rsid w:val="000A7686"/>
    <w:rsid w:val="000B5858"/>
    <w:rsid w:val="000C1100"/>
    <w:rsid w:val="000C2DEB"/>
    <w:rsid w:val="000C65C1"/>
    <w:rsid w:val="000D1056"/>
    <w:rsid w:val="000D362A"/>
    <w:rsid w:val="000D59C0"/>
    <w:rsid w:val="000E28E8"/>
    <w:rsid w:val="000F0044"/>
    <w:rsid w:val="000F3E72"/>
    <w:rsid w:val="001000AF"/>
    <w:rsid w:val="00100503"/>
    <w:rsid w:val="0010439D"/>
    <w:rsid w:val="001225F6"/>
    <w:rsid w:val="00141BF1"/>
    <w:rsid w:val="00144123"/>
    <w:rsid w:val="00151501"/>
    <w:rsid w:val="00156BDE"/>
    <w:rsid w:val="0016273C"/>
    <w:rsid w:val="0017092D"/>
    <w:rsid w:val="00171AE5"/>
    <w:rsid w:val="0017229F"/>
    <w:rsid w:val="0017301E"/>
    <w:rsid w:val="00174A6C"/>
    <w:rsid w:val="0018719D"/>
    <w:rsid w:val="001A0504"/>
    <w:rsid w:val="001A13BD"/>
    <w:rsid w:val="001A31E8"/>
    <w:rsid w:val="001A4FDB"/>
    <w:rsid w:val="001A6522"/>
    <w:rsid w:val="001A7715"/>
    <w:rsid w:val="001B1FFA"/>
    <w:rsid w:val="001B2F4D"/>
    <w:rsid w:val="001B7F80"/>
    <w:rsid w:val="001D0CF9"/>
    <w:rsid w:val="001D73F4"/>
    <w:rsid w:val="001F268F"/>
    <w:rsid w:val="001F301B"/>
    <w:rsid w:val="002065BE"/>
    <w:rsid w:val="002119D0"/>
    <w:rsid w:val="002120CF"/>
    <w:rsid w:val="002126DF"/>
    <w:rsid w:val="0021327A"/>
    <w:rsid w:val="00232A3A"/>
    <w:rsid w:val="00235E80"/>
    <w:rsid w:val="00237655"/>
    <w:rsid w:val="002466E6"/>
    <w:rsid w:val="0025118E"/>
    <w:rsid w:val="00253104"/>
    <w:rsid w:val="00254A3E"/>
    <w:rsid w:val="0025623D"/>
    <w:rsid w:val="00273899"/>
    <w:rsid w:val="002771F0"/>
    <w:rsid w:val="00283EEB"/>
    <w:rsid w:val="00284F05"/>
    <w:rsid w:val="00291198"/>
    <w:rsid w:val="00296956"/>
    <w:rsid w:val="002A0710"/>
    <w:rsid w:val="002A2DBB"/>
    <w:rsid w:val="002B23F3"/>
    <w:rsid w:val="002B7027"/>
    <w:rsid w:val="002B773B"/>
    <w:rsid w:val="002C05CA"/>
    <w:rsid w:val="002C214A"/>
    <w:rsid w:val="002C7400"/>
    <w:rsid w:val="002D33AE"/>
    <w:rsid w:val="002D7C5D"/>
    <w:rsid w:val="002E562F"/>
    <w:rsid w:val="002E7254"/>
    <w:rsid w:val="002E735F"/>
    <w:rsid w:val="0030063D"/>
    <w:rsid w:val="00301C2E"/>
    <w:rsid w:val="00303E7F"/>
    <w:rsid w:val="00304F07"/>
    <w:rsid w:val="0030642F"/>
    <w:rsid w:val="00324F6C"/>
    <w:rsid w:val="003337C0"/>
    <w:rsid w:val="0033422E"/>
    <w:rsid w:val="00334B69"/>
    <w:rsid w:val="003363D8"/>
    <w:rsid w:val="0034509D"/>
    <w:rsid w:val="00346573"/>
    <w:rsid w:val="00352079"/>
    <w:rsid w:val="00360871"/>
    <w:rsid w:val="00362343"/>
    <w:rsid w:val="003667CC"/>
    <w:rsid w:val="00374E84"/>
    <w:rsid w:val="003752D5"/>
    <w:rsid w:val="00376F87"/>
    <w:rsid w:val="003777F7"/>
    <w:rsid w:val="003778C3"/>
    <w:rsid w:val="00391F24"/>
    <w:rsid w:val="0039780B"/>
    <w:rsid w:val="003A07AB"/>
    <w:rsid w:val="003A26B0"/>
    <w:rsid w:val="003A54A1"/>
    <w:rsid w:val="003B1667"/>
    <w:rsid w:val="003E3026"/>
    <w:rsid w:val="003E3E59"/>
    <w:rsid w:val="003E6418"/>
    <w:rsid w:val="003F2BF5"/>
    <w:rsid w:val="00413E93"/>
    <w:rsid w:val="00415CDF"/>
    <w:rsid w:val="00415E36"/>
    <w:rsid w:val="00420E3E"/>
    <w:rsid w:val="00422143"/>
    <w:rsid w:val="00430BAC"/>
    <w:rsid w:val="004361BC"/>
    <w:rsid w:val="0044202D"/>
    <w:rsid w:val="00451F93"/>
    <w:rsid w:val="00451FF9"/>
    <w:rsid w:val="00454687"/>
    <w:rsid w:val="004602EC"/>
    <w:rsid w:val="00477307"/>
    <w:rsid w:val="00493AAB"/>
    <w:rsid w:val="00495278"/>
    <w:rsid w:val="004A693A"/>
    <w:rsid w:val="004B4774"/>
    <w:rsid w:val="004B75D9"/>
    <w:rsid w:val="004B7DF9"/>
    <w:rsid w:val="004C49CD"/>
    <w:rsid w:val="004C4FAD"/>
    <w:rsid w:val="004C7B61"/>
    <w:rsid w:val="004D04D1"/>
    <w:rsid w:val="004D085D"/>
    <w:rsid w:val="004E74C7"/>
    <w:rsid w:val="004F3D35"/>
    <w:rsid w:val="004F71B3"/>
    <w:rsid w:val="004F73AD"/>
    <w:rsid w:val="0050018C"/>
    <w:rsid w:val="00506A22"/>
    <w:rsid w:val="0050790C"/>
    <w:rsid w:val="005164B6"/>
    <w:rsid w:val="00522A83"/>
    <w:rsid w:val="00524A17"/>
    <w:rsid w:val="00530EB1"/>
    <w:rsid w:val="00541302"/>
    <w:rsid w:val="00542FA2"/>
    <w:rsid w:val="00546426"/>
    <w:rsid w:val="005531D9"/>
    <w:rsid w:val="00555D67"/>
    <w:rsid w:val="00556899"/>
    <w:rsid w:val="0056006F"/>
    <w:rsid w:val="00564887"/>
    <w:rsid w:val="00577049"/>
    <w:rsid w:val="00577EBD"/>
    <w:rsid w:val="0058296D"/>
    <w:rsid w:val="005859C3"/>
    <w:rsid w:val="0059447C"/>
    <w:rsid w:val="005B27AF"/>
    <w:rsid w:val="005E1A39"/>
    <w:rsid w:val="005F4EBD"/>
    <w:rsid w:val="005F6D46"/>
    <w:rsid w:val="0060177A"/>
    <w:rsid w:val="0060186C"/>
    <w:rsid w:val="006079A2"/>
    <w:rsid w:val="00614A0F"/>
    <w:rsid w:val="00616F03"/>
    <w:rsid w:val="0061761F"/>
    <w:rsid w:val="00622125"/>
    <w:rsid w:val="00624CB3"/>
    <w:rsid w:val="0062664E"/>
    <w:rsid w:val="00630879"/>
    <w:rsid w:val="00630A72"/>
    <w:rsid w:val="0063320D"/>
    <w:rsid w:val="00635045"/>
    <w:rsid w:val="00637645"/>
    <w:rsid w:val="00645DC2"/>
    <w:rsid w:val="0065334F"/>
    <w:rsid w:val="00653A16"/>
    <w:rsid w:val="00662EC0"/>
    <w:rsid w:val="00664FCB"/>
    <w:rsid w:val="00666D5E"/>
    <w:rsid w:val="00677EDF"/>
    <w:rsid w:val="006825EC"/>
    <w:rsid w:val="00682F51"/>
    <w:rsid w:val="00682FC1"/>
    <w:rsid w:val="00683853"/>
    <w:rsid w:val="006841C0"/>
    <w:rsid w:val="0068536F"/>
    <w:rsid w:val="00687123"/>
    <w:rsid w:val="006909E4"/>
    <w:rsid w:val="00691B70"/>
    <w:rsid w:val="00695534"/>
    <w:rsid w:val="006A290F"/>
    <w:rsid w:val="006A4376"/>
    <w:rsid w:val="006A74EB"/>
    <w:rsid w:val="006B2927"/>
    <w:rsid w:val="006B29EA"/>
    <w:rsid w:val="006B2F5F"/>
    <w:rsid w:val="006B6E9E"/>
    <w:rsid w:val="006C1F95"/>
    <w:rsid w:val="006C4237"/>
    <w:rsid w:val="006D12A9"/>
    <w:rsid w:val="006E73F6"/>
    <w:rsid w:val="006F6ED1"/>
    <w:rsid w:val="00705BEE"/>
    <w:rsid w:val="007060DC"/>
    <w:rsid w:val="00707BF3"/>
    <w:rsid w:val="00712AD1"/>
    <w:rsid w:val="00714B51"/>
    <w:rsid w:val="00723368"/>
    <w:rsid w:val="0073076F"/>
    <w:rsid w:val="0073092F"/>
    <w:rsid w:val="007364D2"/>
    <w:rsid w:val="007458DE"/>
    <w:rsid w:val="00750529"/>
    <w:rsid w:val="0075367C"/>
    <w:rsid w:val="00761F45"/>
    <w:rsid w:val="007702CD"/>
    <w:rsid w:val="0077796A"/>
    <w:rsid w:val="00783B45"/>
    <w:rsid w:val="00784BF9"/>
    <w:rsid w:val="007901E0"/>
    <w:rsid w:val="007A2A2C"/>
    <w:rsid w:val="007A587E"/>
    <w:rsid w:val="007B0485"/>
    <w:rsid w:val="007B0711"/>
    <w:rsid w:val="007B3929"/>
    <w:rsid w:val="007B7157"/>
    <w:rsid w:val="007B763D"/>
    <w:rsid w:val="007C1BED"/>
    <w:rsid w:val="007C1F25"/>
    <w:rsid w:val="007C23FA"/>
    <w:rsid w:val="007C259F"/>
    <w:rsid w:val="007C2E12"/>
    <w:rsid w:val="007D35B8"/>
    <w:rsid w:val="007F33E8"/>
    <w:rsid w:val="007F5719"/>
    <w:rsid w:val="007F621B"/>
    <w:rsid w:val="00814100"/>
    <w:rsid w:val="008176B8"/>
    <w:rsid w:val="00820D1D"/>
    <w:rsid w:val="00820D79"/>
    <w:rsid w:val="008435D0"/>
    <w:rsid w:val="0084640C"/>
    <w:rsid w:val="00861A4E"/>
    <w:rsid w:val="00862D16"/>
    <w:rsid w:val="008663E0"/>
    <w:rsid w:val="008667B3"/>
    <w:rsid w:val="00867EB3"/>
    <w:rsid w:val="00867FFB"/>
    <w:rsid w:val="008764B3"/>
    <w:rsid w:val="0088309E"/>
    <w:rsid w:val="008948AC"/>
    <w:rsid w:val="008973D0"/>
    <w:rsid w:val="008B0CF9"/>
    <w:rsid w:val="008B61B0"/>
    <w:rsid w:val="008D4DFB"/>
    <w:rsid w:val="008F11B8"/>
    <w:rsid w:val="00902D98"/>
    <w:rsid w:val="00902EC7"/>
    <w:rsid w:val="009042CF"/>
    <w:rsid w:val="009047DA"/>
    <w:rsid w:val="00912105"/>
    <w:rsid w:val="0091378B"/>
    <w:rsid w:val="0092371F"/>
    <w:rsid w:val="00925DD3"/>
    <w:rsid w:val="00926C05"/>
    <w:rsid w:val="009323D9"/>
    <w:rsid w:val="009326BC"/>
    <w:rsid w:val="00940F7E"/>
    <w:rsid w:val="00941732"/>
    <w:rsid w:val="00952E01"/>
    <w:rsid w:val="00960331"/>
    <w:rsid w:val="0096218E"/>
    <w:rsid w:val="00965A9D"/>
    <w:rsid w:val="00971EF6"/>
    <w:rsid w:val="009744A5"/>
    <w:rsid w:val="00975529"/>
    <w:rsid w:val="00975937"/>
    <w:rsid w:val="00975AF0"/>
    <w:rsid w:val="00981D79"/>
    <w:rsid w:val="00983AC1"/>
    <w:rsid w:val="00986CF4"/>
    <w:rsid w:val="009901B4"/>
    <w:rsid w:val="009910ED"/>
    <w:rsid w:val="009943F7"/>
    <w:rsid w:val="00995A64"/>
    <w:rsid w:val="009A013E"/>
    <w:rsid w:val="009A0198"/>
    <w:rsid w:val="009A1D83"/>
    <w:rsid w:val="009B09EF"/>
    <w:rsid w:val="009B3A72"/>
    <w:rsid w:val="009D3A64"/>
    <w:rsid w:val="009D5C85"/>
    <w:rsid w:val="009D720A"/>
    <w:rsid w:val="009E2EAA"/>
    <w:rsid w:val="009F5CB3"/>
    <w:rsid w:val="009F6F0E"/>
    <w:rsid w:val="00A1119C"/>
    <w:rsid w:val="00A16C93"/>
    <w:rsid w:val="00A17370"/>
    <w:rsid w:val="00A23701"/>
    <w:rsid w:val="00A318B7"/>
    <w:rsid w:val="00A411BC"/>
    <w:rsid w:val="00A51E72"/>
    <w:rsid w:val="00A52B0B"/>
    <w:rsid w:val="00A562D4"/>
    <w:rsid w:val="00A569F2"/>
    <w:rsid w:val="00A6190B"/>
    <w:rsid w:val="00A70DC6"/>
    <w:rsid w:val="00A7332D"/>
    <w:rsid w:val="00A76F60"/>
    <w:rsid w:val="00A82246"/>
    <w:rsid w:val="00AA1FD9"/>
    <w:rsid w:val="00AA3448"/>
    <w:rsid w:val="00AB0796"/>
    <w:rsid w:val="00AB4B16"/>
    <w:rsid w:val="00AC438B"/>
    <w:rsid w:val="00AC5500"/>
    <w:rsid w:val="00AD1848"/>
    <w:rsid w:val="00AF186B"/>
    <w:rsid w:val="00AF5184"/>
    <w:rsid w:val="00AF6434"/>
    <w:rsid w:val="00B0279E"/>
    <w:rsid w:val="00B04297"/>
    <w:rsid w:val="00B06C06"/>
    <w:rsid w:val="00B11AA1"/>
    <w:rsid w:val="00B243CE"/>
    <w:rsid w:val="00B31185"/>
    <w:rsid w:val="00B31885"/>
    <w:rsid w:val="00B318BA"/>
    <w:rsid w:val="00B3283A"/>
    <w:rsid w:val="00B32C8F"/>
    <w:rsid w:val="00B35B4D"/>
    <w:rsid w:val="00B36822"/>
    <w:rsid w:val="00B5148D"/>
    <w:rsid w:val="00B55E72"/>
    <w:rsid w:val="00B56535"/>
    <w:rsid w:val="00B65977"/>
    <w:rsid w:val="00B67C47"/>
    <w:rsid w:val="00B701EC"/>
    <w:rsid w:val="00B75097"/>
    <w:rsid w:val="00B76E3D"/>
    <w:rsid w:val="00B801B0"/>
    <w:rsid w:val="00B819EE"/>
    <w:rsid w:val="00B82577"/>
    <w:rsid w:val="00B8378B"/>
    <w:rsid w:val="00B83EF7"/>
    <w:rsid w:val="00BA1FC4"/>
    <w:rsid w:val="00BA27C6"/>
    <w:rsid w:val="00BA341E"/>
    <w:rsid w:val="00BA5249"/>
    <w:rsid w:val="00BB17CD"/>
    <w:rsid w:val="00BB43E2"/>
    <w:rsid w:val="00BB7A99"/>
    <w:rsid w:val="00BD5076"/>
    <w:rsid w:val="00BD6CF9"/>
    <w:rsid w:val="00BE5DB7"/>
    <w:rsid w:val="00BE63F3"/>
    <w:rsid w:val="00BF2727"/>
    <w:rsid w:val="00BF4E6D"/>
    <w:rsid w:val="00C066A0"/>
    <w:rsid w:val="00C0790A"/>
    <w:rsid w:val="00C2373F"/>
    <w:rsid w:val="00C301EC"/>
    <w:rsid w:val="00C3301A"/>
    <w:rsid w:val="00C343FC"/>
    <w:rsid w:val="00C3547B"/>
    <w:rsid w:val="00C40C59"/>
    <w:rsid w:val="00C435BE"/>
    <w:rsid w:val="00C466C4"/>
    <w:rsid w:val="00C5425B"/>
    <w:rsid w:val="00C74B7C"/>
    <w:rsid w:val="00C76EE9"/>
    <w:rsid w:val="00C92A28"/>
    <w:rsid w:val="00C93434"/>
    <w:rsid w:val="00C9476F"/>
    <w:rsid w:val="00CA2352"/>
    <w:rsid w:val="00CA6A99"/>
    <w:rsid w:val="00CA7703"/>
    <w:rsid w:val="00CB375D"/>
    <w:rsid w:val="00CB6DC1"/>
    <w:rsid w:val="00CC295D"/>
    <w:rsid w:val="00CD4BFE"/>
    <w:rsid w:val="00CD526F"/>
    <w:rsid w:val="00CE0009"/>
    <w:rsid w:val="00D0549C"/>
    <w:rsid w:val="00D15B03"/>
    <w:rsid w:val="00D16BEC"/>
    <w:rsid w:val="00D170AB"/>
    <w:rsid w:val="00D22244"/>
    <w:rsid w:val="00D2426F"/>
    <w:rsid w:val="00D27914"/>
    <w:rsid w:val="00D43C75"/>
    <w:rsid w:val="00D44BE8"/>
    <w:rsid w:val="00D52A15"/>
    <w:rsid w:val="00D53B35"/>
    <w:rsid w:val="00D673D6"/>
    <w:rsid w:val="00D739A9"/>
    <w:rsid w:val="00D77230"/>
    <w:rsid w:val="00D84D55"/>
    <w:rsid w:val="00D947E3"/>
    <w:rsid w:val="00DA4C6D"/>
    <w:rsid w:val="00DA5360"/>
    <w:rsid w:val="00DA5592"/>
    <w:rsid w:val="00DA59DB"/>
    <w:rsid w:val="00DB2CB9"/>
    <w:rsid w:val="00DC21A6"/>
    <w:rsid w:val="00DD0020"/>
    <w:rsid w:val="00DE587B"/>
    <w:rsid w:val="00DE6371"/>
    <w:rsid w:val="00DF3083"/>
    <w:rsid w:val="00DF49A6"/>
    <w:rsid w:val="00E010F9"/>
    <w:rsid w:val="00E02121"/>
    <w:rsid w:val="00E025AE"/>
    <w:rsid w:val="00E05BC3"/>
    <w:rsid w:val="00E07D24"/>
    <w:rsid w:val="00E128B9"/>
    <w:rsid w:val="00E14613"/>
    <w:rsid w:val="00E25775"/>
    <w:rsid w:val="00E44370"/>
    <w:rsid w:val="00E57E3D"/>
    <w:rsid w:val="00E65B40"/>
    <w:rsid w:val="00E67E53"/>
    <w:rsid w:val="00E67EBF"/>
    <w:rsid w:val="00E83332"/>
    <w:rsid w:val="00E92A03"/>
    <w:rsid w:val="00E93BBA"/>
    <w:rsid w:val="00E94B1A"/>
    <w:rsid w:val="00E97B91"/>
    <w:rsid w:val="00EA5DE2"/>
    <w:rsid w:val="00EA6725"/>
    <w:rsid w:val="00EA7742"/>
    <w:rsid w:val="00EC036C"/>
    <w:rsid w:val="00ED5086"/>
    <w:rsid w:val="00ED710C"/>
    <w:rsid w:val="00ED7E0D"/>
    <w:rsid w:val="00EF69C8"/>
    <w:rsid w:val="00EF74B8"/>
    <w:rsid w:val="00F00D2E"/>
    <w:rsid w:val="00F024C8"/>
    <w:rsid w:val="00F02D1A"/>
    <w:rsid w:val="00F10869"/>
    <w:rsid w:val="00F22525"/>
    <w:rsid w:val="00F2431B"/>
    <w:rsid w:val="00F25266"/>
    <w:rsid w:val="00F256D7"/>
    <w:rsid w:val="00F349CA"/>
    <w:rsid w:val="00F35204"/>
    <w:rsid w:val="00F400C7"/>
    <w:rsid w:val="00F401CC"/>
    <w:rsid w:val="00F42603"/>
    <w:rsid w:val="00F428E7"/>
    <w:rsid w:val="00F44B2E"/>
    <w:rsid w:val="00F44FE7"/>
    <w:rsid w:val="00F47058"/>
    <w:rsid w:val="00F56206"/>
    <w:rsid w:val="00F63CED"/>
    <w:rsid w:val="00F66653"/>
    <w:rsid w:val="00F67320"/>
    <w:rsid w:val="00F6772F"/>
    <w:rsid w:val="00F739F4"/>
    <w:rsid w:val="00F811B5"/>
    <w:rsid w:val="00F85D87"/>
    <w:rsid w:val="00F91B3D"/>
    <w:rsid w:val="00F94A38"/>
    <w:rsid w:val="00F96B51"/>
    <w:rsid w:val="00F97A81"/>
    <w:rsid w:val="00FB6FCF"/>
    <w:rsid w:val="00FB7051"/>
    <w:rsid w:val="00FC5BEE"/>
    <w:rsid w:val="00FC5D6A"/>
    <w:rsid w:val="00FD33E0"/>
    <w:rsid w:val="00FD66EF"/>
    <w:rsid w:val="00FE337C"/>
    <w:rsid w:val="00FE3AE2"/>
    <w:rsid w:val="00FE40BB"/>
    <w:rsid w:val="00FE4FAF"/>
    <w:rsid w:val="00FE6338"/>
    <w:rsid w:val="00FF13CE"/>
    <w:rsid w:val="00FF1DC3"/>
    <w:rsid w:val="00FF6292"/>
    <w:rsid w:val="01207B0A"/>
    <w:rsid w:val="01785675"/>
    <w:rsid w:val="017C1E4A"/>
    <w:rsid w:val="02252C42"/>
    <w:rsid w:val="022C02C9"/>
    <w:rsid w:val="02886B37"/>
    <w:rsid w:val="02B7624C"/>
    <w:rsid w:val="02D2752A"/>
    <w:rsid w:val="02D45932"/>
    <w:rsid w:val="02DA6AD2"/>
    <w:rsid w:val="02DE3CC3"/>
    <w:rsid w:val="03056149"/>
    <w:rsid w:val="035C7C85"/>
    <w:rsid w:val="038A6C36"/>
    <w:rsid w:val="03E87038"/>
    <w:rsid w:val="03EA4358"/>
    <w:rsid w:val="045643A0"/>
    <w:rsid w:val="045A72EA"/>
    <w:rsid w:val="04C9495C"/>
    <w:rsid w:val="04D66338"/>
    <w:rsid w:val="04E9263C"/>
    <w:rsid w:val="04E946B9"/>
    <w:rsid w:val="05333EBB"/>
    <w:rsid w:val="054908B9"/>
    <w:rsid w:val="055943D7"/>
    <w:rsid w:val="056A6870"/>
    <w:rsid w:val="05762682"/>
    <w:rsid w:val="058A4BA6"/>
    <w:rsid w:val="05AB50DB"/>
    <w:rsid w:val="062C0CFF"/>
    <w:rsid w:val="069E5968"/>
    <w:rsid w:val="06DA35FE"/>
    <w:rsid w:val="07B55BE9"/>
    <w:rsid w:val="07BA57F7"/>
    <w:rsid w:val="07D72EEC"/>
    <w:rsid w:val="08FD0690"/>
    <w:rsid w:val="090135A2"/>
    <w:rsid w:val="095D498D"/>
    <w:rsid w:val="09C51A18"/>
    <w:rsid w:val="09D7525B"/>
    <w:rsid w:val="0A2F3646"/>
    <w:rsid w:val="0B09160F"/>
    <w:rsid w:val="0B0A4BEC"/>
    <w:rsid w:val="0B416FFB"/>
    <w:rsid w:val="0B6423BD"/>
    <w:rsid w:val="0B6F074F"/>
    <w:rsid w:val="0B86071C"/>
    <w:rsid w:val="0BED7F40"/>
    <w:rsid w:val="0C005169"/>
    <w:rsid w:val="0C3D20A1"/>
    <w:rsid w:val="0C743634"/>
    <w:rsid w:val="0C747FFC"/>
    <w:rsid w:val="0C7C0C8C"/>
    <w:rsid w:val="0C946333"/>
    <w:rsid w:val="0CC95508"/>
    <w:rsid w:val="0CDA7707"/>
    <w:rsid w:val="0D13527A"/>
    <w:rsid w:val="0DCF28BA"/>
    <w:rsid w:val="0DEB68E4"/>
    <w:rsid w:val="0DF453A6"/>
    <w:rsid w:val="0F131023"/>
    <w:rsid w:val="0F2862EC"/>
    <w:rsid w:val="0F372FF9"/>
    <w:rsid w:val="0F673852"/>
    <w:rsid w:val="0FC21BD9"/>
    <w:rsid w:val="101F0E02"/>
    <w:rsid w:val="10487BBA"/>
    <w:rsid w:val="104D01F0"/>
    <w:rsid w:val="10AA0E51"/>
    <w:rsid w:val="11036AF6"/>
    <w:rsid w:val="115C61ED"/>
    <w:rsid w:val="119274DC"/>
    <w:rsid w:val="1206614F"/>
    <w:rsid w:val="12E3738C"/>
    <w:rsid w:val="13E968BA"/>
    <w:rsid w:val="14050867"/>
    <w:rsid w:val="14131750"/>
    <w:rsid w:val="144D6A10"/>
    <w:rsid w:val="14752984"/>
    <w:rsid w:val="15076B7F"/>
    <w:rsid w:val="152378BB"/>
    <w:rsid w:val="1549557C"/>
    <w:rsid w:val="15807C55"/>
    <w:rsid w:val="15E346C1"/>
    <w:rsid w:val="15E476A1"/>
    <w:rsid w:val="15E95D50"/>
    <w:rsid w:val="15FC682A"/>
    <w:rsid w:val="16161084"/>
    <w:rsid w:val="17193D80"/>
    <w:rsid w:val="1720040C"/>
    <w:rsid w:val="17A440D7"/>
    <w:rsid w:val="182A67AD"/>
    <w:rsid w:val="18D06773"/>
    <w:rsid w:val="18E402E6"/>
    <w:rsid w:val="19652BCB"/>
    <w:rsid w:val="19977D8A"/>
    <w:rsid w:val="19A86DB6"/>
    <w:rsid w:val="19E913AB"/>
    <w:rsid w:val="19ED659F"/>
    <w:rsid w:val="1A0A1CE0"/>
    <w:rsid w:val="1A1104E0"/>
    <w:rsid w:val="1A2972F9"/>
    <w:rsid w:val="1A4646AB"/>
    <w:rsid w:val="1A605254"/>
    <w:rsid w:val="1AB53DE8"/>
    <w:rsid w:val="1B4C57EB"/>
    <w:rsid w:val="1B7C6CA6"/>
    <w:rsid w:val="1BB81089"/>
    <w:rsid w:val="1C8B6E63"/>
    <w:rsid w:val="1CCB2BC8"/>
    <w:rsid w:val="1D104B3E"/>
    <w:rsid w:val="1E7D4AC8"/>
    <w:rsid w:val="1EE24244"/>
    <w:rsid w:val="1F1330A4"/>
    <w:rsid w:val="1F211421"/>
    <w:rsid w:val="1F3F164B"/>
    <w:rsid w:val="1F5E4382"/>
    <w:rsid w:val="201F2242"/>
    <w:rsid w:val="204C400B"/>
    <w:rsid w:val="22C14D1E"/>
    <w:rsid w:val="232C6642"/>
    <w:rsid w:val="23537507"/>
    <w:rsid w:val="23D14BD1"/>
    <w:rsid w:val="24E055E0"/>
    <w:rsid w:val="25003532"/>
    <w:rsid w:val="256107E0"/>
    <w:rsid w:val="26256201"/>
    <w:rsid w:val="26270314"/>
    <w:rsid w:val="268A1547"/>
    <w:rsid w:val="27E466EC"/>
    <w:rsid w:val="27FA6A57"/>
    <w:rsid w:val="282412E8"/>
    <w:rsid w:val="282F7679"/>
    <w:rsid w:val="2888557E"/>
    <w:rsid w:val="28EE4234"/>
    <w:rsid w:val="293D1DB5"/>
    <w:rsid w:val="29451A7D"/>
    <w:rsid w:val="296D0386"/>
    <w:rsid w:val="29B95BC6"/>
    <w:rsid w:val="29D458F2"/>
    <w:rsid w:val="29E85C82"/>
    <w:rsid w:val="29FD5367"/>
    <w:rsid w:val="2A82464A"/>
    <w:rsid w:val="2AB50F68"/>
    <w:rsid w:val="2ABC4FEF"/>
    <w:rsid w:val="2ABD16AC"/>
    <w:rsid w:val="2ACC37C5"/>
    <w:rsid w:val="2B3712F2"/>
    <w:rsid w:val="2B463C55"/>
    <w:rsid w:val="2BAA2CF4"/>
    <w:rsid w:val="2BDB094E"/>
    <w:rsid w:val="2BE11E2F"/>
    <w:rsid w:val="2C6A44EB"/>
    <w:rsid w:val="2C9917B7"/>
    <w:rsid w:val="2D0852EE"/>
    <w:rsid w:val="2D3227EF"/>
    <w:rsid w:val="2D8D5C78"/>
    <w:rsid w:val="2DBD1919"/>
    <w:rsid w:val="2EE6487F"/>
    <w:rsid w:val="2F1A0A62"/>
    <w:rsid w:val="2FE62223"/>
    <w:rsid w:val="3013786F"/>
    <w:rsid w:val="30853026"/>
    <w:rsid w:val="30A532D8"/>
    <w:rsid w:val="30FF4CDC"/>
    <w:rsid w:val="31250C93"/>
    <w:rsid w:val="31422411"/>
    <w:rsid w:val="31743165"/>
    <w:rsid w:val="31BB332E"/>
    <w:rsid w:val="332F3E0C"/>
    <w:rsid w:val="334B2535"/>
    <w:rsid w:val="34572B3B"/>
    <w:rsid w:val="35C91817"/>
    <w:rsid w:val="36937C0A"/>
    <w:rsid w:val="36BC1970"/>
    <w:rsid w:val="375D41C0"/>
    <w:rsid w:val="37E312B6"/>
    <w:rsid w:val="380020AD"/>
    <w:rsid w:val="38091EFE"/>
    <w:rsid w:val="3869010C"/>
    <w:rsid w:val="38740EA5"/>
    <w:rsid w:val="389F7E73"/>
    <w:rsid w:val="38A15575"/>
    <w:rsid w:val="38EB6C6E"/>
    <w:rsid w:val="3A7E7084"/>
    <w:rsid w:val="3AC72CFB"/>
    <w:rsid w:val="3B371030"/>
    <w:rsid w:val="3B5D4EDB"/>
    <w:rsid w:val="3BA548E8"/>
    <w:rsid w:val="3BA80C48"/>
    <w:rsid w:val="3C512802"/>
    <w:rsid w:val="3C985175"/>
    <w:rsid w:val="3CC75F2B"/>
    <w:rsid w:val="3CEE3985"/>
    <w:rsid w:val="3D6D113A"/>
    <w:rsid w:val="3DAF1ABE"/>
    <w:rsid w:val="3DE5069A"/>
    <w:rsid w:val="3DF210E6"/>
    <w:rsid w:val="3E286C4C"/>
    <w:rsid w:val="3E581FFA"/>
    <w:rsid w:val="3E846167"/>
    <w:rsid w:val="3EC61F3E"/>
    <w:rsid w:val="3EE33056"/>
    <w:rsid w:val="3F0142EA"/>
    <w:rsid w:val="3F067877"/>
    <w:rsid w:val="3F675313"/>
    <w:rsid w:val="3F6F3890"/>
    <w:rsid w:val="3F7A6532"/>
    <w:rsid w:val="3F87756C"/>
    <w:rsid w:val="40227C45"/>
    <w:rsid w:val="40594B0F"/>
    <w:rsid w:val="41126927"/>
    <w:rsid w:val="415B6A48"/>
    <w:rsid w:val="42982C9D"/>
    <w:rsid w:val="42DC7E3D"/>
    <w:rsid w:val="4307643F"/>
    <w:rsid w:val="434929F0"/>
    <w:rsid w:val="4395737C"/>
    <w:rsid w:val="43CC05E0"/>
    <w:rsid w:val="44547A2A"/>
    <w:rsid w:val="44953938"/>
    <w:rsid w:val="450C745A"/>
    <w:rsid w:val="45481880"/>
    <w:rsid w:val="455B6F58"/>
    <w:rsid w:val="468160C4"/>
    <w:rsid w:val="468477C0"/>
    <w:rsid w:val="468C64C8"/>
    <w:rsid w:val="471C1137"/>
    <w:rsid w:val="47A21C10"/>
    <w:rsid w:val="488E6476"/>
    <w:rsid w:val="49C51095"/>
    <w:rsid w:val="49F0230F"/>
    <w:rsid w:val="4A531BFE"/>
    <w:rsid w:val="4B1D294C"/>
    <w:rsid w:val="4BF43082"/>
    <w:rsid w:val="4BFE6267"/>
    <w:rsid w:val="4C8E12FA"/>
    <w:rsid w:val="4CB64C6B"/>
    <w:rsid w:val="4D236C78"/>
    <w:rsid w:val="4DB72B71"/>
    <w:rsid w:val="4E04490D"/>
    <w:rsid w:val="4E8251DC"/>
    <w:rsid w:val="4EB237AC"/>
    <w:rsid w:val="4ED22612"/>
    <w:rsid w:val="4EED5625"/>
    <w:rsid w:val="4F0963B9"/>
    <w:rsid w:val="4F9B2B2B"/>
    <w:rsid w:val="51147713"/>
    <w:rsid w:val="51C63383"/>
    <w:rsid w:val="52016097"/>
    <w:rsid w:val="520E0F94"/>
    <w:rsid w:val="52551E4F"/>
    <w:rsid w:val="5291153F"/>
    <w:rsid w:val="536C5EBC"/>
    <w:rsid w:val="540216D9"/>
    <w:rsid w:val="5402188F"/>
    <w:rsid w:val="54C06B56"/>
    <w:rsid w:val="552B18A4"/>
    <w:rsid w:val="55A453DA"/>
    <w:rsid w:val="55D1679A"/>
    <w:rsid w:val="55F42B14"/>
    <w:rsid w:val="56022A50"/>
    <w:rsid w:val="566118CC"/>
    <w:rsid w:val="56874282"/>
    <w:rsid w:val="56B75990"/>
    <w:rsid w:val="56DB4FAA"/>
    <w:rsid w:val="56E4241D"/>
    <w:rsid w:val="571C4FFB"/>
    <w:rsid w:val="575842A9"/>
    <w:rsid w:val="57C31A8B"/>
    <w:rsid w:val="585F1909"/>
    <w:rsid w:val="58E65065"/>
    <w:rsid w:val="59222CCC"/>
    <w:rsid w:val="59C31BDD"/>
    <w:rsid w:val="5AD73F22"/>
    <w:rsid w:val="5B902A45"/>
    <w:rsid w:val="5BAB48F4"/>
    <w:rsid w:val="5BAF32FA"/>
    <w:rsid w:val="5BDD0946"/>
    <w:rsid w:val="5CB71769"/>
    <w:rsid w:val="5D875E5C"/>
    <w:rsid w:val="5D9308DB"/>
    <w:rsid w:val="5E047F4B"/>
    <w:rsid w:val="5E5C63DC"/>
    <w:rsid w:val="5FB4440F"/>
    <w:rsid w:val="607F5CFE"/>
    <w:rsid w:val="60AA6949"/>
    <w:rsid w:val="60B430B8"/>
    <w:rsid w:val="614D47DE"/>
    <w:rsid w:val="628B743B"/>
    <w:rsid w:val="62C37595"/>
    <w:rsid w:val="63C6393F"/>
    <w:rsid w:val="64523523"/>
    <w:rsid w:val="65282282"/>
    <w:rsid w:val="657D3C94"/>
    <w:rsid w:val="67104F71"/>
    <w:rsid w:val="675D7CA3"/>
    <w:rsid w:val="67710EC2"/>
    <w:rsid w:val="67A96A9E"/>
    <w:rsid w:val="68D370A0"/>
    <w:rsid w:val="68DC6DE2"/>
    <w:rsid w:val="69421884"/>
    <w:rsid w:val="69931E41"/>
    <w:rsid w:val="69D7242D"/>
    <w:rsid w:val="6AB3359E"/>
    <w:rsid w:val="6B39736F"/>
    <w:rsid w:val="6BA14120"/>
    <w:rsid w:val="6C3A453E"/>
    <w:rsid w:val="6C465F32"/>
    <w:rsid w:val="6C5C14E9"/>
    <w:rsid w:val="6CC971BB"/>
    <w:rsid w:val="6D016666"/>
    <w:rsid w:val="6D876756"/>
    <w:rsid w:val="6D880F49"/>
    <w:rsid w:val="6D98425A"/>
    <w:rsid w:val="6DDF0252"/>
    <w:rsid w:val="6DE60F88"/>
    <w:rsid w:val="6DFC7777"/>
    <w:rsid w:val="6E0A3294"/>
    <w:rsid w:val="6FBA2FDB"/>
    <w:rsid w:val="6FDB3A32"/>
    <w:rsid w:val="6FF84AE4"/>
    <w:rsid w:val="70903082"/>
    <w:rsid w:val="70B40C75"/>
    <w:rsid w:val="70D03D97"/>
    <w:rsid w:val="71A36941"/>
    <w:rsid w:val="71BF1842"/>
    <w:rsid w:val="7202419A"/>
    <w:rsid w:val="722A1327"/>
    <w:rsid w:val="72596DA7"/>
    <w:rsid w:val="72FE0BBA"/>
    <w:rsid w:val="73433B31"/>
    <w:rsid w:val="73BC69EE"/>
    <w:rsid w:val="73C61F74"/>
    <w:rsid w:val="74702842"/>
    <w:rsid w:val="74BE5317"/>
    <w:rsid w:val="7519692A"/>
    <w:rsid w:val="75ED6C8B"/>
    <w:rsid w:val="76017919"/>
    <w:rsid w:val="765E6EE2"/>
    <w:rsid w:val="76993250"/>
    <w:rsid w:val="76E42137"/>
    <w:rsid w:val="76EC20A9"/>
    <w:rsid w:val="771A18F3"/>
    <w:rsid w:val="774E6582"/>
    <w:rsid w:val="77A779CA"/>
    <w:rsid w:val="78630991"/>
    <w:rsid w:val="791F0D44"/>
    <w:rsid w:val="79DE4B66"/>
    <w:rsid w:val="7A011336"/>
    <w:rsid w:val="7A450B26"/>
    <w:rsid w:val="7B2E412F"/>
    <w:rsid w:val="7B755B87"/>
    <w:rsid w:val="7B9954D3"/>
    <w:rsid w:val="7C0C417E"/>
    <w:rsid w:val="7CB34123"/>
    <w:rsid w:val="7D000D4E"/>
    <w:rsid w:val="7DAE5640"/>
    <w:rsid w:val="7EB54B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23"/>
    <w:qFormat/>
    <w:uiPriority w:val="0"/>
    <w:pPr>
      <w:keepNext/>
      <w:keepLines/>
      <w:numPr>
        <w:ilvl w:val="0"/>
        <w:numId w:val="1"/>
      </w:numPr>
      <w:pBdr>
        <w:top w:val="single" w:color="auto" w:sz="12" w:space="3"/>
      </w:pBdr>
      <w:overflowPunct w:val="0"/>
      <w:autoSpaceDE w:val="0"/>
      <w:autoSpaceDN w:val="0"/>
      <w:adjustRightInd w:val="0"/>
      <w:spacing w:before="240" w:after="180"/>
      <w:ind w:left="432" w:hanging="432"/>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32"/>
    <w:unhideWhenUsed/>
    <w:qFormat/>
    <w:uiPriority w:val="9"/>
    <w:pPr>
      <w:keepNext/>
      <w:keepLines/>
      <w:numPr>
        <w:ilvl w:val="1"/>
      </w:numPr>
      <w:spacing w:before="260" w:after="260" w:line="416" w:lineRule="auto"/>
      <w:ind w:left="575" w:hanging="575"/>
      <w:outlineLvl w:val="1"/>
    </w:pPr>
    <w:rPr>
      <w:rFonts w:asciiTheme="majorHAnsi" w:hAnsiTheme="majorHAnsi" w:eastAsiaTheme="majorEastAsia" w:cstheme="majorBidi"/>
      <w:b/>
      <w:bCs/>
      <w:sz w:val="32"/>
      <w:szCs w:val="32"/>
    </w:rPr>
  </w:style>
  <w:style w:type="paragraph" w:styleId="4">
    <w:name w:val="heading 3"/>
    <w:basedOn w:val="3"/>
    <w:next w:val="1"/>
    <w:link w:val="41"/>
    <w:unhideWhenUsed/>
    <w:qFormat/>
    <w:uiPriority w:val="9"/>
    <w:pPr>
      <w:keepNext/>
      <w:keepLines/>
      <w:numPr>
        <w:ilvl w:val="2"/>
      </w:numPr>
      <w:spacing w:before="260" w:after="260" w:line="416" w:lineRule="auto"/>
      <w:ind w:left="720" w:hanging="720"/>
      <w:outlineLvl w:val="2"/>
    </w:pPr>
    <w:rPr>
      <w:sz w:val="32"/>
      <w:szCs w:val="32"/>
    </w:rPr>
  </w:style>
  <w:style w:type="paragraph" w:styleId="5">
    <w:name w:val="heading 4"/>
    <w:basedOn w:val="1"/>
    <w:next w:val="1"/>
    <w:semiHidden/>
    <w:unhideWhenUsed/>
    <w:qFormat/>
    <w:uiPriority w:val="9"/>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b/>
      <w:sz w:val="28"/>
    </w:rPr>
  </w:style>
  <w:style w:type="paragraph" w:styleId="6">
    <w:name w:val="heading 5"/>
    <w:basedOn w:val="1"/>
    <w:next w:val="1"/>
    <w:semiHidden/>
    <w:unhideWhenUsed/>
    <w:qFormat/>
    <w:uiPriority w:val="9"/>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9"/>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9"/>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9"/>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9"/>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27"/>
    <w:unhideWhenUsed/>
    <w:qFormat/>
    <w:uiPriority w:val="0"/>
  </w:style>
  <w:style w:type="paragraph" w:styleId="12">
    <w:name w:val="footer"/>
    <w:basedOn w:val="1"/>
    <w:link w:val="31"/>
    <w:unhideWhenUsed/>
    <w:qFormat/>
    <w:uiPriority w:val="99"/>
    <w:pPr>
      <w:tabs>
        <w:tab w:val="center" w:pos="4153"/>
        <w:tab w:val="right" w:pos="8306"/>
      </w:tabs>
      <w:snapToGrid w:val="0"/>
    </w:pPr>
    <w:rPr>
      <w:sz w:val="18"/>
      <w:szCs w:val="18"/>
    </w:rPr>
  </w:style>
  <w:style w:type="paragraph" w:styleId="13">
    <w:name w:val="header"/>
    <w:basedOn w:val="1"/>
    <w:link w:val="30"/>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List"/>
    <w:basedOn w:val="1"/>
    <w:qFormat/>
    <w:uiPriority w:val="0"/>
    <w:pPr>
      <w:ind w:left="568" w:hanging="284"/>
    </w:pPr>
  </w:style>
  <w:style w:type="paragraph" w:styleId="1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17">
    <w:name w:val="Table Grid"/>
    <w:basedOn w:val="1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22"/>
    <w:rPr>
      <w:b/>
    </w:rPr>
  </w:style>
  <w:style w:type="character" w:styleId="20">
    <w:name w:val="HTML Code"/>
    <w:basedOn w:val="18"/>
    <w:semiHidden/>
    <w:unhideWhenUsed/>
    <w:qFormat/>
    <w:uiPriority w:val="99"/>
    <w:rPr>
      <w:rFonts w:ascii="Courier New" w:hAnsi="Courier New"/>
      <w:sz w:val="20"/>
    </w:rPr>
  </w:style>
  <w:style w:type="character" w:styleId="21">
    <w:name w:val="annotation reference"/>
    <w:basedOn w:val="18"/>
    <w:semiHidden/>
    <w:unhideWhenUsed/>
    <w:qFormat/>
    <w:uiPriority w:val="99"/>
    <w:rPr>
      <w:sz w:val="21"/>
      <w:szCs w:val="21"/>
    </w:rPr>
  </w:style>
  <w:style w:type="character" w:customStyle="1" w:styleId="22">
    <w:name w:val="标题 1 字符"/>
    <w:basedOn w:val="18"/>
    <w:qFormat/>
    <w:uiPriority w:val="9"/>
    <w:rPr>
      <w:rFonts w:ascii="Times New Roman" w:hAnsi="Times New Roman" w:eastAsia="Times New Roman" w:cs="Times New Roman"/>
      <w:b/>
      <w:bCs/>
      <w:kern w:val="44"/>
      <w:sz w:val="44"/>
      <w:szCs w:val="44"/>
      <w:lang w:val="en-GB" w:eastAsia="en-GB"/>
    </w:rPr>
  </w:style>
  <w:style w:type="character" w:customStyle="1" w:styleId="23">
    <w:name w:val="标题 1 字符1"/>
    <w:link w:val="2"/>
    <w:qFormat/>
    <w:uiPriority w:val="0"/>
    <w:rPr>
      <w:rFonts w:ascii="Arial" w:hAnsi="Arial" w:eastAsia="Times New Roman" w:cs="Times New Roman"/>
      <w:kern w:val="0"/>
      <w:sz w:val="36"/>
      <w:szCs w:val="20"/>
      <w:lang w:val="en-GB" w:eastAsia="en-GB"/>
    </w:rPr>
  </w:style>
  <w:style w:type="paragraph" w:customStyle="1" w:styleId="24">
    <w:name w:val="EX"/>
    <w:basedOn w:val="1"/>
    <w:link w:val="25"/>
    <w:qFormat/>
    <w:uiPriority w:val="0"/>
    <w:pPr>
      <w:keepLines/>
      <w:overflowPunct/>
      <w:autoSpaceDE/>
      <w:autoSpaceDN/>
      <w:adjustRightInd/>
      <w:ind w:left="1702" w:hanging="1418"/>
      <w:textAlignment w:val="auto"/>
    </w:pPr>
    <w:rPr>
      <w:rFonts w:eastAsia="MS Mincho"/>
      <w:lang w:eastAsia="en-US"/>
    </w:rPr>
  </w:style>
  <w:style w:type="character" w:customStyle="1" w:styleId="25">
    <w:name w:val="EX Char"/>
    <w:link w:val="24"/>
    <w:qFormat/>
    <w:uiPriority w:val="0"/>
    <w:rPr>
      <w:rFonts w:ascii="Times New Roman" w:hAnsi="Times New Roman" w:eastAsia="MS Mincho" w:cs="Times New Roman"/>
      <w:kern w:val="0"/>
      <w:sz w:val="20"/>
      <w:szCs w:val="20"/>
      <w:lang w:val="en-GB" w:eastAsia="en-US"/>
    </w:rPr>
  </w:style>
  <w:style w:type="paragraph" w:styleId="26">
    <w:name w:val="List Paragraph"/>
    <w:basedOn w:val="1"/>
    <w:link w:val="28"/>
    <w:qFormat/>
    <w:uiPriority w:val="34"/>
    <w:pPr>
      <w:ind w:firstLine="420" w:firstLineChars="200"/>
    </w:pPr>
  </w:style>
  <w:style w:type="character" w:customStyle="1" w:styleId="27">
    <w:name w:val="批注文字 字符"/>
    <w:basedOn w:val="18"/>
    <w:link w:val="11"/>
    <w:qFormat/>
    <w:uiPriority w:val="0"/>
    <w:rPr>
      <w:rFonts w:ascii="Times New Roman" w:hAnsi="Times New Roman" w:eastAsia="Times New Roman" w:cs="Times New Roman"/>
      <w:kern w:val="0"/>
      <w:sz w:val="20"/>
      <w:szCs w:val="20"/>
      <w:lang w:val="en-GB" w:eastAsia="en-GB"/>
    </w:rPr>
  </w:style>
  <w:style w:type="character" w:customStyle="1" w:styleId="28">
    <w:name w:val="列表段落 字符"/>
    <w:link w:val="26"/>
    <w:qFormat/>
    <w:locked/>
    <w:uiPriority w:val="34"/>
    <w:rPr>
      <w:rFonts w:ascii="Times New Roman" w:hAnsi="Times New Roman" w:eastAsia="Times New Roman" w:cs="Times New Roman"/>
      <w:kern w:val="0"/>
      <w:sz w:val="20"/>
      <w:szCs w:val="20"/>
      <w:lang w:val="en-GB" w:eastAsia="en-GB"/>
    </w:rPr>
  </w:style>
  <w:style w:type="paragraph" w:customStyle="1" w:styleId="29">
    <w:name w:val="NO"/>
    <w:basedOn w:val="1"/>
    <w:qFormat/>
    <w:uiPriority w:val="0"/>
    <w:pPr>
      <w:keepLines/>
      <w:ind w:left="1135" w:hanging="851"/>
      <w:textAlignment w:val="auto"/>
    </w:pPr>
    <w:rPr>
      <w:rFonts w:eastAsia="宋体"/>
    </w:rPr>
  </w:style>
  <w:style w:type="character" w:customStyle="1" w:styleId="30">
    <w:name w:val="页眉 字符"/>
    <w:basedOn w:val="18"/>
    <w:link w:val="13"/>
    <w:qFormat/>
    <w:uiPriority w:val="99"/>
    <w:rPr>
      <w:rFonts w:ascii="Times New Roman" w:hAnsi="Times New Roman" w:eastAsia="Times New Roman" w:cs="Times New Roman"/>
      <w:kern w:val="0"/>
      <w:sz w:val="18"/>
      <w:szCs w:val="18"/>
      <w:lang w:val="en-GB" w:eastAsia="en-GB"/>
    </w:rPr>
  </w:style>
  <w:style w:type="character" w:customStyle="1" w:styleId="31">
    <w:name w:val="页脚 字符"/>
    <w:basedOn w:val="18"/>
    <w:link w:val="12"/>
    <w:qFormat/>
    <w:uiPriority w:val="99"/>
    <w:rPr>
      <w:rFonts w:ascii="Times New Roman" w:hAnsi="Times New Roman" w:eastAsia="Times New Roman" w:cs="Times New Roman"/>
      <w:kern w:val="0"/>
      <w:sz w:val="18"/>
      <w:szCs w:val="18"/>
      <w:lang w:val="en-GB" w:eastAsia="en-GB"/>
    </w:rPr>
  </w:style>
  <w:style w:type="character" w:customStyle="1" w:styleId="32">
    <w:name w:val="标题 2 字符"/>
    <w:basedOn w:val="18"/>
    <w:link w:val="3"/>
    <w:semiHidden/>
    <w:qFormat/>
    <w:uiPriority w:val="9"/>
    <w:rPr>
      <w:rFonts w:asciiTheme="majorHAnsi" w:hAnsiTheme="majorHAnsi" w:eastAsiaTheme="majorEastAsia" w:cstheme="majorBidi"/>
      <w:b/>
      <w:bCs/>
      <w:kern w:val="0"/>
      <w:sz w:val="32"/>
      <w:szCs w:val="32"/>
      <w:lang w:val="en-GB" w:eastAsia="en-GB"/>
    </w:rPr>
  </w:style>
  <w:style w:type="paragraph" w:customStyle="1" w:styleId="33">
    <w:name w:val="Table Title"/>
    <w:basedOn w:val="1"/>
    <w:qFormat/>
    <w:uiPriority w:val="0"/>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34">
    <w:name w:val="无格式表格 21"/>
    <w:basedOn w:val="16"/>
    <w:qFormat/>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35">
    <w:name w:val="网格表 1 浅色1"/>
    <w:basedOn w:val="16"/>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36">
    <w:name w:val="CR Cover Page"/>
    <w:qFormat/>
    <w:uiPriority w:val="0"/>
    <w:pPr>
      <w:spacing w:after="120"/>
    </w:pPr>
    <w:rPr>
      <w:rFonts w:ascii="Arial" w:hAnsi="Arial" w:cs="Times New Roman" w:eastAsiaTheme="minorEastAsia"/>
      <w:lang w:val="en-GB" w:eastAsia="en-US" w:bidi="ar-SA"/>
    </w:rPr>
  </w:style>
  <w:style w:type="paragraph" w:customStyle="1" w:styleId="37">
    <w:name w:val="B1"/>
    <w:basedOn w:val="14"/>
    <w:link w:val="39"/>
    <w:qFormat/>
    <w:uiPriority w:val="0"/>
    <w:pPr>
      <w:overflowPunct/>
      <w:autoSpaceDE/>
      <w:autoSpaceDN/>
      <w:adjustRightInd/>
      <w:ind w:left="568" w:hanging="284"/>
      <w:textAlignment w:val="auto"/>
    </w:pPr>
    <w:rPr>
      <w:rFonts w:eastAsiaTheme="minorEastAsia"/>
      <w:lang w:eastAsia="en-US"/>
    </w:rPr>
  </w:style>
  <w:style w:type="paragraph" w:customStyle="1" w:styleId="38">
    <w:name w:val="B2"/>
    <w:basedOn w:val="1"/>
    <w:link w:val="40"/>
    <w:qFormat/>
    <w:uiPriority w:val="0"/>
    <w:pPr>
      <w:overflowPunct/>
      <w:autoSpaceDE/>
      <w:autoSpaceDN/>
      <w:adjustRightInd/>
      <w:ind w:left="851" w:hanging="284"/>
      <w:textAlignment w:val="auto"/>
    </w:pPr>
    <w:rPr>
      <w:rFonts w:eastAsiaTheme="minorEastAsia"/>
      <w:lang w:eastAsia="en-US"/>
    </w:rPr>
  </w:style>
  <w:style w:type="character" w:customStyle="1" w:styleId="39">
    <w:name w:val="B1 Char"/>
    <w:link w:val="37"/>
    <w:qFormat/>
    <w:uiPriority w:val="0"/>
    <w:rPr>
      <w:rFonts w:ascii="Times New Roman" w:hAnsi="Times New Roman" w:cs="Times New Roman"/>
      <w:kern w:val="0"/>
      <w:sz w:val="20"/>
      <w:szCs w:val="20"/>
      <w:lang w:val="en-GB" w:eastAsia="en-US"/>
    </w:rPr>
  </w:style>
  <w:style w:type="character" w:customStyle="1" w:styleId="40">
    <w:name w:val="B2 Char"/>
    <w:link w:val="38"/>
    <w:qFormat/>
    <w:uiPriority w:val="0"/>
    <w:rPr>
      <w:rFonts w:ascii="Times New Roman" w:hAnsi="Times New Roman" w:cs="Times New Roman"/>
      <w:kern w:val="0"/>
      <w:sz w:val="20"/>
      <w:szCs w:val="20"/>
      <w:lang w:val="en-GB" w:eastAsia="en-US"/>
    </w:rPr>
  </w:style>
  <w:style w:type="character" w:customStyle="1" w:styleId="41">
    <w:name w:val="标题 3 字符"/>
    <w:basedOn w:val="18"/>
    <w:link w:val="4"/>
    <w:semiHidden/>
    <w:qFormat/>
    <w:uiPriority w:val="9"/>
    <w:rPr>
      <w:rFonts w:ascii="Times New Roman" w:hAnsi="Times New Roman" w:eastAsia="Times New Roman" w:cs="Times New Roman"/>
      <w:b/>
      <w:bCs/>
      <w:kern w:val="0"/>
      <w:sz w:val="32"/>
      <w:szCs w:val="32"/>
      <w:lang w:val="en-GB" w:eastAsia="en-GB"/>
    </w:rPr>
  </w:style>
  <w:style w:type="paragraph" w:customStyle="1" w:styleId="42">
    <w:name w:val="TAH"/>
    <w:basedOn w:val="43"/>
    <w:link w:val="46"/>
    <w:qFormat/>
    <w:uiPriority w:val="99"/>
    <w:rPr>
      <w:b/>
    </w:rPr>
  </w:style>
  <w:style w:type="paragraph" w:customStyle="1" w:styleId="43">
    <w:name w:val="TAC"/>
    <w:basedOn w:val="44"/>
    <w:link w:val="45"/>
    <w:qFormat/>
    <w:uiPriority w:val="99"/>
    <w:pPr>
      <w:overflowPunct/>
      <w:autoSpaceDE/>
      <w:autoSpaceDN/>
      <w:adjustRightInd/>
      <w:jc w:val="center"/>
      <w:textAlignment w:val="auto"/>
    </w:pPr>
    <w:rPr>
      <w:rFonts w:eastAsiaTheme="minorEastAsia"/>
      <w:lang w:eastAsia="en-US"/>
    </w:rPr>
  </w:style>
  <w:style w:type="paragraph" w:customStyle="1" w:styleId="44">
    <w:name w:val="TAL"/>
    <w:basedOn w:val="1"/>
    <w:qFormat/>
    <w:uiPriority w:val="0"/>
    <w:pPr>
      <w:keepNext/>
      <w:keepLines/>
      <w:spacing w:after="0"/>
    </w:pPr>
    <w:rPr>
      <w:rFonts w:ascii="Arial" w:hAnsi="Arial"/>
      <w:sz w:val="18"/>
    </w:rPr>
  </w:style>
  <w:style w:type="character" w:customStyle="1" w:styleId="45">
    <w:name w:val="TAC Char"/>
    <w:link w:val="43"/>
    <w:qFormat/>
    <w:uiPriority w:val="99"/>
    <w:rPr>
      <w:rFonts w:ascii="Arial" w:hAnsi="Arial" w:cs="Times New Roman"/>
      <w:kern w:val="0"/>
      <w:sz w:val="18"/>
      <w:szCs w:val="20"/>
      <w:lang w:val="en-GB" w:eastAsia="en-US"/>
    </w:rPr>
  </w:style>
  <w:style w:type="character" w:customStyle="1" w:styleId="46">
    <w:name w:val="TAH Car"/>
    <w:link w:val="42"/>
    <w:qFormat/>
    <w:uiPriority w:val="99"/>
    <w:rPr>
      <w:rFonts w:ascii="Arial" w:hAnsi="Arial" w:cs="Times New Roman"/>
      <w:b/>
      <w:kern w:val="0"/>
      <w:sz w:val="18"/>
      <w:szCs w:val="20"/>
      <w:lang w:val="en-GB" w:eastAsia="en-US"/>
    </w:rPr>
  </w:style>
  <w:style w:type="paragraph" w:customStyle="1" w:styleId="47">
    <w:name w:val="TAN"/>
    <w:basedOn w:val="44"/>
    <w:link w:val="48"/>
    <w:qFormat/>
    <w:uiPriority w:val="0"/>
    <w:pPr>
      <w:overflowPunct/>
      <w:autoSpaceDE/>
      <w:autoSpaceDN/>
      <w:adjustRightInd/>
      <w:ind w:left="851" w:hanging="851"/>
      <w:textAlignment w:val="auto"/>
    </w:pPr>
    <w:rPr>
      <w:rFonts w:eastAsiaTheme="minorEastAsia"/>
      <w:lang w:eastAsia="en-US"/>
    </w:rPr>
  </w:style>
  <w:style w:type="character" w:customStyle="1" w:styleId="48">
    <w:name w:val="TAN Char"/>
    <w:link w:val="47"/>
    <w:qFormat/>
    <w:uiPriority w:val="0"/>
    <w:rPr>
      <w:rFonts w:ascii="Arial" w:hAnsi="Arial" w:cs="Times New Roman"/>
      <w:kern w:val="0"/>
      <w:sz w:val="18"/>
      <w:szCs w:val="20"/>
      <w:lang w:val="en-GB" w:eastAsia="en-US"/>
    </w:rPr>
  </w:style>
  <w:style w:type="paragraph" w:customStyle="1" w:styleId="49">
    <w:name w:val="TH"/>
    <w:basedOn w:val="1"/>
    <w:qFormat/>
    <w:uiPriority w:val="0"/>
    <w:pPr>
      <w:keepNext/>
      <w:keepLines/>
      <w:spacing w:before="60"/>
      <w:jc w:val="center"/>
    </w:pPr>
    <w:rPr>
      <w:rFonts w:ascii="Arial" w:hAnsi="Arial"/>
      <w:b/>
    </w:rPr>
  </w:style>
  <w:style w:type="paragraph" w:customStyle="1" w:styleId="50">
    <w:name w:val="List Paragraph1"/>
    <w:basedOn w:val="1"/>
    <w:qFormat/>
    <w:uiPriority w:val="0"/>
    <w:pPr>
      <w:spacing w:before="100" w:beforeAutospacing="1"/>
      <w:ind w:firstLine="420" w:firstLineChars="200"/>
    </w:pPr>
    <w:rPr>
      <w:rFonts w:eastAsia="宋体"/>
      <w:sz w:val="24"/>
      <w:szCs w:val="24"/>
      <w:lang w:val="en-US" w:eastAsia="zh-CN"/>
    </w:rPr>
  </w:style>
  <w:style w:type="paragraph" w:customStyle="1" w:styleId="51">
    <w:name w:val="Status"/>
    <w:basedOn w:val="52"/>
    <w:qFormat/>
    <w:uiPriority w:val="0"/>
    <w:rPr>
      <w:b w:val="0"/>
    </w:rPr>
  </w:style>
  <w:style w:type="paragraph" w:styleId="52">
    <w:name w:val="Quote"/>
    <w:basedOn w:val="1"/>
    <w:next w:val="1"/>
    <w:qFormat/>
    <w:uiPriority w:val="0"/>
    <w:pPr>
      <w:spacing w:after="120"/>
      <w:ind w:left="792"/>
    </w:pPr>
    <w:rPr>
      <w:rFonts w:ascii="Roboto Condensed" w:hAnsi="Roboto Condensed"/>
      <w:b/>
      <w:color w:val="4472C4" w:themeColor="accent1"/>
      <w14:textFill>
        <w14:solidFill>
          <w14:schemeClr w14:val="accent1"/>
        </w14:solidFill>
      </w14:textFill>
    </w:rPr>
  </w:style>
  <w:style w:type="paragraph" w:customStyle="1" w:styleId="53">
    <w:name w:val="TF"/>
    <w:basedOn w:val="49"/>
    <w:qFormat/>
    <w:uiPriority w:val="0"/>
    <w:pPr>
      <w:keepNext w:val="0"/>
      <w:spacing w:before="0" w:after="24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741</Words>
  <Characters>4447</Characters>
  <Lines>38</Lines>
  <Paragraphs>10</Paragraphs>
  <TotalTime>15</TotalTime>
  <ScaleCrop>false</ScaleCrop>
  <LinksUpToDate>false</LinksUpToDate>
  <CharactersWithSpaces>5141</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2023-05-15T16:56:00Z</dcterms:created>
  <dc:creator>CAICT</dc:creator>
  <cp:lastModifiedBy>cmcc-chunxia Guo</cp:lastModifiedBy>
  <dcterms:modified xsi:type="dcterms:W3CDTF">2025-09-29T06:16:12Z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2BEB6E632EDC46888646B3049F5E56C6_13</vt:lpwstr>
  </property>
  <property fmtid="{D5CDD505-2E9C-101B-9397-08002B2CF9AE}" pid="4" name="KSOTemplateDocerSaveRecord">
    <vt:lpwstr>eyJoZGlkIjoiOTU4MjljY2YzMDI1NGE4ZjYxYjczNDgxZmJjYzMzMTQiLCJ1c2VySWQiOiI0OTE3MDIwNzMifQ==</vt:lpwstr>
  </property>
</Properties>
</file>