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C2D3" w14:textId="34958286" w:rsidR="00841BCD" w:rsidRPr="008B7A6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7A65">
        <w:rPr>
          <w:rFonts w:ascii="Arial" w:eastAsia="SimSun" w:hAnsi="Arial" w:cs="Times New Roman"/>
          <w:b/>
          <w:bCs/>
          <w:sz w:val="24"/>
          <w:szCs w:val="20"/>
        </w:rPr>
        <w:t>3GPP T</w:t>
      </w:r>
      <w:bookmarkStart w:id="2" w:name="_Ref452454252"/>
      <w:bookmarkEnd w:id="2"/>
      <w:r w:rsidRPr="008B7A65">
        <w:rPr>
          <w:rFonts w:ascii="Arial" w:eastAsia="SimSun" w:hAnsi="Arial" w:cs="Times New Roman"/>
          <w:b/>
          <w:bCs/>
          <w:sz w:val="24"/>
          <w:szCs w:val="20"/>
        </w:rPr>
        <w:t xml:space="preserve">SG-RAN </w:t>
      </w:r>
      <w:r w:rsidR="00ED7600" w:rsidRPr="008B7A65">
        <w:rPr>
          <w:rFonts w:ascii="Arial" w:eastAsia="SimSun" w:hAnsi="Arial" w:cs="Times New Roman"/>
          <w:b/>
          <w:sz w:val="24"/>
          <w:szCs w:val="20"/>
        </w:rPr>
        <w:t>WG4 Meeting #</w:t>
      </w:r>
      <w:r w:rsidR="00DE7064" w:rsidRPr="008B7A65">
        <w:rPr>
          <w:rFonts w:ascii="Arial" w:eastAsia="SimSun" w:hAnsi="Arial" w:cs="Times New Roman"/>
          <w:b/>
          <w:sz w:val="24"/>
          <w:szCs w:val="20"/>
        </w:rPr>
        <w:t>1</w:t>
      </w:r>
      <w:r w:rsidR="00381F95" w:rsidRPr="008B7A65">
        <w:rPr>
          <w:rFonts w:ascii="Arial" w:eastAsia="SimSun" w:hAnsi="Arial" w:cs="Times New Roman"/>
          <w:b/>
          <w:sz w:val="24"/>
          <w:szCs w:val="20"/>
        </w:rPr>
        <w:t>1</w:t>
      </w:r>
      <w:r w:rsidR="00F2616B" w:rsidRPr="008B7A65">
        <w:rPr>
          <w:rFonts w:ascii="Arial" w:eastAsia="SimSun" w:hAnsi="Arial" w:cs="Times New Roman"/>
          <w:b/>
          <w:sz w:val="24"/>
          <w:szCs w:val="20"/>
        </w:rPr>
        <w:t>6</w:t>
      </w:r>
      <w:r w:rsidRPr="008B7A65">
        <w:rPr>
          <w:rFonts w:ascii="Arial" w:eastAsia="SimSun" w:hAnsi="Arial" w:cs="Times New Roman"/>
          <w:b/>
          <w:bCs/>
          <w:sz w:val="24"/>
          <w:szCs w:val="20"/>
        </w:rPr>
        <w:tab/>
      </w:r>
      <w:r w:rsidR="00AF26EE" w:rsidRPr="00AF26EE">
        <w:rPr>
          <w:rFonts w:ascii="Arial" w:eastAsia="SimSun" w:hAnsi="Arial" w:cs="Times New Roman"/>
          <w:b/>
          <w:bCs/>
          <w:sz w:val="24"/>
          <w:szCs w:val="20"/>
          <w:lang w:eastAsia="ja-JP"/>
        </w:rPr>
        <w:t>R4-2510695</w:t>
      </w:r>
    </w:p>
    <w:bookmarkEnd w:id="0"/>
    <w:bookmarkEnd w:id="1"/>
    <w:p w14:paraId="3C11F3FE" w14:textId="77777777" w:rsidR="00B26A8A" w:rsidRPr="008B7A65"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B7A65">
        <w:rPr>
          <w:rFonts w:ascii="Arial" w:eastAsia="SimSun" w:hAnsi="Arial" w:cs="Times New Roman"/>
          <w:b/>
          <w:sz w:val="24"/>
          <w:szCs w:val="20"/>
        </w:rPr>
        <w:t>Bengaluru</w:t>
      </w:r>
      <w:r w:rsidR="00B26A8A" w:rsidRPr="008B7A65">
        <w:rPr>
          <w:rFonts w:ascii="Arial" w:eastAsia="SimSun" w:hAnsi="Arial" w:cs="Times New Roman"/>
          <w:b/>
          <w:sz w:val="24"/>
          <w:szCs w:val="20"/>
        </w:rPr>
        <w:t>,</w:t>
      </w:r>
      <w:r w:rsidR="00182687" w:rsidRPr="008B7A65">
        <w:rPr>
          <w:rFonts w:ascii="Arial" w:eastAsia="SimSun" w:hAnsi="Arial" w:cs="Times New Roman"/>
          <w:b/>
          <w:sz w:val="24"/>
          <w:szCs w:val="20"/>
        </w:rPr>
        <w:t xml:space="preserve"> </w:t>
      </w:r>
      <w:r w:rsidRPr="008B7A65">
        <w:rPr>
          <w:rFonts w:ascii="Arial" w:eastAsia="SimSun" w:hAnsi="Arial" w:cs="Times New Roman"/>
          <w:b/>
          <w:sz w:val="24"/>
          <w:szCs w:val="20"/>
        </w:rPr>
        <w:t>India</w:t>
      </w:r>
      <w:r w:rsidR="00182687" w:rsidRPr="008B7A65">
        <w:rPr>
          <w:rFonts w:ascii="Arial" w:eastAsia="SimSun" w:hAnsi="Arial" w:cs="Times New Roman"/>
          <w:b/>
          <w:sz w:val="24"/>
          <w:szCs w:val="20"/>
        </w:rPr>
        <w:t>,</w:t>
      </w:r>
      <w:r w:rsidR="00B26A8A" w:rsidRPr="008B7A65">
        <w:rPr>
          <w:rFonts w:ascii="Arial" w:eastAsia="SimSun" w:hAnsi="Arial" w:cs="Times New Roman"/>
          <w:b/>
          <w:sz w:val="24"/>
          <w:szCs w:val="20"/>
        </w:rPr>
        <w:t xml:space="preserve"> </w:t>
      </w:r>
      <w:r w:rsidR="00407BDE" w:rsidRPr="008B7A65">
        <w:rPr>
          <w:rFonts w:ascii="Arial" w:eastAsia="SimSun" w:hAnsi="Arial" w:cs="Times New Roman"/>
          <w:b/>
          <w:sz w:val="24"/>
          <w:szCs w:val="20"/>
        </w:rPr>
        <w:t>August</w:t>
      </w:r>
      <w:r w:rsidR="00B26A8A" w:rsidRPr="008B7A65">
        <w:rPr>
          <w:rFonts w:ascii="Arial" w:eastAsia="SimSun" w:hAnsi="Arial" w:cs="Times New Roman"/>
          <w:b/>
          <w:sz w:val="24"/>
          <w:szCs w:val="20"/>
        </w:rPr>
        <w:t xml:space="preserve"> </w:t>
      </w:r>
      <w:r w:rsidRPr="008B7A65">
        <w:rPr>
          <w:rFonts w:ascii="Arial" w:eastAsia="SimSun" w:hAnsi="Arial" w:cs="Times New Roman"/>
          <w:b/>
          <w:sz w:val="24"/>
          <w:szCs w:val="20"/>
        </w:rPr>
        <w:t>25</w:t>
      </w:r>
      <w:r w:rsidRPr="008B7A65">
        <w:rPr>
          <w:rFonts w:ascii="Arial" w:eastAsia="SimSun" w:hAnsi="Arial" w:cs="Times New Roman"/>
          <w:b/>
          <w:sz w:val="24"/>
          <w:szCs w:val="20"/>
          <w:vertAlign w:val="superscript"/>
        </w:rPr>
        <w:t>th</w:t>
      </w:r>
      <w:r w:rsidR="00B26A8A" w:rsidRPr="008B7A65">
        <w:rPr>
          <w:rFonts w:ascii="Arial" w:eastAsia="SimSun" w:hAnsi="Arial" w:cs="Times New Roman"/>
          <w:b/>
          <w:sz w:val="24"/>
          <w:szCs w:val="20"/>
        </w:rPr>
        <w:t xml:space="preserve"> –</w:t>
      </w:r>
      <w:r w:rsidR="00407BDE" w:rsidRPr="008B7A65">
        <w:rPr>
          <w:rFonts w:ascii="Arial" w:eastAsia="SimSun" w:hAnsi="Arial" w:cs="Times New Roman"/>
          <w:b/>
          <w:sz w:val="24"/>
          <w:szCs w:val="20"/>
        </w:rPr>
        <w:t xml:space="preserve"> August </w:t>
      </w:r>
      <w:r w:rsidRPr="008B7A65">
        <w:rPr>
          <w:rFonts w:ascii="Arial" w:eastAsia="SimSun" w:hAnsi="Arial" w:cs="Times New Roman"/>
          <w:b/>
          <w:sz w:val="24"/>
          <w:szCs w:val="20"/>
        </w:rPr>
        <w:t>29</w:t>
      </w:r>
      <w:r w:rsidRPr="008B7A65">
        <w:rPr>
          <w:rFonts w:ascii="Arial" w:eastAsia="SimSun" w:hAnsi="Arial" w:cs="Times New Roman"/>
          <w:b/>
          <w:sz w:val="24"/>
          <w:szCs w:val="20"/>
          <w:vertAlign w:val="superscript"/>
        </w:rPr>
        <w:t>th</w:t>
      </w:r>
      <w:r w:rsidR="00B26A8A" w:rsidRPr="008B7A65">
        <w:rPr>
          <w:rFonts w:ascii="Arial" w:eastAsia="SimSun" w:hAnsi="Arial" w:cs="Times New Roman"/>
          <w:b/>
          <w:sz w:val="24"/>
          <w:szCs w:val="20"/>
        </w:rPr>
        <w:t>, 2025</w:t>
      </w:r>
    </w:p>
    <w:p w14:paraId="17CA1ADD" w14:textId="77777777" w:rsidR="00841BCD" w:rsidRPr="008B7A6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8B7A65" w:rsidRDefault="00841BCD" w:rsidP="00841BCD">
      <w:pPr>
        <w:tabs>
          <w:tab w:val="left" w:pos="1985"/>
        </w:tabs>
        <w:ind w:left="1985" w:hanging="1985"/>
        <w:rPr>
          <w:rFonts w:ascii="Arial" w:eastAsia="Calibri" w:hAnsi="Arial" w:cs="Arial"/>
          <w:b/>
          <w:bCs/>
          <w:sz w:val="24"/>
        </w:rPr>
      </w:pPr>
      <w:r w:rsidRPr="008B7A65">
        <w:rPr>
          <w:rFonts w:ascii="Arial" w:eastAsia="Calibri" w:hAnsi="Arial" w:cs="Arial"/>
          <w:b/>
          <w:bCs/>
          <w:sz w:val="24"/>
        </w:rPr>
        <w:t>Source:</w:t>
      </w:r>
      <w:r w:rsidRPr="008B7A65">
        <w:rPr>
          <w:rFonts w:ascii="Arial" w:eastAsia="Calibri" w:hAnsi="Arial" w:cs="Arial"/>
          <w:b/>
          <w:bCs/>
          <w:sz w:val="24"/>
        </w:rPr>
        <w:tab/>
        <w:t>Nokia</w:t>
      </w:r>
    </w:p>
    <w:p w14:paraId="0FC9AC1F" w14:textId="14345C6E" w:rsidR="00841BCD" w:rsidRPr="008B7A65" w:rsidRDefault="00841BCD" w:rsidP="00841BCD">
      <w:pPr>
        <w:ind w:left="1985" w:hanging="1985"/>
        <w:rPr>
          <w:rFonts w:ascii="Arial" w:eastAsia="Calibri" w:hAnsi="Arial" w:cs="Arial"/>
          <w:b/>
          <w:bCs/>
          <w:sz w:val="24"/>
        </w:rPr>
      </w:pPr>
      <w:r w:rsidRPr="008B7A65">
        <w:rPr>
          <w:rFonts w:ascii="Arial" w:eastAsia="Calibri" w:hAnsi="Arial" w:cs="Arial"/>
          <w:b/>
          <w:bCs/>
          <w:sz w:val="24"/>
        </w:rPr>
        <w:t>Title:</w:t>
      </w:r>
      <w:r w:rsidRPr="008B7A65">
        <w:rPr>
          <w:rFonts w:ascii="Arial" w:eastAsia="Calibri" w:hAnsi="Arial" w:cs="Arial"/>
          <w:b/>
          <w:bCs/>
          <w:sz w:val="24"/>
        </w:rPr>
        <w:tab/>
      </w:r>
      <w:r w:rsidR="00003E34" w:rsidRPr="008B7A65">
        <w:rPr>
          <w:rFonts w:ascii="Arial" w:eastAsia="Calibri" w:hAnsi="Arial" w:cs="Arial"/>
          <w:b/>
          <w:bCs/>
          <w:sz w:val="24"/>
        </w:rPr>
        <w:t xml:space="preserve">Discussion </w:t>
      </w:r>
      <w:r w:rsidR="00B02075">
        <w:rPr>
          <w:rFonts w:ascii="Arial" w:eastAsia="Calibri" w:hAnsi="Arial" w:cs="Arial"/>
          <w:b/>
          <w:bCs/>
          <w:sz w:val="24"/>
        </w:rPr>
        <w:t>on LBCA requirements</w:t>
      </w:r>
      <w:r w:rsidR="00003E34" w:rsidRPr="008B7A65">
        <w:rPr>
          <w:rFonts w:ascii="Arial" w:eastAsia="Calibri" w:hAnsi="Arial" w:cs="Arial"/>
          <w:b/>
          <w:bCs/>
          <w:sz w:val="24"/>
        </w:rPr>
        <w:t xml:space="preserve"> </w:t>
      </w:r>
    </w:p>
    <w:p w14:paraId="46DCCCF2" w14:textId="1C04DF1C" w:rsidR="00841BCD" w:rsidRPr="008B7A65" w:rsidRDefault="00841BCD" w:rsidP="00841BCD">
      <w:pPr>
        <w:tabs>
          <w:tab w:val="left" w:pos="1985"/>
        </w:tabs>
        <w:spacing w:after="120" w:line="240" w:lineRule="auto"/>
        <w:rPr>
          <w:rFonts w:ascii="Arial" w:eastAsia="MS Mincho" w:hAnsi="Arial" w:cs="Arial"/>
          <w:b/>
          <w:bCs/>
          <w:sz w:val="24"/>
          <w:szCs w:val="20"/>
        </w:rPr>
      </w:pPr>
      <w:r w:rsidRPr="008B7A65">
        <w:rPr>
          <w:rFonts w:ascii="Arial" w:eastAsia="MS Mincho" w:hAnsi="Arial" w:cs="Arial"/>
          <w:b/>
          <w:bCs/>
          <w:sz w:val="24"/>
          <w:szCs w:val="20"/>
        </w:rPr>
        <w:t>Agenda item:</w:t>
      </w:r>
      <w:r w:rsidRPr="008B7A65">
        <w:rPr>
          <w:rFonts w:ascii="Arial" w:eastAsia="MS Mincho" w:hAnsi="Arial" w:cs="Arial"/>
          <w:b/>
          <w:bCs/>
          <w:sz w:val="24"/>
          <w:szCs w:val="20"/>
        </w:rPr>
        <w:tab/>
      </w:r>
      <w:r w:rsidR="00917F77">
        <w:rPr>
          <w:rFonts w:ascii="Arial" w:eastAsia="MS Mincho" w:hAnsi="Arial" w:cs="Arial"/>
          <w:b/>
          <w:bCs/>
          <w:sz w:val="24"/>
          <w:szCs w:val="20"/>
        </w:rPr>
        <w:t>7.3.4</w:t>
      </w:r>
    </w:p>
    <w:p w14:paraId="1FAF35C9" w14:textId="4CD61A19" w:rsidR="00E323E9" w:rsidRPr="008B7A65" w:rsidRDefault="00841BCD" w:rsidP="00841BCD">
      <w:pPr>
        <w:tabs>
          <w:tab w:val="left" w:pos="1985"/>
        </w:tabs>
        <w:rPr>
          <w:rFonts w:ascii="Arial" w:eastAsia="Calibri" w:hAnsi="Arial" w:cs="Arial"/>
          <w:b/>
          <w:bCs/>
          <w:sz w:val="24"/>
        </w:rPr>
      </w:pPr>
      <w:r w:rsidRPr="008B7A65">
        <w:rPr>
          <w:rFonts w:ascii="Arial" w:eastAsia="Calibri" w:hAnsi="Arial" w:cs="Arial"/>
          <w:b/>
          <w:bCs/>
          <w:sz w:val="24"/>
        </w:rPr>
        <w:t>Document for:</w:t>
      </w:r>
      <w:r w:rsidRPr="008B7A65">
        <w:rPr>
          <w:rFonts w:ascii="Arial" w:eastAsia="Calibri" w:hAnsi="Arial" w:cs="Arial"/>
          <w:b/>
          <w:bCs/>
          <w:sz w:val="24"/>
        </w:rPr>
        <w:tab/>
      </w:r>
      <w:r w:rsidR="00AE6D09" w:rsidRPr="008B7A65">
        <w:rPr>
          <w:rFonts w:ascii="Arial" w:eastAsia="Calibri" w:hAnsi="Arial" w:cs="Arial"/>
          <w:b/>
          <w:bCs/>
          <w:sz w:val="24"/>
        </w:rPr>
        <w:t>Discussion</w:t>
      </w:r>
      <w:r w:rsidR="00003E34" w:rsidRPr="008B7A65">
        <w:rPr>
          <w:rFonts w:ascii="Arial" w:eastAsia="Calibri" w:hAnsi="Arial" w:cs="Arial"/>
          <w:b/>
          <w:bCs/>
          <w:sz w:val="24"/>
        </w:rPr>
        <w:t xml:space="preserve"> </w:t>
      </w:r>
    </w:p>
    <w:p w14:paraId="1FAF19A4" w14:textId="77777777" w:rsidR="00841BCD" w:rsidRPr="008B7A65" w:rsidRDefault="00841BCD" w:rsidP="00A37002">
      <w:pPr>
        <w:pStyle w:val="RAN4H1"/>
      </w:pPr>
      <w:bookmarkStart w:id="3" w:name="_Toc116995841"/>
      <w:r w:rsidRPr="008B7A65">
        <w:t>Intro</w:t>
      </w:r>
      <w:r w:rsidRPr="008B7A65">
        <w:rPr>
          <w:rStyle w:val="RAN4H1Char"/>
        </w:rPr>
        <w:t>ductio</w:t>
      </w:r>
      <w:r w:rsidRPr="008B7A65">
        <w:t>n</w:t>
      </w:r>
      <w:bookmarkEnd w:id="3"/>
    </w:p>
    <w:p w14:paraId="306FF4AD" w14:textId="1718127D" w:rsidR="00836E3B" w:rsidRDefault="00B02075" w:rsidP="005C23A4">
      <w:r>
        <w:t>In this contribution we discuss the remaining RRM requirements aspects of LBCA switching.</w:t>
      </w:r>
    </w:p>
    <w:p w14:paraId="312ED363" w14:textId="70F850C9" w:rsidR="00836E3B" w:rsidRPr="008B7A65" w:rsidRDefault="00836E3B" w:rsidP="005C23A4">
      <w:pPr>
        <w:pStyle w:val="RAN4H1"/>
      </w:pPr>
      <w:r>
        <w:t>Discussion</w:t>
      </w:r>
    </w:p>
    <w:p w14:paraId="16EF458A" w14:textId="4EB9FF9E" w:rsidR="00694C2F" w:rsidRPr="00694C2F" w:rsidRDefault="00641B9D" w:rsidP="00694C2F">
      <w:pPr>
        <w:pStyle w:val="RAN4H2"/>
      </w:pPr>
      <w:bookmarkStart w:id="4" w:name="_Toc116995848"/>
      <w:r>
        <w:t>General</w:t>
      </w:r>
    </w:p>
    <w:p w14:paraId="79344233" w14:textId="6298EB54" w:rsidR="00EA4D6B" w:rsidRDefault="0014570E" w:rsidP="00A05163">
      <w:r>
        <w:t xml:space="preserve">In the last RAN4 meeting, </w:t>
      </w:r>
      <w:r w:rsidR="007054F9">
        <w:t xml:space="preserve">RRM requirement applicability was discussed under issue 1-1-3 </w:t>
      </w:r>
      <w:r w:rsidR="00DF2F7C">
        <w:fldChar w:fldCharType="begin"/>
      </w:r>
      <w:r w:rsidR="00DF2F7C">
        <w:instrText xml:space="preserve"> REF _Ref204253168 \r \h </w:instrText>
      </w:r>
      <w:r w:rsidR="00DF2F7C">
        <w:fldChar w:fldCharType="separate"/>
      </w:r>
      <w:r w:rsidR="00DF2F7C">
        <w:t>[1]</w:t>
      </w:r>
      <w:r w:rsidR="00DF2F7C">
        <w:fldChar w:fldCharType="end"/>
      </w:r>
      <w:r w:rsidR="00F85F72">
        <w:t xml:space="preserve"> without a proper conclusion:</w:t>
      </w:r>
    </w:p>
    <w:tbl>
      <w:tblPr>
        <w:tblStyle w:val="TableGrid"/>
        <w:tblW w:w="0" w:type="auto"/>
        <w:tblLook w:val="04A0" w:firstRow="1" w:lastRow="0" w:firstColumn="1" w:lastColumn="0" w:noHBand="0" w:noVBand="1"/>
      </w:tblPr>
      <w:tblGrid>
        <w:gridCol w:w="9617"/>
      </w:tblGrid>
      <w:tr w:rsidR="00DA5EAD" w14:paraId="0B5956A5" w14:textId="77777777">
        <w:tc>
          <w:tcPr>
            <w:tcW w:w="9617" w:type="dxa"/>
          </w:tcPr>
          <w:p w14:paraId="4B8AFA2D" w14:textId="77777777" w:rsidR="00DA5EAD" w:rsidRPr="004F44CD" w:rsidRDefault="00DA5EAD" w:rsidP="00DA5EAD">
            <w:pPr>
              <w:rPr>
                <w:b/>
                <w:color w:val="0070C0"/>
                <w:u w:val="single"/>
                <w:lang w:eastAsia="ko-KR"/>
              </w:rPr>
            </w:pPr>
            <w:r w:rsidRPr="004F44CD">
              <w:rPr>
                <w:b/>
                <w:color w:val="0070C0"/>
                <w:u w:val="single"/>
                <w:lang w:eastAsia="ko-KR"/>
              </w:rPr>
              <w:t>Issue 1-1-3: RRM requirement applicability for R19 LB CA via switching</w:t>
            </w:r>
          </w:p>
          <w:p w14:paraId="060866B8" w14:textId="0D1CEA0C" w:rsidR="00DA5EAD" w:rsidRPr="00324324" w:rsidRDefault="00DA5EAD" w:rsidP="00F85F72">
            <w:pPr>
              <w:spacing w:after="120"/>
              <w:rPr>
                <w:rFonts w:eastAsia="SimSun"/>
                <w:bCs/>
              </w:rPr>
            </w:pPr>
            <w:r w:rsidRPr="004F44CD">
              <w:rPr>
                <w:rFonts w:eastAsia="SimSun"/>
                <w:bCs/>
              </w:rPr>
              <w:t>[</w:t>
            </w:r>
            <w:proofErr w:type="spellStart"/>
            <w:r w:rsidRPr="004F44CD">
              <w:rPr>
                <w:rFonts w:eastAsia="SimSun"/>
                <w:bCs/>
              </w:rPr>
              <w:t>Wayforward</w:t>
            </w:r>
            <w:proofErr w:type="spellEnd"/>
            <w:r w:rsidRPr="004F44CD">
              <w:rPr>
                <w:rFonts w:eastAsia="SimSun"/>
                <w:bCs/>
              </w:rPr>
              <w:t xml:space="preserve">]: FFS: options in topic summary </w:t>
            </w:r>
            <w:r w:rsidRPr="004F44CD">
              <w:rPr>
                <w:rFonts w:cs="Arial"/>
              </w:rPr>
              <w:t>R4-2505556</w:t>
            </w:r>
            <w:r w:rsidRPr="004F44CD">
              <w:rPr>
                <w:rFonts w:eastAsia="SimSun"/>
                <w:bCs/>
              </w:rPr>
              <w:t>.</w:t>
            </w:r>
          </w:p>
        </w:tc>
      </w:tr>
    </w:tbl>
    <w:p w14:paraId="06C5BA95" w14:textId="77777777" w:rsidR="00DA5EAD" w:rsidRDefault="00DA5EAD" w:rsidP="00A05163"/>
    <w:p w14:paraId="2DD9BB2D" w14:textId="3FB98149" w:rsidR="004118CC" w:rsidRDefault="004118CC" w:rsidP="00A05163">
      <w:r>
        <w:t>Some agreements were made on individual issues regarding measurement availability, but for completeness, we will repeat our general proposal here. The conclusion on this issue can be reflected to the other individual open issues.</w:t>
      </w:r>
    </w:p>
    <w:p w14:paraId="0FD4B6FE" w14:textId="21E0C26E" w:rsidR="007A5BB9" w:rsidRDefault="006A3A08" w:rsidP="005E53F2">
      <w:r>
        <w:t>Measurement</w:t>
      </w:r>
      <w:r w:rsidR="005E53F2">
        <w:t xml:space="preserve"> requirements </w:t>
      </w:r>
      <w:r>
        <w:t xml:space="preserve">for serving cells, FDD </w:t>
      </w:r>
      <w:proofErr w:type="spellStart"/>
      <w:r w:rsidR="00CF233A">
        <w:t>PCell</w:t>
      </w:r>
      <w:proofErr w:type="spellEnd"/>
      <w:r>
        <w:t xml:space="preserve"> or SDL </w:t>
      </w:r>
      <w:proofErr w:type="spellStart"/>
      <w:r w:rsidR="00CF233A">
        <w:t>SCell</w:t>
      </w:r>
      <w:proofErr w:type="spellEnd"/>
      <w:r>
        <w:t xml:space="preserve">, </w:t>
      </w:r>
      <w:r w:rsidR="005E53F2">
        <w:t xml:space="preserve">heavily depend on the switching pattern design and the SSB availability on the activated </w:t>
      </w:r>
      <w:r>
        <w:t>serving cell</w:t>
      </w:r>
      <w:r w:rsidR="005E53F2">
        <w:t xml:space="preserve"> based on the pattern. </w:t>
      </w:r>
      <w:r w:rsidR="00464728">
        <w:t>Based on the type of the SSB availability, t</w:t>
      </w:r>
      <w:r w:rsidR="007A5BB9">
        <w:t xml:space="preserve">here </w:t>
      </w:r>
      <w:r w:rsidR="00464728">
        <w:t>can be</w:t>
      </w:r>
      <w:r w:rsidR="007A5BB9">
        <w:t xml:space="preserve"> three possible scenarios,</w:t>
      </w:r>
      <w:r w:rsidR="00464728">
        <w:t xml:space="preserve"> which are explained below:</w:t>
      </w:r>
    </w:p>
    <w:p w14:paraId="1C0C6034" w14:textId="118C120B" w:rsidR="00464728" w:rsidRDefault="00464728" w:rsidP="00F50C4F">
      <w:pPr>
        <w:pStyle w:val="ListParagraph"/>
        <w:numPr>
          <w:ilvl w:val="0"/>
          <w:numId w:val="44"/>
        </w:numPr>
      </w:pPr>
      <w:r>
        <w:t xml:space="preserve">Scenario 1: </w:t>
      </w:r>
      <w:r w:rsidR="00CF418E">
        <w:t>A</w:t>
      </w:r>
      <w:r w:rsidR="00F50C4F" w:rsidRPr="00F50C4F">
        <w:t xml:space="preserve">ll {the SSB occasions in SMTC window or CSI-RS for L3 measurement} or {SSB occasions or CSI-RS for L1 measurement} are available </w:t>
      </w:r>
      <w:r w:rsidR="00CF418E">
        <w:t xml:space="preserve">for the FDD </w:t>
      </w:r>
      <w:proofErr w:type="spellStart"/>
      <w:r w:rsidR="00CF233A">
        <w:t>PCell</w:t>
      </w:r>
      <w:proofErr w:type="spellEnd"/>
      <w:r w:rsidR="00CF418E">
        <w:t xml:space="preserve"> and/or </w:t>
      </w:r>
      <w:proofErr w:type="spellStart"/>
      <w:r w:rsidR="00CF233A">
        <w:t>SCell</w:t>
      </w:r>
      <w:proofErr w:type="spellEnd"/>
      <w:r w:rsidR="00CF418E">
        <w:t xml:space="preserve"> </w:t>
      </w:r>
      <w:r w:rsidR="00F50C4F" w:rsidRPr="00F50C4F">
        <w:t>based on the LB-CA switching pattern</w:t>
      </w:r>
      <w:r w:rsidR="00CF418E">
        <w:t>.</w:t>
      </w:r>
    </w:p>
    <w:p w14:paraId="6745024C" w14:textId="77777777" w:rsidR="00F50C4F" w:rsidRDefault="00F50C4F" w:rsidP="00F50C4F">
      <w:pPr>
        <w:pStyle w:val="ListParagraph"/>
      </w:pPr>
    </w:p>
    <w:p w14:paraId="7538BFE5" w14:textId="2E5F4FAD" w:rsidR="00F50C4F" w:rsidRPr="00F50C4F" w:rsidRDefault="00464728" w:rsidP="00F50C4F">
      <w:pPr>
        <w:pStyle w:val="ListParagraph"/>
        <w:numPr>
          <w:ilvl w:val="0"/>
          <w:numId w:val="44"/>
        </w:numPr>
      </w:pPr>
      <w:r>
        <w:t xml:space="preserve">Scenario 2: </w:t>
      </w:r>
      <w:r w:rsidR="00CF418E">
        <w:t>A</w:t>
      </w:r>
      <w:r w:rsidR="00F50C4F" w:rsidRPr="00F50C4F">
        <w:t xml:space="preserve"> fraction of {the SSB occasions in SMTC window or CSI-RS for L3 measurement} or {SSB occasions or CSI-RS for L1 measurement} are not available </w:t>
      </w:r>
      <w:r w:rsidR="00CF418E">
        <w:t xml:space="preserve">for the FDD </w:t>
      </w:r>
      <w:proofErr w:type="spellStart"/>
      <w:r w:rsidR="00CF233A">
        <w:t>PCell</w:t>
      </w:r>
      <w:proofErr w:type="spellEnd"/>
      <w:r w:rsidR="00CF418E">
        <w:t xml:space="preserve"> and/or </w:t>
      </w:r>
      <w:proofErr w:type="spellStart"/>
      <w:r w:rsidR="00CF233A">
        <w:t>SCell</w:t>
      </w:r>
      <w:proofErr w:type="spellEnd"/>
      <w:r w:rsidR="00CF418E">
        <w:t xml:space="preserve"> </w:t>
      </w:r>
      <w:r w:rsidR="00F50C4F" w:rsidRPr="00F50C4F">
        <w:t>based on the LB-CA switching pattern</w:t>
      </w:r>
      <w:r w:rsidR="00CF418E">
        <w:t>.</w:t>
      </w:r>
    </w:p>
    <w:p w14:paraId="46AEFBB6" w14:textId="1D26A5DC" w:rsidR="00464728" w:rsidRDefault="00464728" w:rsidP="00F50C4F">
      <w:pPr>
        <w:pStyle w:val="ListParagraph"/>
      </w:pPr>
    </w:p>
    <w:p w14:paraId="4938B79B" w14:textId="2097355F" w:rsidR="00F50C4F" w:rsidRPr="00F50C4F" w:rsidRDefault="00464728" w:rsidP="00CF233A">
      <w:pPr>
        <w:pStyle w:val="ListParagraph"/>
        <w:numPr>
          <w:ilvl w:val="0"/>
          <w:numId w:val="44"/>
        </w:numPr>
        <w:jc w:val="right"/>
      </w:pPr>
      <w:r>
        <w:t>Scenario 3:</w:t>
      </w:r>
      <w:r w:rsidR="00F50C4F">
        <w:t xml:space="preserve"> </w:t>
      </w:r>
      <w:r w:rsidR="00CF418E">
        <w:t>N</w:t>
      </w:r>
      <w:r w:rsidR="00F50C4F" w:rsidRPr="00F50C4F">
        <w:t>o {SSB occasions in SMTC window or CSI-RS for L3 measurement} or {SSB occasions or CSI-RS for L1 measurement} are available</w:t>
      </w:r>
      <w:r w:rsidR="00CF418E">
        <w:t xml:space="preserve"> for the FDD </w:t>
      </w:r>
      <w:proofErr w:type="spellStart"/>
      <w:r w:rsidR="00CF233A">
        <w:t>PCell</w:t>
      </w:r>
      <w:proofErr w:type="spellEnd"/>
      <w:r w:rsidR="00CF418E">
        <w:t xml:space="preserve"> and/or </w:t>
      </w:r>
      <w:proofErr w:type="spellStart"/>
      <w:r w:rsidR="00CF233A">
        <w:t>SCell</w:t>
      </w:r>
      <w:proofErr w:type="spellEnd"/>
      <w:r w:rsidR="00F50C4F" w:rsidRPr="00F50C4F">
        <w:t xml:space="preserve"> based on the LB-CA switching pattern</w:t>
      </w:r>
      <w:r w:rsidR="00CF418E">
        <w:t>.</w:t>
      </w:r>
    </w:p>
    <w:p w14:paraId="290DE456" w14:textId="1FE8870F" w:rsidR="00A322FE" w:rsidRDefault="00A322FE" w:rsidP="00F50C4F">
      <w:pPr>
        <w:pStyle w:val="ListParagraph"/>
      </w:pPr>
    </w:p>
    <w:p w14:paraId="044068E0" w14:textId="59D607B3" w:rsidR="007A5BB9" w:rsidRDefault="000F03F4" w:rsidP="005E53F2">
      <w:r>
        <w:t xml:space="preserve">Figure 1, Figure 2 and Figure 3 illustrates Scenario 1, Scenario 2, and Scenario 3 respectively. </w:t>
      </w:r>
    </w:p>
    <w:p w14:paraId="48DBE9B0" w14:textId="0B05556A" w:rsidR="007A5BB9" w:rsidRPr="00FE2C59" w:rsidRDefault="00CF418E" w:rsidP="005E53F2">
      <w:pPr>
        <w:rPr>
          <w:rFonts w:cstheme="minorHAnsi"/>
        </w:rPr>
      </w:pPr>
      <w:r>
        <w:rPr>
          <w:rFonts w:cstheme="minorHAnsi"/>
        </w:rPr>
        <w:t xml:space="preserve">In </w:t>
      </w:r>
      <w:r w:rsidR="007F2789" w:rsidRPr="007F2789">
        <w:rPr>
          <w:rFonts w:cstheme="minorHAnsi"/>
        </w:rPr>
        <w:fldChar w:fldCharType="begin"/>
      </w:r>
      <w:r w:rsidR="007F2789" w:rsidRPr="007F2789">
        <w:rPr>
          <w:rFonts w:cstheme="minorHAnsi"/>
        </w:rPr>
        <w:instrText xml:space="preserve"> REF _Ref188627808 \h  \* MERGEFORMAT </w:instrText>
      </w:r>
      <w:r w:rsidR="007F2789" w:rsidRPr="007F2789">
        <w:rPr>
          <w:rFonts w:cstheme="minorHAnsi"/>
        </w:rPr>
      </w:r>
      <w:r w:rsidR="007F2789" w:rsidRPr="007F2789">
        <w:rPr>
          <w:rFonts w:cstheme="minorHAnsi"/>
        </w:rPr>
        <w:fldChar w:fldCharType="separate"/>
      </w:r>
      <w:r w:rsidR="007F2789" w:rsidRPr="007F2789">
        <w:rPr>
          <w:rFonts w:cs="Times New Roman"/>
          <w:szCs w:val="20"/>
        </w:rPr>
        <w:t xml:space="preserve">Figure </w:t>
      </w:r>
      <w:r w:rsidR="007F2789" w:rsidRPr="007F2789">
        <w:rPr>
          <w:rFonts w:cs="Times New Roman"/>
          <w:noProof/>
          <w:szCs w:val="20"/>
        </w:rPr>
        <w:t>1</w:t>
      </w:r>
      <w:r w:rsidR="007F2789" w:rsidRPr="007F2789">
        <w:rPr>
          <w:rFonts w:cstheme="minorHAnsi"/>
        </w:rPr>
        <w:fldChar w:fldCharType="end"/>
      </w:r>
      <w:r w:rsidR="007F2789">
        <w:rPr>
          <w:rFonts w:cstheme="minorHAnsi"/>
        </w:rPr>
        <w:t xml:space="preserve"> </w:t>
      </w:r>
      <w:r>
        <w:rPr>
          <w:rFonts w:cstheme="minorHAnsi"/>
        </w:rPr>
        <w:t xml:space="preserve">we provide one example of a switching pattern that allows for the UE to be active on all the SSB slots for both the </w:t>
      </w:r>
      <w:proofErr w:type="spellStart"/>
      <w:r w:rsidR="00CF233A">
        <w:rPr>
          <w:rFonts w:cstheme="minorHAnsi"/>
        </w:rPr>
        <w:t>PCell</w:t>
      </w:r>
      <w:proofErr w:type="spellEnd"/>
      <w:r>
        <w:rPr>
          <w:rFonts w:cstheme="minorHAnsi"/>
        </w:rPr>
        <w:t xml:space="preserve"> and </w:t>
      </w:r>
      <w:proofErr w:type="spellStart"/>
      <w:r w:rsidR="00CF233A">
        <w:rPr>
          <w:rFonts w:cstheme="minorHAnsi"/>
        </w:rPr>
        <w:t>SCell</w:t>
      </w:r>
      <w:proofErr w:type="spellEnd"/>
      <w:r>
        <w:rPr>
          <w:rFonts w:cstheme="minorHAnsi"/>
        </w:rPr>
        <w:t xml:space="preserve"> at different SSB instances. Since, </w:t>
      </w:r>
      <w:r>
        <w:t>all the</w:t>
      </w:r>
      <w:r w:rsidRPr="00F50C4F">
        <w:t xml:space="preserve"> </w:t>
      </w:r>
      <w:r>
        <w:t xml:space="preserve">SSBs for both the </w:t>
      </w:r>
      <w:proofErr w:type="spellStart"/>
      <w:r w:rsidR="00CF233A">
        <w:t>PCell</w:t>
      </w:r>
      <w:proofErr w:type="spellEnd"/>
      <w:r>
        <w:t xml:space="preserve"> and </w:t>
      </w:r>
      <w:proofErr w:type="spellStart"/>
      <w:r w:rsidR="00CF233A">
        <w:t>SCell</w:t>
      </w:r>
      <w:proofErr w:type="spellEnd"/>
      <w:r>
        <w:t xml:space="preserve"> are available for measurement, there is no need for</w:t>
      </w:r>
      <w:r w:rsidRPr="00CF418E">
        <w:t xml:space="preserve"> delay extension</w:t>
      </w:r>
      <w:r>
        <w:t xml:space="preserve"> for either of the serving cells.</w:t>
      </w:r>
    </w:p>
    <w:p w14:paraId="31FC850D" w14:textId="262121CA" w:rsidR="007A5BB9" w:rsidRDefault="00417A33" w:rsidP="00417A33">
      <w:pPr>
        <w:jc w:val="center"/>
      </w:pPr>
      <w:r w:rsidRPr="00417A33">
        <w:rPr>
          <w:noProof/>
        </w:rPr>
        <w:lastRenderedPageBreak/>
        <w:drawing>
          <wp:inline distT="0" distB="0" distL="0" distR="0" wp14:anchorId="601A01D8" wp14:editId="2C7BAB1B">
            <wp:extent cx="3657600" cy="2181225"/>
            <wp:effectExtent l="0" t="0" r="0" b="9525"/>
            <wp:docPr id="92946993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69936" name="Picture 1" descr="A screenshot of a computer&#10;&#10;AI-generated content may be incorrect."/>
                    <pic:cNvPicPr/>
                  </pic:nvPicPr>
                  <pic:blipFill>
                    <a:blip r:embed="rId8"/>
                    <a:stretch>
                      <a:fillRect/>
                    </a:stretch>
                  </pic:blipFill>
                  <pic:spPr>
                    <a:xfrm>
                      <a:off x="0" y="0"/>
                      <a:ext cx="3657600" cy="2181225"/>
                    </a:xfrm>
                    <a:prstGeom prst="rect">
                      <a:avLst/>
                    </a:prstGeom>
                  </pic:spPr>
                </pic:pic>
              </a:graphicData>
            </a:graphic>
          </wp:inline>
        </w:drawing>
      </w:r>
    </w:p>
    <w:p w14:paraId="0D8ABCC6" w14:textId="112938E6" w:rsidR="005612A1" w:rsidRPr="005612A1" w:rsidRDefault="005612A1" w:rsidP="005612A1">
      <w:pPr>
        <w:pStyle w:val="Caption"/>
        <w:rPr>
          <w:rFonts w:ascii="Times New Roman" w:hAnsi="Times New Roman" w:cs="Times New Roman"/>
          <w:i w:val="0"/>
          <w:iCs w:val="0"/>
          <w:sz w:val="20"/>
          <w:szCs w:val="20"/>
        </w:rPr>
      </w:pPr>
      <w:bookmarkStart w:id="5" w:name="_Ref188627808"/>
      <w:r w:rsidRPr="005612A1">
        <w:rPr>
          <w:rFonts w:ascii="Times New Roman" w:hAnsi="Times New Roman" w:cs="Times New Roman"/>
          <w:i w:val="0"/>
          <w:iCs w:val="0"/>
          <w:sz w:val="20"/>
          <w:szCs w:val="20"/>
        </w:rPr>
        <w:t xml:space="preserve">Figure </w:t>
      </w:r>
      <w:r w:rsidRPr="005612A1">
        <w:rPr>
          <w:rFonts w:ascii="Times New Roman" w:hAnsi="Times New Roman" w:cs="Times New Roman"/>
          <w:i w:val="0"/>
          <w:iCs w:val="0"/>
          <w:sz w:val="20"/>
          <w:szCs w:val="20"/>
        </w:rPr>
        <w:fldChar w:fldCharType="begin"/>
      </w:r>
      <w:r w:rsidRPr="005612A1">
        <w:rPr>
          <w:rFonts w:ascii="Times New Roman" w:hAnsi="Times New Roman" w:cs="Times New Roman"/>
          <w:i w:val="0"/>
          <w:iCs w:val="0"/>
          <w:sz w:val="20"/>
          <w:szCs w:val="20"/>
        </w:rPr>
        <w:instrText xml:space="preserve"> SEQ Figure \* ARABIC </w:instrText>
      </w:r>
      <w:r w:rsidRPr="005612A1">
        <w:rPr>
          <w:rFonts w:ascii="Times New Roman" w:hAnsi="Times New Roman" w:cs="Times New Roman"/>
          <w:i w:val="0"/>
          <w:iCs w:val="0"/>
          <w:sz w:val="20"/>
          <w:szCs w:val="20"/>
        </w:rPr>
        <w:fldChar w:fldCharType="separate"/>
      </w:r>
      <w:r>
        <w:rPr>
          <w:rFonts w:ascii="Times New Roman" w:hAnsi="Times New Roman" w:cs="Times New Roman"/>
          <w:i w:val="0"/>
          <w:iCs w:val="0"/>
          <w:noProof/>
          <w:sz w:val="20"/>
          <w:szCs w:val="20"/>
        </w:rPr>
        <w:t>1</w:t>
      </w:r>
      <w:r w:rsidRPr="005612A1">
        <w:rPr>
          <w:rFonts w:ascii="Times New Roman" w:hAnsi="Times New Roman" w:cs="Times New Roman"/>
          <w:i w:val="0"/>
          <w:iCs w:val="0"/>
          <w:sz w:val="20"/>
          <w:szCs w:val="20"/>
        </w:rPr>
        <w:fldChar w:fldCharType="end"/>
      </w:r>
      <w:bookmarkEnd w:id="5"/>
      <w:r w:rsidRPr="005612A1">
        <w:rPr>
          <w:rFonts w:ascii="Times New Roman" w:hAnsi="Times New Roman" w:cs="Times New Roman"/>
          <w:i w:val="0"/>
          <w:iCs w:val="0"/>
          <w:sz w:val="20"/>
          <w:szCs w:val="20"/>
        </w:rPr>
        <w:t xml:space="preserve"> Example of </w:t>
      </w:r>
      <w:r>
        <w:rPr>
          <w:rFonts w:ascii="Times New Roman" w:hAnsi="Times New Roman" w:cs="Times New Roman"/>
          <w:i w:val="0"/>
          <w:iCs w:val="0"/>
          <w:sz w:val="20"/>
          <w:szCs w:val="20"/>
        </w:rPr>
        <w:t>Scenario 1</w:t>
      </w:r>
    </w:p>
    <w:p w14:paraId="417CA787" w14:textId="0D1C3EAC" w:rsidR="00417A33" w:rsidRDefault="00CF418E" w:rsidP="00CF418E">
      <w:pPr>
        <w:pStyle w:val="RAN4observation0"/>
      </w:pPr>
      <w:bookmarkStart w:id="6" w:name="_Toc206152809"/>
      <w:r>
        <w:t>The LB-CA switching pattern can lead to a scenario where all the {</w:t>
      </w:r>
      <w:r w:rsidRPr="00F50C4F">
        <w:t>SSB occasions in SMTC window or CSI-RS for L3 measurement</w:t>
      </w:r>
      <w:r>
        <w:t xml:space="preserve">} </w:t>
      </w:r>
      <w:r w:rsidRPr="00F50C4F">
        <w:t>or {SSB occasions or CSI-RS for L1 measurement}</w:t>
      </w:r>
      <w:r>
        <w:t xml:space="preserve"> are available</w:t>
      </w:r>
      <w:r w:rsidR="00272054">
        <w:t xml:space="preserve"> for </w:t>
      </w:r>
      <w:r w:rsidR="00EF318B">
        <w:t>measurement</w:t>
      </w:r>
      <w:r>
        <w:t xml:space="preserve"> in the serving cells.</w:t>
      </w:r>
      <w:bookmarkEnd w:id="6"/>
    </w:p>
    <w:p w14:paraId="6BED4068" w14:textId="0C23BC67" w:rsidR="00417A33" w:rsidRPr="004118CC" w:rsidRDefault="00D07C74" w:rsidP="00D07C74">
      <w:pPr>
        <w:rPr>
          <w:rFonts w:cstheme="minorHAnsi"/>
        </w:rPr>
      </w:pPr>
      <w:r>
        <w:rPr>
          <w:rFonts w:cstheme="minorHAnsi"/>
        </w:rPr>
        <w:t xml:space="preserve">In </w:t>
      </w:r>
      <w:r w:rsidRPr="00D07C74">
        <w:rPr>
          <w:rFonts w:cstheme="minorHAnsi"/>
        </w:rPr>
        <w:fldChar w:fldCharType="begin"/>
      </w:r>
      <w:r w:rsidRPr="00D07C74">
        <w:rPr>
          <w:rFonts w:cstheme="minorHAnsi"/>
        </w:rPr>
        <w:instrText xml:space="preserve"> REF _Ref204771627 \h  \* MERGEFORMAT </w:instrText>
      </w:r>
      <w:r w:rsidRPr="00D07C74">
        <w:rPr>
          <w:rFonts w:cstheme="minorHAnsi"/>
        </w:rPr>
      </w:r>
      <w:r w:rsidRPr="00D07C74">
        <w:rPr>
          <w:rFonts w:cstheme="minorHAnsi"/>
        </w:rPr>
        <w:fldChar w:fldCharType="separate"/>
      </w:r>
      <w:r w:rsidRPr="00D07C74">
        <w:rPr>
          <w:rFonts w:cs="Times New Roman"/>
          <w:szCs w:val="20"/>
        </w:rPr>
        <w:t xml:space="preserve">Figure </w:t>
      </w:r>
      <w:r w:rsidRPr="00D07C74">
        <w:rPr>
          <w:rFonts w:cs="Times New Roman"/>
          <w:noProof/>
          <w:szCs w:val="20"/>
        </w:rPr>
        <w:t>2</w:t>
      </w:r>
      <w:r w:rsidRPr="00D07C74">
        <w:rPr>
          <w:rFonts w:cstheme="minorHAnsi"/>
        </w:rPr>
        <w:fldChar w:fldCharType="end"/>
      </w:r>
      <w:r w:rsidRPr="00D07C74">
        <w:rPr>
          <w:rFonts w:cstheme="minorHAnsi"/>
        </w:rPr>
        <w:t xml:space="preserve"> </w:t>
      </w:r>
      <w:r>
        <w:rPr>
          <w:rFonts w:cstheme="minorHAnsi"/>
        </w:rPr>
        <w:t xml:space="preserve">we provide one example of a switching pattern that allows for the UE to be active on SSB slots for both the </w:t>
      </w:r>
      <w:proofErr w:type="spellStart"/>
      <w:r w:rsidR="00CF233A">
        <w:rPr>
          <w:rFonts w:cstheme="minorHAnsi"/>
        </w:rPr>
        <w:t>PCell</w:t>
      </w:r>
      <w:proofErr w:type="spellEnd"/>
      <w:r>
        <w:rPr>
          <w:rFonts w:cstheme="minorHAnsi"/>
        </w:rPr>
        <w:t xml:space="preserve"> and </w:t>
      </w:r>
      <w:proofErr w:type="spellStart"/>
      <w:r w:rsidR="00CF233A">
        <w:rPr>
          <w:rFonts w:cstheme="minorHAnsi"/>
        </w:rPr>
        <w:t>SCell</w:t>
      </w:r>
      <w:proofErr w:type="spellEnd"/>
      <w:r>
        <w:rPr>
          <w:rFonts w:cstheme="minorHAnsi"/>
        </w:rPr>
        <w:t xml:space="preserve"> at different SSB instances. Since, </w:t>
      </w:r>
      <w:r w:rsidRPr="00F50C4F">
        <w:t xml:space="preserve">a fraction of </w:t>
      </w:r>
      <w:r>
        <w:t xml:space="preserve">SSBs (in this case half) are not available </w:t>
      </w:r>
      <w:r w:rsidR="00A12BBB">
        <w:t xml:space="preserve">for either the </w:t>
      </w:r>
      <w:proofErr w:type="spellStart"/>
      <w:r w:rsidR="00CF233A">
        <w:t>PCell</w:t>
      </w:r>
      <w:proofErr w:type="spellEnd"/>
      <w:r w:rsidR="00A12BBB">
        <w:t xml:space="preserve"> or </w:t>
      </w:r>
      <w:proofErr w:type="spellStart"/>
      <w:r w:rsidR="00CF233A">
        <w:t>SCell</w:t>
      </w:r>
      <w:proofErr w:type="spellEnd"/>
      <w:r w:rsidR="00A12BBB">
        <w:t xml:space="preserve">, </w:t>
      </w:r>
      <w:r w:rsidRPr="00F50C4F">
        <w:t xml:space="preserve">the delay is scaled in accordance </w:t>
      </w:r>
      <w:proofErr w:type="gramStart"/>
      <w:r w:rsidRPr="00F50C4F">
        <w:t>to</w:t>
      </w:r>
      <w:proofErr w:type="gramEnd"/>
      <w:r w:rsidRPr="00F50C4F">
        <w:t xml:space="preserve"> the fraction of available occasions</w:t>
      </w:r>
      <w:r w:rsidR="00CF418E">
        <w:t xml:space="preserve"> in both the serving cells</w:t>
      </w:r>
      <w:r w:rsidR="00A12BBB">
        <w:rPr>
          <w:rFonts w:cstheme="minorHAnsi"/>
        </w:rPr>
        <w:t xml:space="preserve">. </w:t>
      </w:r>
    </w:p>
    <w:p w14:paraId="376EC67E" w14:textId="1FFEA5D3" w:rsidR="00A12BBB" w:rsidRDefault="00A12BBB" w:rsidP="00D07C74"/>
    <w:p w14:paraId="56B307E2" w14:textId="3A4DB13B" w:rsidR="00417A33" w:rsidRDefault="00417A33" w:rsidP="00417A33">
      <w:pPr>
        <w:jc w:val="center"/>
      </w:pPr>
      <w:r w:rsidRPr="00417A33">
        <w:rPr>
          <w:noProof/>
        </w:rPr>
        <w:drawing>
          <wp:inline distT="0" distB="0" distL="0" distR="0" wp14:anchorId="519502FE" wp14:editId="70279C0B">
            <wp:extent cx="3657600" cy="2181225"/>
            <wp:effectExtent l="0" t="0" r="0" b="9525"/>
            <wp:docPr id="98545899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58997" name="Picture 1" descr="A screenshot of a computer&#10;&#10;AI-generated content may be incorrect."/>
                    <pic:cNvPicPr/>
                  </pic:nvPicPr>
                  <pic:blipFill>
                    <a:blip r:embed="rId9"/>
                    <a:stretch>
                      <a:fillRect/>
                    </a:stretch>
                  </pic:blipFill>
                  <pic:spPr>
                    <a:xfrm>
                      <a:off x="0" y="0"/>
                      <a:ext cx="3657600" cy="2181225"/>
                    </a:xfrm>
                    <a:prstGeom prst="rect">
                      <a:avLst/>
                    </a:prstGeom>
                  </pic:spPr>
                </pic:pic>
              </a:graphicData>
            </a:graphic>
          </wp:inline>
        </w:drawing>
      </w:r>
    </w:p>
    <w:p w14:paraId="6B2C9DBE" w14:textId="75FCF53B" w:rsidR="005612A1" w:rsidRPr="005612A1" w:rsidRDefault="005612A1" w:rsidP="005612A1">
      <w:pPr>
        <w:pStyle w:val="Caption"/>
        <w:rPr>
          <w:rFonts w:ascii="Times New Roman" w:hAnsi="Times New Roman" w:cs="Times New Roman"/>
          <w:i w:val="0"/>
          <w:iCs w:val="0"/>
          <w:sz w:val="20"/>
          <w:szCs w:val="20"/>
        </w:rPr>
      </w:pPr>
      <w:bookmarkStart w:id="7" w:name="_Ref204771627"/>
      <w:r w:rsidRPr="005612A1">
        <w:rPr>
          <w:rFonts w:ascii="Times New Roman" w:hAnsi="Times New Roman" w:cs="Times New Roman"/>
          <w:i w:val="0"/>
          <w:iCs w:val="0"/>
          <w:sz w:val="20"/>
          <w:szCs w:val="20"/>
        </w:rPr>
        <w:t xml:space="preserve">Figure </w:t>
      </w:r>
      <w:r w:rsidRPr="005612A1">
        <w:rPr>
          <w:rFonts w:ascii="Times New Roman" w:hAnsi="Times New Roman" w:cs="Times New Roman"/>
          <w:i w:val="0"/>
          <w:iCs w:val="0"/>
          <w:sz w:val="20"/>
          <w:szCs w:val="20"/>
        </w:rPr>
        <w:fldChar w:fldCharType="begin"/>
      </w:r>
      <w:r w:rsidRPr="005612A1">
        <w:rPr>
          <w:rFonts w:ascii="Times New Roman" w:hAnsi="Times New Roman" w:cs="Times New Roman"/>
          <w:i w:val="0"/>
          <w:iCs w:val="0"/>
          <w:sz w:val="20"/>
          <w:szCs w:val="20"/>
        </w:rPr>
        <w:instrText xml:space="preserve"> SEQ Figure \* ARABIC </w:instrText>
      </w:r>
      <w:r w:rsidRPr="005612A1">
        <w:rPr>
          <w:rFonts w:ascii="Times New Roman" w:hAnsi="Times New Roman" w:cs="Times New Roman"/>
          <w:i w:val="0"/>
          <w:iCs w:val="0"/>
          <w:sz w:val="20"/>
          <w:szCs w:val="20"/>
        </w:rPr>
        <w:fldChar w:fldCharType="separate"/>
      </w:r>
      <w:r>
        <w:rPr>
          <w:rFonts w:ascii="Times New Roman" w:hAnsi="Times New Roman" w:cs="Times New Roman"/>
          <w:i w:val="0"/>
          <w:iCs w:val="0"/>
          <w:noProof/>
          <w:sz w:val="20"/>
          <w:szCs w:val="20"/>
        </w:rPr>
        <w:t>2</w:t>
      </w:r>
      <w:r w:rsidRPr="005612A1">
        <w:rPr>
          <w:rFonts w:ascii="Times New Roman" w:hAnsi="Times New Roman" w:cs="Times New Roman"/>
          <w:i w:val="0"/>
          <w:iCs w:val="0"/>
          <w:sz w:val="20"/>
          <w:szCs w:val="20"/>
        </w:rPr>
        <w:fldChar w:fldCharType="end"/>
      </w:r>
      <w:bookmarkEnd w:id="7"/>
      <w:r w:rsidRPr="005612A1">
        <w:rPr>
          <w:rFonts w:ascii="Times New Roman" w:hAnsi="Times New Roman" w:cs="Times New Roman"/>
          <w:i w:val="0"/>
          <w:iCs w:val="0"/>
          <w:sz w:val="20"/>
          <w:szCs w:val="20"/>
        </w:rPr>
        <w:t xml:space="preserve"> Example of </w:t>
      </w:r>
      <w:r>
        <w:rPr>
          <w:rFonts w:ascii="Times New Roman" w:hAnsi="Times New Roman" w:cs="Times New Roman"/>
          <w:i w:val="0"/>
          <w:iCs w:val="0"/>
          <w:sz w:val="20"/>
          <w:szCs w:val="20"/>
        </w:rPr>
        <w:t>Scenario 2</w:t>
      </w:r>
    </w:p>
    <w:p w14:paraId="1D81185E" w14:textId="6E6624EB" w:rsidR="00CF418E" w:rsidRPr="00125C4B" w:rsidRDefault="00CF418E" w:rsidP="00CF418E">
      <w:pPr>
        <w:pStyle w:val="RAN4observation0"/>
      </w:pPr>
      <w:bookmarkStart w:id="8" w:name="_Toc206152810"/>
      <w:r>
        <w:t>The LB-CA switching pattern can lead to a scenario where only a fraction of {</w:t>
      </w:r>
      <w:r w:rsidRPr="00F50C4F">
        <w:t>SSB occasions in SMTC window or CSI-RS for L3 measurement</w:t>
      </w:r>
      <w:r>
        <w:t xml:space="preserve">} </w:t>
      </w:r>
      <w:r w:rsidRPr="00F50C4F">
        <w:t>or {SSB occasions or CSI-RS for L1 measurement}</w:t>
      </w:r>
      <w:r>
        <w:t xml:space="preserve"> being available for measurement</w:t>
      </w:r>
      <w:r w:rsidR="00272054">
        <w:t xml:space="preserve"> in the serving cells</w:t>
      </w:r>
      <w:r>
        <w:t>.</w:t>
      </w:r>
      <w:bookmarkEnd w:id="8"/>
    </w:p>
    <w:p w14:paraId="0A33400B" w14:textId="77777777" w:rsidR="005612A1" w:rsidRDefault="005612A1" w:rsidP="00CF418E"/>
    <w:p w14:paraId="4E8F727A" w14:textId="118651E4" w:rsidR="00417A33" w:rsidRDefault="00272054" w:rsidP="00272054">
      <w:r>
        <w:rPr>
          <w:rFonts w:cstheme="minorHAnsi"/>
        </w:rPr>
        <w:t xml:space="preserve">In </w:t>
      </w:r>
      <w:r w:rsidRPr="00272054">
        <w:rPr>
          <w:rFonts w:cstheme="minorHAnsi"/>
        </w:rPr>
        <w:fldChar w:fldCharType="begin"/>
      </w:r>
      <w:r w:rsidRPr="00272054">
        <w:rPr>
          <w:rFonts w:cstheme="minorHAnsi"/>
        </w:rPr>
        <w:instrText xml:space="preserve"> REF _Ref204772937 \h  \* MERGEFORMAT </w:instrText>
      </w:r>
      <w:r w:rsidRPr="00272054">
        <w:rPr>
          <w:rFonts w:cstheme="minorHAnsi"/>
        </w:rPr>
      </w:r>
      <w:r w:rsidRPr="00272054">
        <w:rPr>
          <w:rFonts w:cstheme="minorHAnsi"/>
        </w:rPr>
        <w:fldChar w:fldCharType="separate"/>
      </w:r>
      <w:r w:rsidRPr="00272054">
        <w:rPr>
          <w:rFonts w:cs="Times New Roman"/>
          <w:szCs w:val="20"/>
        </w:rPr>
        <w:t xml:space="preserve">Figure </w:t>
      </w:r>
      <w:r w:rsidRPr="00272054">
        <w:rPr>
          <w:rFonts w:cs="Times New Roman"/>
          <w:noProof/>
          <w:szCs w:val="20"/>
        </w:rPr>
        <w:t>3</w:t>
      </w:r>
      <w:r w:rsidRPr="00272054">
        <w:rPr>
          <w:rFonts w:cstheme="minorHAnsi"/>
        </w:rPr>
        <w:fldChar w:fldCharType="end"/>
      </w:r>
      <w:r>
        <w:rPr>
          <w:rFonts w:cstheme="minorHAnsi"/>
        </w:rPr>
        <w:t xml:space="preserve"> we provide one example of a switching pattern that doesn’t allow for the UE to be active on any of the SSB slots </w:t>
      </w:r>
      <w:r w:rsidR="00CE392A">
        <w:rPr>
          <w:rFonts w:cstheme="minorHAnsi"/>
        </w:rPr>
        <w:t>for</w:t>
      </w:r>
      <w:r>
        <w:rPr>
          <w:rFonts w:cstheme="minorHAnsi"/>
        </w:rPr>
        <w:t xml:space="preserve"> </w:t>
      </w:r>
      <w:proofErr w:type="spellStart"/>
      <w:r w:rsidR="00CF233A">
        <w:rPr>
          <w:rFonts w:cstheme="minorHAnsi"/>
        </w:rPr>
        <w:t>SCell</w:t>
      </w:r>
      <w:proofErr w:type="spellEnd"/>
      <w:r>
        <w:rPr>
          <w:rFonts w:cstheme="minorHAnsi"/>
        </w:rPr>
        <w:t xml:space="preserve"> at different SSB instances</w:t>
      </w:r>
      <w:r w:rsidR="00CE392A">
        <w:rPr>
          <w:rFonts w:cstheme="minorHAnsi"/>
        </w:rPr>
        <w:t xml:space="preserve">, whereas the UE is active on all the SSB slots for </w:t>
      </w:r>
      <w:proofErr w:type="spellStart"/>
      <w:r w:rsidR="00CF233A">
        <w:rPr>
          <w:rFonts w:cstheme="minorHAnsi"/>
        </w:rPr>
        <w:t>PCell</w:t>
      </w:r>
      <w:proofErr w:type="spellEnd"/>
      <w:r>
        <w:rPr>
          <w:rFonts w:cstheme="minorHAnsi"/>
        </w:rPr>
        <w:t xml:space="preserve">. Since, </w:t>
      </w:r>
      <w:r>
        <w:t>none of the</w:t>
      </w:r>
      <w:r w:rsidRPr="00F50C4F">
        <w:t xml:space="preserve"> </w:t>
      </w:r>
      <w:r>
        <w:t xml:space="preserve">SSBs for both </w:t>
      </w:r>
      <w:proofErr w:type="spellStart"/>
      <w:r w:rsidR="00CF233A">
        <w:t>SCell</w:t>
      </w:r>
      <w:proofErr w:type="spellEnd"/>
      <w:r>
        <w:t xml:space="preserve"> are available for measurement, </w:t>
      </w:r>
      <w:r w:rsidRPr="00F50C4F">
        <w:t>the corresponding requirements do not apply</w:t>
      </w:r>
      <w:r>
        <w:t xml:space="preserve"> for the </w:t>
      </w:r>
      <w:proofErr w:type="spellStart"/>
      <w:r w:rsidR="00CF233A">
        <w:t>SCell</w:t>
      </w:r>
      <w:proofErr w:type="spellEnd"/>
      <w:r>
        <w:t>.</w:t>
      </w:r>
    </w:p>
    <w:p w14:paraId="49428F09" w14:textId="307DB352" w:rsidR="00417A33" w:rsidRDefault="00CE392A" w:rsidP="00417A33">
      <w:pPr>
        <w:jc w:val="center"/>
      </w:pPr>
      <w:r w:rsidRPr="00CE392A">
        <w:rPr>
          <w:noProof/>
        </w:rPr>
        <w:lastRenderedPageBreak/>
        <w:drawing>
          <wp:inline distT="0" distB="0" distL="0" distR="0" wp14:anchorId="61550DB4" wp14:editId="16FBA615">
            <wp:extent cx="3657600" cy="2181225"/>
            <wp:effectExtent l="0" t="0" r="0" b="9525"/>
            <wp:docPr id="126582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824320" name=""/>
                    <pic:cNvPicPr/>
                  </pic:nvPicPr>
                  <pic:blipFill>
                    <a:blip r:embed="rId10"/>
                    <a:stretch>
                      <a:fillRect/>
                    </a:stretch>
                  </pic:blipFill>
                  <pic:spPr>
                    <a:xfrm>
                      <a:off x="0" y="0"/>
                      <a:ext cx="3657600" cy="2181225"/>
                    </a:xfrm>
                    <a:prstGeom prst="rect">
                      <a:avLst/>
                    </a:prstGeom>
                  </pic:spPr>
                </pic:pic>
              </a:graphicData>
            </a:graphic>
          </wp:inline>
        </w:drawing>
      </w:r>
    </w:p>
    <w:p w14:paraId="6F9B82C6" w14:textId="6A876C97" w:rsidR="005612A1" w:rsidRPr="005612A1" w:rsidRDefault="005612A1" w:rsidP="005612A1">
      <w:pPr>
        <w:pStyle w:val="Caption"/>
        <w:rPr>
          <w:rFonts w:ascii="Times New Roman" w:hAnsi="Times New Roman" w:cs="Times New Roman"/>
          <w:i w:val="0"/>
          <w:iCs w:val="0"/>
          <w:sz w:val="20"/>
          <w:szCs w:val="20"/>
        </w:rPr>
      </w:pPr>
      <w:bookmarkStart w:id="9" w:name="_Ref204772937"/>
      <w:r w:rsidRPr="005612A1">
        <w:rPr>
          <w:rFonts w:ascii="Times New Roman" w:hAnsi="Times New Roman" w:cs="Times New Roman"/>
          <w:i w:val="0"/>
          <w:iCs w:val="0"/>
          <w:sz w:val="20"/>
          <w:szCs w:val="20"/>
        </w:rPr>
        <w:t xml:space="preserve">Figure </w:t>
      </w:r>
      <w:r w:rsidRPr="005612A1">
        <w:rPr>
          <w:rFonts w:ascii="Times New Roman" w:hAnsi="Times New Roman" w:cs="Times New Roman"/>
          <w:i w:val="0"/>
          <w:iCs w:val="0"/>
          <w:sz w:val="20"/>
          <w:szCs w:val="20"/>
        </w:rPr>
        <w:fldChar w:fldCharType="begin"/>
      </w:r>
      <w:r w:rsidRPr="005612A1">
        <w:rPr>
          <w:rFonts w:ascii="Times New Roman" w:hAnsi="Times New Roman" w:cs="Times New Roman"/>
          <w:i w:val="0"/>
          <w:iCs w:val="0"/>
          <w:sz w:val="20"/>
          <w:szCs w:val="20"/>
        </w:rPr>
        <w:instrText xml:space="preserve"> SEQ Figure \* ARABIC </w:instrText>
      </w:r>
      <w:r w:rsidRPr="005612A1">
        <w:rPr>
          <w:rFonts w:ascii="Times New Roman" w:hAnsi="Times New Roman" w:cs="Times New Roman"/>
          <w:i w:val="0"/>
          <w:iCs w:val="0"/>
          <w:sz w:val="20"/>
          <w:szCs w:val="20"/>
        </w:rPr>
        <w:fldChar w:fldCharType="separate"/>
      </w:r>
      <w:r>
        <w:rPr>
          <w:rFonts w:ascii="Times New Roman" w:hAnsi="Times New Roman" w:cs="Times New Roman"/>
          <w:i w:val="0"/>
          <w:iCs w:val="0"/>
          <w:noProof/>
          <w:sz w:val="20"/>
          <w:szCs w:val="20"/>
        </w:rPr>
        <w:t>3</w:t>
      </w:r>
      <w:r w:rsidRPr="005612A1">
        <w:rPr>
          <w:rFonts w:ascii="Times New Roman" w:hAnsi="Times New Roman" w:cs="Times New Roman"/>
          <w:i w:val="0"/>
          <w:iCs w:val="0"/>
          <w:sz w:val="20"/>
          <w:szCs w:val="20"/>
        </w:rPr>
        <w:fldChar w:fldCharType="end"/>
      </w:r>
      <w:bookmarkEnd w:id="9"/>
      <w:r w:rsidRPr="005612A1">
        <w:rPr>
          <w:rFonts w:ascii="Times New Roman" w:hAnsi="Times New Roman" w:cs="Times New Roman"/>
          <w:i w:val="0"/>
          <w:iCs w:val="0"/>
          <w:sz w:val="20"/>
          <w:szCs w:val="20"/>
        </w:rPr>
        <w:t xml:space="preserve"> Example of </w:t>
      </w:r>
      <w:r>
        <w:rPr>
          <w:rFonts w:ascii="Times New Roman" w:hAnsi="Times New Roman" w:cs="Times New Roman"/>
          <w:i w:val="0"/>
          <w:iCs w:val="0"/>
          <w:sz w:val="20"/>
          <w:szCs w:val="20"/>
        </w:rPr>
        <w:t>Scenario 3</w:t>
      </w:r>
    </w:p>
    <w:p w14:paraId="325445AE" w14:textId="307372EF" w:rsidR="007A5BB9" w:rsidRDefault="00272054" w:rsidP="005E53F2">
      <w:pPr>
        <w:pStyle w:val="RAN4observation0"/>
      </w:pPr>
      <w:bookmarkStart w:id="10" w:name="_Toc206152811"/>
      <w:r>
        <w:t>The LB-CA switching pattern can lead to a scenario where none the {</w:t>
      </w:r>
      <w:r w:rsidRPr="00F50C4F">
        <w:t>SSB occasions in SMTC window or CSI-RS for L3 measurement</w:t>
      </w:r>
      <w:r>
        <w:t xml:space="preserve">} </w:t>
      </w:r>
      <w:r w:rsidRPr="00F50C4F">
        <w:t>or {SSB occasions or CSI-RS for L1 measurement}</w:t>
      </w:r>
      <w:r>
        <w:t xml:space="preserve"> are available for measurement in the serving cells.</w:t>
      </w:r>
      <w:bookmarkEnd w:id="10"/>
    </w:p>
    <w:p w14:paraId="1F5B8F20" w14:textId="77777777" w:rsidR="005E53F2" w:rsidRDefault="005E53F2" w:rsidP="005E53F2">
      <w:pPr>
        <w:pStyle w:val="RAN4proposal"/>
        <w:numPr>
          <w:ilvl w:val="0"/>
          <w:numId w:val="0"/>
        </w:numPr>
      </w:pPr>
    </w:p>
    <w:p w14:paraId="4B946A97" w14:textId="4AF9C525" w:rsidR="00D8675D" w:rsidRPr="00D8675D" w:rsidRDefault="00D8675D" w:rsidP="00D8675D">
      <w:pPr>
        <w:pStyle w:val="RAN4proposal"/>
      </w:pPr>
      <w:bookmarkStart w:id="11" w:name="_Toc206152812"/>
      <w:r>
        <w:t>F</w:t>
      </w:r>
      <w:r w:rsidRPr="00D8675D">
        <w:t xml:space="preserve">or gap-less based L3 measurement and L1 measurement of a serving cell which can be either FDD </w:t>
      </w:r>
      <w:proofErr w:type="spellStart"/>
      <w:r w:rsidR="00CF233A">
        <w:t>PCell</w:t>
      </w:r>
      <w:proofErr w:type="spellEnd"/>
      <w:r w:rsidRPr="00D8675D">
        <w:t xml:space="preserve"> or activated SDL </w:t>
      </w:r>
      <w:proofErr w:type="spellStart"/>
      <w:r w:rsidR="00CF233A">
        <w:t>SCell</w:t>
      </w:r>
      <w:proofErr w:type="spellEnd"/>
      <w:r w:rsidRPr="00D8675D">
        <w:t>:</w:t>
      </w:r>
      <w:bookmarkEnd w:id="11"/>
      <w:r w:rsidRPr="00D8675D">
        <w:t xml:space="preserve">  </w:t>
      </w:r>
    </w:p>
    <w:p w14:paraId="17C9F8BA" w14:textId="49D5871C" w:rsidR="00D8675D" w:rsidRPr="00D8675D" w:rsidRDefault="00D8675D" w:rsidP="00D8675D">
      <w:pPr>
        <w:pStyle w:val="RAN4proposal"/>
        <w:numPr>
          <w:ilvl w:val="1"/>
          <w:numId w:val="7"/>
        </w:numPr>
      </w:pPr>
      <w:bookmarkStart w:id="12" w:name="_Toc206152813"/>
      <w:r w:rsidRPr="00D8675D">
        <w:t>If all {the SSB occasions</w:t>
      </w:r>
      <w:r w:rsidRPr="00D8675D">
        <w:rPr>
          <w:rFonts w:hint="eastAsia"/>
        </w:rPr>
        <w:t xml:space="preserve"> </w:t>
      </w:r>
      <w:r w:rsidRPr="00D8675D">
        <w:t xml:space="preserve">in SMTC window or CSI-RS </w:t>
      </w:r>
      <w:r w:rsidRPr="00D8675D">
        <w:rPr>
          <w:rFonts w:hint="eastAsia"/>
        </w:rPr>
        <w:t>for</w:t>
      </w:r>
      <w:r w:rsidRPr="00D8675D">
        <w:t xml:space="preserve"> L3 measurement} or {SSB occasions or CSI-RS for L1 measurement} are available based on the LB-CA switching pattern, no delay extension is allowed</w:t>
      </w:r>
      <w:bookmarkEnd w:id="12"/>
    </w:p>
    <w:p w14:paraId="3A57B131" w14:textId="382BA9E7" w:rsidR="00D8675D" w:rsidRPr="00D8675D" w:rsidRDefault="00D8675D" w:rsidP="007A6757">
      <w:pPr>
        <w:pStyle w:val="RAN4proposal"/>
        <w:numPr>
          <w:ilvl w:val="1"/>
          <w:numId w:val="7"/>
        </w:numPr>
      </w:pPr>
      <w:bookmarkStart w:id="13" w:name="_Toc206152814"/>
      <w:r w:rsidRPr="00D8675D">
        <w:t>If a fraction of {the SSB occasions</w:t>
      </w:r>
      <w:r w:rsidRPr="00D8675D">
        <w:rPr>
          <w:rFonts w:hint="eastAsia"/>
        </w:rPr>
        <w:t xml:space="preserve"> </w:t>
      </w:r>
      <w:r w:rsidRPr="00D8675D">
        <w:t xml:space="preserve">in SMTC window or CSI-RS </w:t>
      </w:r>
      <w:r w:rsidRPr="00D8675D">
        <w:rPr>
          <w:rFonts w:hint="eastAsia"/>
        </w:rPr>
        <w:t>for</w:t>
      </w:r>
      <w:r w:rsidRPr="00D8675D">
        <w:t xml:space="preserve"> L3 measurement} or {SSB occasions or CSI-RS for L1 measurement} are not available based on the LB-CA switching pattern, the delay is scaled in accordance </w:t>
      </w:r>
      <w:proofErr w:type="gramStart"/>
      <w:r w:rsidRPr="00D8675D">
        <w:t>to</w:t>
      </w:r>
      <w:proofErr w:type="gramEnd"/>
      <w:r w:rsidRPr="00D8675D">
        <w:t xml:space="preserve"> the fraction of available occasions.</w:t>
      </w:r>
      <w:bookmarkEnd w:id="13"/>
    </w:p>
    <w:p w14:paraId="5135726D" w14:textId="7E21CB85" w:rsidR="00D8675D" w:rsidRPr="00D8675D" w:rsidRDefault="00D8675D" w:rsidP="007A6757">
      <w:pPr>
        <w:pStyle w:val="RAN4proposal"/>
        <w:numPr>
          <w:ilvl w:val="1"/>
          <w:numId w:val="7"/>
        </w:numPr>
      </w:pPr>
      <w:bookmarkStart w:id="14" w:name="_Toc206152815"/>
      <w:r w:rsidRPr="00D8675D">
        <w:t>If no {SSB occasions</w:t>
      </w:r>
      <w:r w:rsidRPr="00D8675D">
        <w:rPr>
          <w:rFonts w:hint="eastAsia"/>
        </w:rPr>
        <w:t xml:space="preserve"> </w:t>
      </w:r>
      <w:r w:rsidRPr="00D8675D">
        <w:t xml:space="preserve">in SMTC window or CSI-RS </w:t>
      </w:r>
      <w:r w:rsidRPr="00D8675D">
        <w:rPr>
          <w:rFonts w:hint="eastAsia"/>
        </w:rPr>
        <w:t>for</w:t>
      </w:r>
      <w:r w:rsidRPr="00D8675D">
        <w:t xml:space="preserve"> L3 measurement} or {SSB occasions or CSI-RS for L1 measurement} are available based on the LB-CA switching pattern, the corresponding requirements do not apply.</w:t>
      </w:r>
      <w:bookmarkEnd w:id="14"/>
    </w:p>
    <w:p w14:paraId="0435B483" w14:textId="77777777" w:rsidR="00694C2F" w:rsidRDefault="00694C2F" w:rsidP="00694C2F"/>
    <w:p w14:paraId="1B5AC9DA" w14:textId="4F3150C7" w:rsidR="00694C2F" w:rsidRPr="00694C2F" w:rsidRDefault="00694C2F" w:rsidP="00694C2F">
      <w:pPr>
        <w:pStyle w:val="RAN4H2"/>
      </w:pPr>
      <w:r>
        <w:t>Interruption requirements</w:t>
      </w:r>
    </w:p>
    <w:p w14:paraId="3289C1DB" w14:textId="2DD05A29" w:rsidR="00A56D36" w:rsidRDefault="00A56D36" w:rsidP="00A56D36">
      <w:r>
        <w:t xml:space="preserve">In the last RAN4 meeting, </w:t>
      </w:r>
      <w:r w:rsidR="00DB0B4E">
        <w:t>interruption requirements when more than two carriers are considered were discussed without a conclusion under issue 1-2-2:</w:t>
      </w:r>
    </w:p>
    <w:tbl>
      <w:tblPr>
        <w:tblStyle w:val="TableGrid"/>
        <w:tblW w:w="0" w:type="auto"/>
        <w:tblLook w:val="04A0" w:firstRow="1" w:lastRow="0" w:firstColumn="1" w:lastColumn="0" w:noHBand="0" w:noVBand="1"/>
      </w:tblPr>
      <w:tblGrid>
        <w:gridCol w:w="9617"/>
      </w:tblGrid>
      <w:tr w:rsidR="00A56D36" w14:paraId="103C6AE1" w14:textId="77777777">
        <w:tc>
          <w:tcPr>
            <w:tcW w:w="9617" w:type="dxa"/>
          </w:tcPr>
          <w:p w14:paraId="7F5D6503" w14:textId="7FD1B349" w:rsidR="00A56D36" w:rsidRPr="00DB0B4E" w:rsidRDefault="00A56D36" w:rsidP="00DB0B4E">
            <w:pPr>
              <w:rPr>
                <w:b/>
                <w:color w:val="0070C0"/>
                <w:u w:val="single"/>
                <w:lang w:eastAsia="ko-KR"/>
              </w:rPr>
            </w:pPr>
            <w:r w:rsidRPr="004F44CD">
              <w:rPr>
                <w:b/>
                <w:color w:val="0070C0"/>
                <w:u w:val="single"/>
                <w:lang w:eastAsia="ko-KR"/>
              </w:rPr>
              <w:t>Issue 1-2-2: Necessity of interruption requirement in RRM when more carriers are considered</w:t>
            </w:r>
          </w:p>
          <w:p w14:paraId="761EA211" w14:textId="69BA70A1" w:rsidR="00A56D36" w:rsidRPr="00DB0B4E" w:rsidRDefault="00A56D36" w:rsidP="008A285A">
            <w:pPr>
              <w:spacing w:after="120"/>
              <w:rPr>
                <w:rFonts w:eastAsia="SimSun"/>
                <w:bCs/>
              </w:rPr>
            </w:pPr>
            <w:r w:rsidRPr="004F44CD">
              <w:rPr>
                <w:rFonts w:eastAsia="SimSun"/>
                <w:bCs/>
              </w:rPr>
              <w:t>[</w:t>
            </w:r>
            <w:proofErr w:type="spellStart"/>
            <w:r w:rsidRPr="004F44CD">
              <w:rPr>
                <w:rFonts w:eastAsia="SimSun"/>
                <w:bCs/>
              </w:rPr>
              <w:t>Wayforward</w:t>
            </w:r>
            <w:proofErr w:type="spellEnd"/>
            <w:r w:rsidRPr="004F44CD">
              <w:rPr>
                <w:rFonts w:eastAsia="SimSun"/>
                <w:bCs/>
              </w:rPr>
              <w:t xml:space="preserve">]: FFS: options in topic summary </w:t>
            </w:r>
            <w:r w:rsidRPr="004F44CD">
              <w:rPr>
                <w:rFonts w:cs="Arial"/>
              </w:rPr>
              <w:t>R4-2505556</w:t>
            </w:r>
            <w:r w:rsidRPr="004F44CD">
              <w:rPr>
                <w:rFonts w:eastAsia="SimSun"/>
                <w:bCs/>
              </w:rPr>
              <w:t>.</w:t>
            </w:r>
          </w:p>
        </w:tc>
      </w:tr>
    </w:tbl>
    <w:p w14:paraId="78DCE139" w14:textId="77777777" w:rsidR="00A56D36" w:rsidRDefault="00A56D36" w:rsidP="00A56D36"/>
    <w:p w14:paraId="1456434A" w14:textId="77777777" w:rsidR="00B31336" w:rsidRPr="00125C4B" w:rsidRDefault="00B31336" w:rsidP="00B31336">
      <w:r w:rsidRPr="00125C4B">
        <w:t>In RAN4 #114, RF agreed that there may be a third carrier combined with 2 low band carriers, which not to be used with a switching pattern.</w:t>
      </w:r>
    </w:p>
    <w:tbl>
      <w:tblPr>
        <w:tblStyle w:val="TableGrid"/>
        <w:tblW w:w="0" w:type="auto"/>
        <w:tblLook w:val="04A0" w:firstRow="1" w:lastRow="0" w:firstColumn="1" w:lastColumn="0" w:noHBand="0" w:noVBand="1"/>
      </w:tblPr>
      <w:tblGrid>
        <w:gridCol w:w="9617"/>
      </w:tblGrid>
      <w:tr w:rsidR="00B31336" w:rsidRPr="00125C4B" w14:paraId="71699C41" w14:textId="77777777">
        <w:tc>
          <w:tcPr>
            <w:tcW w:w="9617" w:type="dxa"/>
          </w:tcPr>
          <w:p w14:paraId="4C603969" w14:textId="77777777" w:rsidR="00B31336" w:rsidRPr="00125C4B" w:rsidRDefault="00B31336">
            <w:pPr>
              <w:pStyle w:val="NormalWeb"/>
              <w:spacing w:before="0" w:beforeAutospacing="0" w:after="0" w:afterAutospacing="0"/>
              <w:rPr>
                <w:sz w:val="20"/>
                <w:szCs w:val="20"/>
                <w:lang w:val="en-GB"/>
              </w:rPr>
            </w:pPr>
            <w:r w:rsidRPr="00125C4B">
              <w:rPr>
                <w:b/>
                <w:bCs/>
                <w:sz w:val="20"/>
                <w:szCs w:val="20"/>
                <w:lang w:val="en-GB"/>
              </w:rPr>
              <w:t>Issue 1: Scope clarification</w:t>
            </w:r>
          </w:p>
          <w:p w14:paraId="22874E95" w14:textId="77777777" w:rsidR="00B31336" w:rsidRPr="00125C4B" w:rsidRDefault="00B31336">
            <w:pPr>
              <w:pStyle w:val="NormalWeb"/>
              <w:spacing w:before="0" w:beforeAutospacing="0" w:after="0" w:afterAutospacing="0"/>
              <w:rPr>
                <w:sz w:val="20"/>
                <w:szCs w:val="20"/>
                <w:lang w:val="en-GB"/>
              </w:rPr>
            </w:pPr>
            <w:r w:rsidRPr="00125C4B">
              <w:rPr>
                <w:sz w:val="20"/>
                <w:szCs w:val="20"/>
                <w:lang w:val="en-GB"/>
              </w:rPr>
              <w:t>-    Specify the switching period(s) based on the scenario with the switching between two low bands in Rel-19 WI</w:t>
            </w:r>
          </w:p>
          <w:p w14:paraId="3BDE7103" w14:textId="77777777" w:rsidR="00B31336" w:rsidRPr="00125C4B" w:rsidRDefault="00B31336">
            <w:pPr>
              <w:pStyle w:val="NormalWeb"/>
              <w:spacing w:before="0" w:beforeAutospacing="0" w:after="0" w:afterAutospacing="0"/>
              <w:ind w:left="540"/>
              <w:rPr>
                <w:sz w:val="20"/>
                <w:szCs w:val="20"/>
                <w:lang w:val="en-GB"/>
              </w:rPr>
            </w:pPr>
            <w:r w:rsidRPr="00125C4B">
              <w:rPr>
                <w:sz w:val="20"/>
                <w:szCs w:val="20"/>
                <w:lang w:val="en-GB"/>
              </w:rPr>
              <w:t>-    It is not precluded that such two low bands are further combined with the additional band</w:t>
            </w:r>
          </w:p>
          <w:p w14:paraId="5FA2537C" w14:textId="77777777" w:rsidR="00B31336" w:rsidRPr="00125C4B" w:rsidRDefault="00B31336">
            <w:pPr>
              <w:pStyle w:val="NormalWeb"/>
              <w:spacing w:before="0" w:beforeAutospacing="0" w:after="0" w:afterAutospacing="0"/>
              <w:ind w:left="540"/>
              <w:rPr>
                <w:sz w:val="20"/>
                <w:szCs w:val="20"/>
                <w:lang w:val="en-GB"/>
              </w:rPr>
            </w:pPr>
            <w:r w:rsidRPr="00125C4B">
              <w:rPr>
                <w:sz w:val="20"/>
                <w:szCs w:val="20"/>
                <w:lang w:val="en-GB"/>
              </w:rPr>
              <w:t>-    The combination of those two low bands with other band can be further discussed in the future release</w:t>
            </w:r>
          </w:p>
        </w:tc>
      </w:tr>
    </w:tbl>
    <w:p w14:paraId="7B9C4C24" w14:textId="77777777" w:rsidR="00B31336" w:rsidRPr="00125C4B" w:rsidRDefault="00B31336" w:rsidP="00B31336"/>
    <w:p w14:paraId="3621FBE3" w14:textId="3988B973" w:rsidR="00B31336" w:rsidRPr="00125C4B" w:rsidRDefault="00B31336" w:rsidP="00B31336">
      <w:r w:rsidRPr="00125C4B">
        <w:t>Considering the RF agreement, it is not precluded that additional carriers can be combined with the LBCA-</w:t>
      </w:r>
      <w:proofErr w:type="spellStart"/>
      <w:r w:rsidRPr="00125C4B">
        <w:t>sw</w:t>
      </w:r>
      <w:proofErr w:type="spellEnd"/>
      <w:r>
        <w:t>, although the scenario to be specified in the ongoing Rel-19 work item only considers two band</w:t>
      </w:r>
      <w:r w:rsidRPr="00125C4B">
        <w:t xml:space="preserve">. In this scenario, we have 3 </w:t>
      </w:r>
      <w:r>
        <w:t>band</w:t>
      </w:r>
      <w:r w:rsidR="002A655C">
        <w:t xml:space="preserve"> carriers</w:t>
      </w:r>
      <w:r w:rsidRPr="00125C4B">
        <w:t xml:space="preserve">, 2 low band carriers which operate with carrier switching, and another </w:t>
      </w:r>
      <w:r>
        <w:t xml:space="preserve">band </w:t>
      </w:r>
      <w:r w:rsidRPr="00125C4B">
        <w:t xml:space="preserve">that does not need carrier </w:t>
      </w:r>
      <w:r w:rsidRPr="00125C4B">
        <w:lastRenderedPageBreak/>
        <w:t xml:space="preserve">switching. </w:t>
      </w:r>
      <w:r w:rsidR="00D24FFF">
        <w:t xml:space="preserve">One of the first </w:t>
      </w:r>
      <w:r w:rsidR="001D14A5">
        <w:t xml:space="preserve">contributions proposing such combination can be found at </w:t>
      </w:r>
      <w:r w:rsidR="001D14A5">
        <w:fldChar w:fldCharType="begin"/>
      </w:r>
      <w:r w:rsidR="001D14A5">
        <w:instrText xml:space="preserve"> REF _Ref204330787 \r \h </w:instrText>
      </w:r>
      <w:r w:rsidR="001D14A5">
        <w:fldChar w:fldCharType="separate"/>
      </w:r>
      <w:r w:rsidR="001D14A5">
        <w:t>[2]</w:t>
      </w:r>
      <w:r w:rsidR="001D14A5">
        <w:fldChar w:fldCharType="end"/>
      </w:r>
      <w:r w:rsidR="001D14A5">
        <w:t xml:space="preserve">. </w:t>
      </w:r>
      <w:r w:rsidRPr="00125C4B">
        <w:t>If this is allowed by RF and UE capabilities, we need do discuss from RRM perspective whether the 3</w:t>
      </w:r>
      <w:r w:rsidRPr="00125C4B">
        <w:rPr>
          <w:vertAlign w:val="superscript"/>
        </w:rPr>
        <w:t>rd</w:t>
      </w:r>
      <w:r w:rsidRPr="00125C4B">
        <w:t xml:space="preserve"> carrier may experience interruptions or not. </w:t>
      </w:r>
    </w:p>
    <w:p w14:paraId="50C90237" w14:textId="77777777" w:rsidR="00B31336" w:rsidRPr="00125C4B" w:rsidRDefault="00B31336" w:rsidP="00B31336">
      <w:pPr>
        <w:pStyle w:val="RAN4observation0"/>
      </w:pPr>
      <w:bookmarkStart w:id="15" w:name="_Toc194085101"/>
      <w:bookmarkStart w:id="16" w:name="_Toc197702515"/>
      <w:bookmarkStart w:id="17" w:name="_Toc206152816"/>
      <w:r w:rsidRPr="00125C4B">
        <w:t>RF has reached agreement that a scenario with 2 low bands operating with an additional band is not precluded.</w:t>
      </w:r>
      <w:bookmarkEnd w:id="15"/>
      <w:bookmarkEnd w:id="16"/>
      <w:bookmarkEnd w:id="17"/>
      <w:r w:rsidRPr="00125C4B">
        <w:t xml:space="preserve"> </w:t>
      </w:r>
    </w:p>
    <w:p w14:paraId="4A66CE26" w14:textId="77777777" w:rsidR="00B31336" w:rsidRPr="00125C4B" w:rsidRDefault="00B31336" w:rsidP="00B31336">
      <w:pPr>
        <w:pStyle w:val="RAN4observation0"/>
      </w:pPr>
      <w:bookmarkStart w:id="18" w:name="_Toc194085102"/>
      <w:bookmarkStart w:id="19" w:name="_Toc197702516"/>
      <w:bookmarkStart w:id="20" w:name="_Toc206152817"/>
      <w:r w:rsidRPr="00125C4B">
        <w:t>RAN4 to discuss the need for interruption requirements in the following scenario</w:t>
      </w:r>
      <w:bookmarkEnd w:id="18"/>
      <w:bookmarkEnd w:id="19"/>
      <w:bookmarkEnd w:id="20"/>
    </w:p>
    <w:p w14:paraId="64FF5D4C" w14:textId="77777777" w:rsidR="00B31336" w:rsidRPr="00125C4B" w:rsidRDefault="00B31336" w:rsidP="00B31336">
      <w:pPr>
        <w:pStyle w:val="RAN4observation0"/>
        <w:numPr>
          <w:ilvl w:val="1"/>
          <w:numId w:val="6"/>
        </w:numPr>
      </w:pPr>
      <w:bookmarkStart w:id="21" w:name="_Toc194085103"/>
      <w:bookmarkStart w:id="22" w:name="_Toc197702517"/>
      <w:bookmarkStart w:id="23" w:name="_Toc206152818"/>
      <w:r w:rsidRPr="00125C4B">
        <w:t>UE configured with 2 low band carriers operating with carrier switching, and a 3</w:t>
      </w:r>
      <w:r w:rsidRPr="00125C4B">
        <w:rPr>
          <w:vertAlign w:val="superscript"/>
        </w:rPr>
        <w:t>rd</w:t>
      </w:r>
      <w:r w:rsidRPr="00125C4B">
        <w:t xml:space="preserve"> band carrier operating without switching</w:t>
      </w:r>
      <w:bookmarkEnd w:id="21"/>
      <w:bookmarkEnd w:id="22"/>
      <w:bookmarkEnd w:id="23"/>
    </w:p>
    <w:p w14:paraId="72BA6ACC" w14:textId="0C5890F8" w:rsidR="00DB5D30" w:rsidRDefault="00B31336" w:rsidP="00B31336">
      <w:r w:rsidRPr="00125C4B">
        <w:t>Regarding the scenario above, allowing for interruptions could be very detrimental for performance of the 3</w:t>
      </w:r>
      <w:r w:rsidRPr="00125C4B">
        <w:rPr>
          <w:vertAlign w:val="superscript"/>
        </w:rPr>
        <w:t>rd</w:t>
      </w:r>
      <w:r w:rsidRPr="00125C4B">
        <w:t xml:space="preserve"> band. In L3 measurements, RAN4 has specified interruption requirements for measurements without gaps, and those interruptions can be controlled by the network by configuring the SMTC periodicity, e.g. 40, 80, 160 </w:t>
      </w:r>
      <w:proofErr w:type="spellStart"/>
      <w:r w:rsidRPr="00125C4B">
        <w:t>ms</w:t>
      </w:r>
      <w:proofErr w:type="spellEnd"/>
      <w:r w:rsidRPr="00125C4B">
        <w:t xml:space="preserve">. </w:t>
      </w:r>
      <w:r w:rsidR="00D4467E">
        <w:t>Therefore, the interruptions for L3 measur</w:t>
      </w:r>
      <w:r w:rsidR="003C23FE">
        <w:t>ements can be kep</w:t>
      </w:r>
      <w:r w:rsidR="009F5418">
        <w:t>t</w:t>
      </w:r>
      <w:r w:rsidR="003C23FE">
        <w:t xml:space="preserve"> at low levels. On the other hand, i</w:t>
      </w:r>
      <w:r w:rsidR="003C23FE" w:rsidRPr="00125C4B">
        <w:t xml:space="preserve">n </w:t>
      </w:r>
      <w:r w:rsidRPr="00125C4B">
        <w:t>the case of LBCA-</w:t>
      </w:r>
      <w:proofErr w:type="spellStart"/>
      <w:r w:rsidRPr="00125C4B">
        <w:t>sw</w:t>
      </w:r>
      <w:proofErr w:type="spellEnd"/>
      <w:r w:rsidRPr="00125C4B">
        <w:t xml:space="preserve"> the situation is different. If the UE architecture is such that it causes interruptions on the 3</w:t>
      </w:r>
      <w:r w:rsidRPr="00125C4B">
        <w:rPr>
          <w:vertAlign w:val="superscript"/>
        </w:rPr>
        <w:t>rd</w:t>
      </w:r>
      <w:r w:rsidRPr="00125C4B">
        <w:t xml:space="preserve"> carrier every time it switches between FDD and SDL carrier, the interruption overhead would be very high for the 3</w:t>
      </w:r>
      <w:r w:rsidRPr="00125C4B">
        <w:rPr>
          <w:vertAlign w:val="superscript"/>
        </w:rPr>
        <w:t>rd</w:t>
      </w:r>
      <w:r w:rsidRPr="00125C4B">
        <w:t xml:space="preserve"> carrier</w:t>
      </w:r>
      <w:r w:rsidR="00617B38">
        <w:t>, and that would be much more often than the SMTC periodicity</w:t>
      </w:r>
      <w:r w:rsidRPr="00125C4B">
        <w:t>.</w:t>
      </w:r>
    </w:p>
    <w:p w14:paraId="541D525B" w14:textId="27CE6773" w:rsidR="002048C7" w:rsidRDefault="00DB5D30" w:rsidP="00B31336">
      <w:r>
        <w:t>T</w:t>
      </w:r>
      <w:r w:rsidR="00B31336" w:rsidRPr="00125C4B">
        <w:t>he RAN1 design of the carrier switching pattern</w:t>
      </w:r>
      <w:r>
        <w:t xml:space="preserve"> is </w:t>
      </w:r>
      <w:r w:rsidR="00A57D7A">
        <w:t>flexible to allow flexible configuration</w:t>
      </w:r>
      <w:r w:rsidR="00B31336" w:rsidRPr="00125C4B">
        <w:t>, but</w:t>
      </w:r>
      <w:r w:rsidR="00A57D7A">
        <w:t xml:space="preserve"> some practical considerations </w:t>
      </w:r>
      <w:proofErr w:type="gramStart"/>
      <w:r w:rsidR="00A57D7A">
        <w:t>have to</w:t>
      </w:r>
      <w:proofErr w:type="gramEnd"/>
      <w:r w:rsidR="00A57D7A">
        <w:t xml:space="preserve"> be </w:t>
      </w:r>
      <w:proofErr w:type="gramStart"/>
      <w:r w:rsidR="00A57D7A">
        <w:t>taken into account</w:t>
      </w:r>
      <w:proofErr w:type="gramEnd"/>
      <w:r w:rsidR="00A57D7A">
        <w:t xml:space="preserve"> when configuring the LBCA-</w:t>
      </w:r>
      <w:proofErr w:type="spellStart"/>
      <w:r w:rsidR="00A57D7A">
        <w:t>sw</w:t>
      </w:r>
      <w:proofErr w:type="spellEnd"/>
      <w:r w:rsidR="00A57D7A">
        <w:t xml:space="preserve"> pattern. For example, </w:t>
      </w:r>
      <w:r w:rsidR="00F9690A">
        <w:t xml:space="preserve">the UE can only be </w:t>
      </w:r>
      <w:r w:rsidR="002E52ED">
        <w:t>configured</w:t>
      </w:r>
      <w:r w:rsidR="00F9690A">
        <w:t xml:space="preserve"> to stay in the SDL for a limited number of </w:t>
      </w:r>
      <w:r w:rsidR="002E52ED">
        <w:t xml:space="preserve">consecutive </w:t>
      </w:r>
      <w:r w:rsidR="00F9690A">
        <w:t xml:space="preserve">slots, otherwise there will </w:t>
      </w:r>
      <w:r w:rsidR="00A9681F">
        <w:t xml:space="preserve">not </w:t>
      </w:r>
      <w:r w:rsidR="00F9690A">
        <w:t xml:space="preserve">be opportunity for the UE to </w:t>
      </w:r>
      <w:r w:rsidR="00B419A4">
        <w:t xml:space="preserve">acknowledge PDSCH or send other UL signals. Therefore, </w:t>
      </w:r>
      <w:r w:rsidR="00B31336" w:rsidRPr="00125C4B">
        <w:t xml:space="preserve">it can be assumed that it needs much more frequent switching than what is used for L3 measurements. </w:t>
      </w:r>
    </w:p>
    <w:p w14:paraId="52D6777E" w14:textId="7C3E28DA" w:rsidR="000C3B5B" w:rsidRDefault="008C19C2" w:rsidP="00B31336">
      <w:r>
        <w:fldChar w:fldCharType="begin"/>
      </w:r>
      <w:r>
        <w:instrText xml:space="preserve"> REF _Ref204330823 \h </w:instrText>
      </w:r>
      <w:r>
        <w:fldChar w:fldCharType="separate"/>
      </w:r>
      <w:r>
        <w:t xml:space="preserve">Figure </w:t>
      </w:r>
      <w:r>
        <w:rPr>
          <w:noProof/>
        </w:rPr>
        <w:t>1</w:t>
      </w:r>
      <w:r>
        <w:fldChar w:fldCharType="end"/>
      </w:r>
      <w:r w:rsidR="00FE04B5">
        <w:t xml:space="preserve"> </w:t>
      </w:r>
      <w:r>
        <w:t>shows one example of LBCA</w:t>
      </w:r>
      <w:r>
        <w:rPr>
          <w:lang w:val="en-US"/>
        </w:rPr>
        <w:t>-</w:t>
      </w:r>
      <w:proofErr w:type="spellStart"/>
      <w:r>
        <w:t>sw</w:t>
      </w:r>
      <w:proofErr w:type="spellEnd"/>
      <w:r>
        <w:t xml:space="preserve"> configuration, and the impact of </w:t>
      </w:r>
      <w:r w:rsidR="000C3B5B">
        <w:t>1 slot interruptions on the 3</w:t>
      </w:r>
      <w:r w:rsidR="000C3B5B" w:rsidRPr="000C3B5B">
        <w:rPr>
          <w:vertAlign w:val="superscript"/>
        </w:rPr>
        <w:t>rd</w:t>
      </w:r>
      <w:r w:rsidR="000C3B5B">
        <w:t xml:space="preserve"> band. As it can be noticed, in this configuration</w:t>
      </w:r>
      <w:r w:rsidR="00063F4A">
        <w:t xml:space="preserve">, if 1 slot </w:t>
      </w:r>
      <w:proofErr w:type="gramStart"/>
      <w:r w:rsidR="00063F4A">
        <w:t>is considered to be</w:t>
      </w:r>
      <w:proofErr w:type="gramEnd"/>
      <w:r w:rsidR="00063F4A">
        <w:t xml:space="preserve"> interrupted at every FDD/SDL transition, there are 14 slots interrupted from 40 slots in the pattern. That results in </w:t>
      </w:r>
      <w:r w:rsidR="00DC7D92">
        <w:t xml:space="preserve">35% interruption ratio. </w:t>
      </w:r>
    </w:p>
    <w:p w14:paraId="3B45A4C4" w14:textId="57D3B130" w:rsidR="00DC7D92" w:rsidRDefault="00DC7D92" w:rsidP="00B31336">
      <w:r>
        <w:t xml:space="preserve">If we take the proposal in </w:t>
      </w:r>
      <w:r w:rsidR="00FF50BC" w:rsidRPr="00FF50BC">
        <w:t>R4-2506739</w:t>
      </w:r>
      <w:r w:rsidR="00FF50BC">
        <w:t xml:space="preserve"> </w:t>
      </w:r>
      <w:r w:rsidR="00372F1D">
        <w:fldChar w:fldCharType="begin"/>
      </w:r>
      <w:r w:rsidR="00372F1D">
        <w:instrText xml:space="preserve"> REF _Ref204331367 \r \h </w:instrText>
      </w:r>
      <w:r w:rsidR="00372F1D">
        <w:fldChar w:fldCharType="separate"/>
      </w:r>
      <w:r w:rsidR="00372F1D">
        <w:t>[3]</w:t>
      </w:r>
      <w:r w:rsidR="00372F1D">
        <w:fldChar w:fldCharType="end"/>
      </w:r>
      <w:r w:rsidR="00372F1D">
        <w:t>, the resulting interruption is of 2 slots for every FDD/SDL transition</w:t>
      </w:r>
      <w:r w:rsidR="00A60B55">
        <w:t xml:space="preserve"> if the 3</w:t>
      </w:r>
      <w:r w:rsidR="00A60B55" w:rsidRPr="00A60B55">
        <w:rPr>
          <w:vertAlign w:val="superscript"/>
        </w:rPr>
        <w:t>rd</w:t>
      </w:r>
      <w:r w:rsidR="00A60B55">
        <w:t xml:space="preserve"> band also uses 15 kHz SCS</w:t>
      </w:r>
      <w:r w:rsidR="00372F1D">
        <w:t>. In that case</w:t>
      </w:r>
      <w:r w:rsidR="00A60B55">
        <w:t xml:space="preserve"> the interruption ratio would increase to 70%</w:t>
      </w:r>
      <w:r w:rsidR="00FE04B5">
        <w:t xml:space="preserve"> in the scenario of </w:t>
      </w:r>
      <w:r w:rsidR="00FE04B5">
        <w:fldChar w:fldCharType="begin"/>
      </w:r>
      <w:r w:rsidR="00FE04B5">
        <w:instrText xml:space="preserve"> REF _Ref204330823 \h </w:instrText>
      </w:r>
      <w:r w:rsidR="00FE04B5">
        <w:fldChar w:fldCharType="separate"/>
      </w:r>
      <w:r w:rsidR="00FE04B5">
        <w:t xml:space="preserve">Figure </w:t>
      </w:r>
      <w:r w:rsidR="00FE04B5">
        <w:rPr>
          <w:noProof/>
        </w:rPr>
        <w:t>1</w:t>
      </w:r>
      <w:r w:rsidR="00FE04B5">
        <w:fldChar w:fldCharType="end"/>
      </w:r>
      <w:r w:rsidR="00FE04B5">
        <w:t xml:space="preserve">. </w:t>
      </w:r>
    </w:p>
    <w:p w14:paraId="391B0B02" w14:textId="3C6A5AF9" w:rsidR="00FE04B5" w:rsidRDefault="00FE04B5" w:rsidP="00FE04B5">
      <w:pPr>
        <w:pStyle w:val="RAN4observation0"/>
      </w:pPr>
      <w:bookmarkStart w:id="24" w:name="_Toc206152819"/>
      <w:r>
        <w:t xml:space="preserve">Proposals on the interruption </w:t>
      </w:r>
      <w:r w:rsidR="0035000D">
        <w:t>length on a 3</w:t>
      </w:r>
      <w:r w:rsidR="0035000D" w:rsidRPr="0035000D">
        <w:rPr>
          <w:vertAlign w:val="superscript"/>
        </w:rPr>
        <w:t>rd</w:t>
      </w:r>
      <w:r w:rsidR="0035000D">
        <w:t xml:space="preserve"> band without LBCA-switching could result in </w:t>
      </w:r>
      <w:r w:rsidR="00973FAC">
        <w:t xml:space="preserve">30% to </w:t>
      </w:r>
      <w:r w:rsidR="0035000D">
        <w:t>70% interruption ratio.</w:t>
      </w:r>
      <w:bookmarkEnd w:id="24"/>
      <w:r w:rsidR="0035000D">
        <w:t xml:space="preserve"> </w:t>
      </w:r>
    </w:p>
    <w:p w14:paraId="33AB101D" w14:textId="4AA8A9BA" w:rsidR="00B31336" w:rsidRDefault="00B31336" w:rsidP="00B31336"/>
    <w:p w14:paraId="289AEF59" w14:textId="1BE870BE" w:rsidR="002048C7" w:rsidRDefault="00A85F3F" w:rsidP="002048C7">
      <w:pPr>
        <w:keepNext/>
      </w:pPr>
      <w:r w:rsidRPr="00A85F3F">
        <w:rPr>
          <w:noProof/>
        </w:rPr>
        <w:drawing>
          <wp:inline distT="0" distB="0" distL="0" distR="0" wp14:anchorId="7C1803ED" wp14:editId="58E13C7C">
            <wp:extent cx="6113145" cy="1385570"/>
            <wp:effectExtent l="0" t="0" r="1905" b="5080"/>
            <wp:docPr id="579293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145" cy="1385570"/>
                    </a:xfrm>
                    <a:prstGeom prst="rect">
                      <a:avLst/>
                    </a:prstGeom>
                    <a:noFill/>
                    <a:ln>
                      <a:noFill/>
                    </a:ln>
                  </pic:spPr>
                </pic:pic>
              </a:graphicData>
            </a:graphic>
          </wp:inline>
        </w:drawing>
      </w:r>
    </w:p>
    <w:p w14:paraId="69E3AC05" w14:textId="1F176C53" w:rsidR="002048C7" w:rsidRPr="00325FD0" w:rsidRDefault="002048C7" w:rsidP="002048C7">
      <w:pPr>
        <w:pStyle w:val="Caption"/>
        <w:jc w:val="left"/>
        <w:rPr>
          <w:lang w:val="en-US"/>
        </w:rPr>
      </w:pPr>
      <w:bookmarkStart w:id="25" w:name="_Ref204330823"/>
      <w:r>
        <w:t xml:space="preserve">Figure </w:t>
      </w:r>
      <w:r>
        <w:fldChar w:fldCharType="begin"/>
      </w:r>
      <w:r>
        <w:instrText xml:space="preserve"> SEQ Figure \* ARABIC </w:instrText>
      </w:r>
      <w:r>
        <w:fldChar w:fldCharType="separate"/>
      </w:r>
      <w:r>
        <w:rPr>
          <w:noProof/>
        </w:rPr>
        <w:t>1</w:t>
      </w:r>
      <w:r>
        <w:fldChar w:fldCharType="end"/>
      </w:r>
      <w:bookmarkEnd w:id="25"/>
      <w:r>
        <w:t xml:space="preserve"> Example </w:t>
      </w:r>
      <w:r w:rsidR="00325FD0">
        <w:t xml:space="preserve">of </w:t>
      </w:r>
      <w:proofErr w:type="spellStart"/>
      <w:r w:rsidR="00325FD0">
        <w:t>LBCA+sw</w:t>
      </w:r>
      <w:proofErr w:type="spellEnd"/>
      <w:r w:rsidR="00325FD0">
        <w:t xml:space="preserve"> causing interruption on 3</w:t>
      </w:r>
      <w:r w:rsidR="00325FD0" w:rsidRPr="00325FD0">
        <w:rPr>
          <w:vertAlign w:val="superscript"/>
        </w:rPr>
        <w:t>rd</w:t>
      </w:r>
      <w:r w:rsidR="00325FD0">
        <w:t xml:space="preserve"> band without LBCA switching</w:t>
      </w:r>
      <w:r>
        <w:t xml:space="preserve"> </w:t>
      </w:r>
    </w:p>
    <w:p w14:paraId="03454BCA" w14:textId="31D029E9" w:rsidR="002048C7" w:rsidRPr="00125C4B" w:rsidRDefault="00CC21A3" w:rsidP="001E071D">
      <w:r>
        <w:t>As pointed out in our analysis, this issue is very important</w:t>
      </w:r>
      <w:r w:rsidR="006E69C2">
        <w:t xml:space="preserve"> because the interruption ratio could potentially be huge.</w:t>
      </w:r>
      <w:r w:rsidR="00946308">
        <w:t xml:space="preserve"> If the requirements are unclear in this case, the operation with a 3</w:t>
      </w:r>
      <w:r w:rsidR="00946308" w:rsidRPr="00946308">
        <w:rPr>
          <w:vertAlign w:val="superscript"/>
        </w:rPr>
        <w:t>rd</w:t>
      </w:r>
      <w:r w:rsidR="00946308">
        <w:t xml:space="preserve"> band would be </w:t>
      </w:r>
      <w:r w:rsidR="006A3A8A">
        <w:t xml:space="preserve">not feasible. At the same time, no requirements could mean that networks are not comfortable </w:t>
      </w:r>
      <w:r w:rsidR="001058E2">
        <w:t xml:space="preserve">in configuring such combinations. As a result, even if a UE doesn’t need interruption, it would not be able to benefit </w:t>
      </w:r>
      <w:r w:rsidR="00E7471B">
        <w:t>from the operation with a 3</w:t>
      </w:r>
      <w:r w:rsidR="00E7471B" w:rsidRPr="00E7471B">
        <w:rPr>
          <w:vertAlign w:val="superscript"/>
        </w:rPr>
        <w:t>rd</w:t>
      </w:r>
      <w:r w:rsidR="00E7471B">
        <w:t xml:space="preserve"> band. </w:t>
      </w:r>
    </w:p>
    <w:p w14:paraId="44960AC4" w14:textId="127328F3" w:rsidR="00B31336" w:rsidRPr="00125C4B" w:rsidRDefault="00B31336" w:rsidP="00B31336">
      <w:r w:rsidRPr="00125C4B">
        <w:t xml:space="preserve">Since this WID </w:t>
      </w:r>
      <w:r w:rsidR="001E071D">
        <w:t>is planned</w:t>
      </w:r>
      <w:r w:rsidRPr="00125C4B">
        <w:t xml:space="preserve"> conclude the work</w:t>
      </w:r>
      <w:r w:rsidR="001E071D">
        <w:t xml:space="preserve"> in RAN4 #116</w:t>
      </w:r>
      <w:r w:rsidRPr="00125C4B">
        <w:t>, we believe that the best approach is to consider only the cases without interruptions on the 3</w:t>
      </w:r>
      <w:r w:rsidRPr="00125C4B">
        <w:rPr>
          <w:vertAlign w:val="superscript"/>
        </w:rPr>
        <w:t>rd</w:t>
      </w:r>
      <w:r w:rsidRPr="00125C4B">
        <w:t xml:space="preserve"> carrier as part of this WID</w:t>
      </w:r>
      <w:r w:rsidR="001E071D">
        <w:t xml:space="preserve">, or to </w:t>
      </w:r>
      <w:r w:rsidR="00427904">
        <w:t>decide to define the requirements once 3 or more bands are defined.</w:t>
      </w:r>
      <w:r w:rsidRPr="00125C4B">
        <w:t xml:space="preserve"> </w:t>
      </w:r>
    </w:p>
    <w:p w14:paraId="21BFE05E" w14:textId="535A83F6" w:rsidR="00234A8D" w:rsidRDefault="00234A8D" w:rsidP="00B26750">
      <w:pPr>
        <w:pStyle w:val="RAN4proposal"/>
      </w:pPr>
      <w:bookmarkStart w:id="26" w:name="_Toc206152820"/>
      <w:r w:rsidRPr="00234A8D">
        <w:t>If band combos with 3 or more bands are included</w:t>
      </w:r>
      <w:r w:rsidR="00427904">
        <w:t xml:space="preserve"> where 2 bands use LBCA-</w:t>
      </w:r>
      <w:proofErr w:type="spellStart"/>
      <w:r w:rsidR="00427904">
        <w:t>sw</w:t>
      </w:r>
      <w:proofErr w:type="spellEnd"/>
      <w:r w:rsidRPr="00234A8D">
        <w:t>, RRM will discuss the</w:t>
      </w:r>
      <w:r w:rsidR="00BD0CD6">
        <w:t xml:space="preserve"> interruption</w:t>
      </w:r>
      <w:r w:rsidRPr="00234A8D">
        <w:t xml:space="preserve"> requirements</w:t>
      </w:r>
      <w:r w:rsidR="00B26750">
        <w:t>.</w:t>
      </w:r>
      <w:bookmarkEnd w:id="26"/>
      <w:r w:rsidR="00B26750">
        <w:t xml:space="preserve"> </w:t>
      </w:r>
    </w:p>
    <w:p w14:paraId="20828FBE" w14:textId="6F770BEA" w:rsidR="0077737F" w:rsidRPr="0077737F" w:rsidRDefault="002507C1" w:rsidP="008A285A">
      <w:pPr>
        <w:pStyle w:val="RAN4proposal"/>
      </w:pPr>
      <w:bookmarkStart w:id="27" w:name="_Toc206152821"/>
      <w:r>
        <w:t xml:space="preserve">Rel-19 </w:t>
      </w:r>
      <w:r w:rsidR="0077737F">
        <w:t>LBCA</w:t>
      </w:r>
      <w:r w:rsidR="00A65845">
        <w:t>-</w:t>
      </w:r>
      <w:proofErr w:type="spellStart"/>
      <w:r w:rsidR="00A65845">
        <w:t>sw</w:t>
      </w:r>
      <w:proofErr w:type="spellEnd"/>
      <w:r w:rsidR="00A65845">
        <w:t xml:space="preserve"> RRM</w:t>
      </w:r>
      <w:r w:rsidR="0077737F">
        <w:t xml:space="preserve"> requirements</w:t>
      </w:r>
      <w:r w:rsidR="00A65845">
        <w:t xml:space="preserve"> </w:t>
      </w:r>
      <w:r w:rsidR="000D547F">
        <w:t xml:space="preserve">do not </w:t>
      </w:r>
      <w:r w:rsidR="00A65845">
        <w:t xml:space="preserve">apply </w:t>
      </w:r>
      <w:r w:rsidR="000D547F">
        <w:t>if more than 2 cells are active simultaneously</w:t>
      </w:r>
      <w:r w:rsidR="000030C2">
        <w:t>.</w:t>
      </w:r>
      <w:bookmarkEnd w:id="27"/>
      <w:r w:rsidR="000030C2">
        <w:t xml:space="preserve"> </w:t>
      </w:r>
    </w:p>
    <w:p w14:paraId="2CABA32E" w14:textId="77777777" w:rsidR="00B26750" w:rsidRPr="00B26750" w:rsidRDefault="00B26750" w:rsidP="00B26750"/>
    <w:p w14:paraId="5289527E" w14:textId="72441EA1" w:rsidR="00A56D36" w:rsidRDefault="00693BE8" w:rsidP="00A05163">
      <w:pPr>
        <w:pStyle w:val="RAN4H2"/>
      </w:pPr>
      <w:r>
        <w:lastRenderedPageBreak/>
        <w:t xml:space="preserve">Impact on </w:t>
      </w:r>
      <w:proofErr w:type="spellStart"/>
      <w:r w:rsidR="00CF233A">
        <w:t>SCell</w:t>
      </w:r>
      <w:proofErr w:type="spellEnd"/>
      <w:r>
        <w:t xml:space="preserve"> requirements </w:t>
      </w:r>
    </w:p>
    <w:p w14:paraId="0A6B5BE6" w14:textId="09023EB2" w:rsidR="00091882" w:rsidRPr="008A1A80" w:rsidRDefault="00091882" w:rsidP="00091882">
      <w:pPr>
        <w:pStyle w:val="RAN4H3"/>
      </w:pPr>
      <w:r>
        <w:t xml:space="preserve">L3 measurements on activated SDL </w:t>
      </w:r>
      <w:proofErr w:type="spellStart"/>
      <w:r w:rsidR="00CF233A">
        <w:t>SCell</w:t>
      </w:r>
      <w:proofErr w:type="spellEnd"/>
    </w:p>
    <w:p w14:paraId="095CAE85" w14:textId="5DC016F8" w:rsidR="00A56D36" w:rsidRDefault="00A56D36" w:rsidP="00A56D36">
      <w:r>
        <w:t>In the last RAN4 meeting, the following was agreed/open</w:t>
      </w:r>
      <w:r w:rsidR="00205726">
        <w:t xml:space="preserve"> for activated SDL measurements</w:t>
      </w:r>
      <w:r>
        <w:t xml:space="preserve"> </w:t>
      </w:r>
      <w:r>
        <w:fldChar w:fldCharType="begin"/>
      </w:r>
      <w:r>
        <w:instrText xml:space="preserve"> REF _Ref204253168 \r \h </w:instrText>
      </w:r>
      <w:r>
        <w:fldChar w:fldCharType="separate"/>
      </w:r>
      <w:r>
        <w:t>[1]</w:t>
      </w:r>
      <w:r>
        <w:fldChar w:fldCharType="end"/>
      </w:r>
      <w:r w:rsidR="00205726">
        <w:t>:</w:t>
      </w:r>
    </w:p>
    <w:tbl>
      <w:tblPr>
        <w:tblStyle w:val="TableGrid"/>
        <w:tblW w:w="0" w:type="auto"/>
        <w:tblLook w:val="04A0" w:firstRow="1" w:lastRow="0" w:firstColumn="1" w:lastColumn="0" w:noHBand="0" w:noVBand="1"/>
      </w:tblPr>
      <w:tblGrid>
        <w:gridCol w:w="9617"/>
      </w:tblGrid>
      <w:tr w:rsidR="00A56D36" w14:paraId="0FEC3957" w14:textId="77777777">
        <w:tc>
          <w:tcPr>
            <w:tcW w:w="9617" w:type="dxa"/>
          </w:tcPr>
          <w:p w14:paraId="662F219D" w14:textId="305A2808" w:rsidR="00A56D36" w:rsidRPr="004F44CD" w:rsidRDefault="00A56D36">
            <w:pPr>
              <w:rPr>
                <w:b/>
                <w:color w:val="0070C0"/>
                <w:u w:val="single"/>
                <w:lang w:eastAsia="ko-KR"/>
              </w:rPr>
            </w:pPr>
            <w:r w:rsidRPr="004F44CD">
              <w:rPr>
                <w:b/>
                <w:color w:val="0070C0"/>
                <w:u w:val="single"/>
                <w:lang w:eastAsia="ko-KR"/>
              </w:rPr>
              <w:t xml:space="preserve">Issue 1-3-2:  Requirement design of activated SDL </w:t>
            </w:r>
            <w:proofErr w:type="spellStart"/>
            <w:r w:rsidR="00CF233A">
              <w:rPr>
                <w:b/>
                <w:color w:val="0070C0"/>
                <w:u w:val="single"/>
                <w:lang w:eastAsia="ko-KR"/>
              </w:rPr>
              <w:t>SCell</w:t>
            </w:r>
            <w:proofErr w:type="spellEnd"/>
            <w:r w:rsidRPr="004F44CD">
              <w:rPr>
                <w:b/>
                <w:color w:val="0070C0"/>
                <w:u w:val="single"/>
                <w:lang w:eastAsia="ko-KR"/>
              </w:rPr>
              <w:t xml:space="preserve"> L3 measurement </w:t>
            </w:r>
          </w:p>
          <w:p w14:paraId="392971F5" w14:textId="77777777" w:rsidR="00A56D36" w:rsidRPr="004F44CD" w:rsidRDefault="00A56D36">
            <w:pPr>
              <w:rPr>
                <w:b/>
                <w:color w:val="0070C0"/>
                <w:u w:val="single"/>
                <w:lang w:eastAsia="ko-KR"/>
              </w:rPr>
            </w:pPr>
          </w:p>
          <w:p w14:paraId="06058964" w14:textId="77777777" w:rsidR="00A56D36" w:rsidRPr="004F44CD" w:rsidRDefault="00A56D36">
            <w:pPr>
              <w:snapToGrid w:val="0"/>
              <w:spacing w:after="120"/>
            </w:pPr>
            <w:r w:rsidRPr="004F44CD">
              <w:t xml:space="preserve">Online </w:t>
            </w:r>
            <w:r w:rsidRPr="004F44CD">
              <w:rPr>
                <w:rFonts w:hint="eastAsia"/>
              </w:rPr>
              <w:t>A</w:t>
            </w:r>
            <w:r w:rsidRPr="004F44CD">
              <w:t>greement on Tuesday:</w:t>
            </w:r>
          </w:p>
          <w:p w14:paraId="1D747C73" w14:textId="7A088DBD" w:rsidR="00A56D36" w:rsidRPr="004F44CD" w:rsidRDefault="00A56D36">
            <w:pPr>
              <w:pStyle w:val="ListParagraph"/>
              <w:numPr>
                <w:ilvl w:val="0"/>
                <w:numId w:val="40"/>
              </w:numPr>
              <w:snapToGrid w:val="0"/>
              <w:spacing w:after="120"/>
              <w:ind w:left="936"/>
              <w:contextualSpacing w:val="0"/>
              <w:rPr>
                <w:rFonts w:eastAsia="SimSun"/>
              </w:rPr>
            </w:pPr>
            <w:r w:rsidRPr="004F44CD">
              <w:rPr>
                <w:rFonts w:eastAsia="SimSun"/>
              </w:rPr>
              <w:t xml:space="preserve">For activated SDL </w:t>
            </w:r>
            <w:proofErr w:type="spellStart"/>
            <w:r w:rsidR="00CF233A">
              <w:rPr>
                <w:rFonts w:eastAsia="SimSun"/>
              </w:rPr>
              <w:t>SCell</w:t>
            </w:r>
            <w:proofErr w:type="spellEnd"/>
            <w:r w:rsidRPr="004F44CD">
              <w:rPr>
                <w:rFonts w:eastAsia="SimSun"/>
              </w:rPr>
              <w:t xml:space="preserve"> measurement, UE performs the SDL </w:t>
            </w:r>
            <w:proofErr w:type="spellStart"/>
            <w:r w:rsidR="00CF233A">
              <w:rPr>
                <w:rFonts w:eastAsia="SimSun"/>
              </w:rPr>
              <w:t>SCell</w:t>
            </w:r>
            <w:proofErr w:type="spellEnd"/>
            <w:r w:rsidRPr="004F44CD">
              <w:rPr>
                <w:rFonts w:eastAsia="SimSun"/>
              </w:rPr>
              <w:t xml:space="preserve"> measurement on the overlapped occasions of SMTC window and SDL </w:t>
            </w:r>
            <w:proofErr w:type="spellStart"/>
            <w:r w:rsidR="00CF233A">
              <w:rPr>
                <w:rFonts w:eastAsia="SimSun"/>
              </w:rPr>
              <w:t>SCell</w:t>
            </w:r>
            <w:proofErr w:type="spellEnd"/>
            <w:r w:rsidRPr="004F44CD">
              <w:rPr>
                <w:rFonts w:eastAsia="SimSun"/>
              </w:rPr>
              <w:t xml:space="preserve"> reception duration indicated by switching pattern.</w:t>
            </w:r>
          </w:p>
          <w:p w14:paraId="18D70752" w14:textId="77777777" w:rsidR="00A56D36" w:rsidRPr="004F44CD" w:rsidRDefault="00A56D36">
            <w:pPr>
              <w:pStyle w:val="ListParagraph"/>
              <w:spacing w:after="120"/>
              <w:rPr>
                <w:rFonts w:eastAsia="SimSun"/>
              </w:rPr>
            </w:pPr>
            <w:r w:rsidRPr="004F44CD">
              <w:rPr>
                <w:rFonts w:eastAsia="SimSun"/>
              </w:rPr>
              <w:t>FFS:</w:t>
            </w:r>
          </w:p>
          <w:p w14:paraId="0C408978" w14:textId="77777777" w:rsidR="00A56D36" w:rsidRPr="004F44CD" w:rsidRDefault="00A56D36">
            <w:pPr>
              <w:pStyle w:val="ListParagraph"/>
              <w:numPr>
                <w:ilvl w:val="0"/>
                <w:numId w:val="40"/>
              </w:numPr>
              <w:spacing w:after="120"/>
              <w:contextualSpacing w:val="0"/>
              <w:rPr>
                <w:rFonts w:eastAsia="SimSun"/>
              </w:rPr>
            </w:pPr>
            <w:r w:rsidRPr="004F44CD">
              <w:rPr>
                <w:rFonts w:eastAsia="SimSun"/>
              </w:rPr>
              <w:t>If no SSB occasion of the serving cell is contained within the LB-CA switching pattern, the requirements do not apply (from Nokia proposal)</w:t>
            </w:r>
          </w:p>
          <w:p w14:paraId="31868013" w14:textId="10CF3E29" w:rsidR="00A56D36" w:rsidRPr="00BE22A4" w:rsidRDefault="00A56D36" w:rsidP="00C4432B">
            <w:pPr>
              <w:pStyle w:val="ListParagraph"/>
              <w:numPr>
                <w:ilvl w:val="0"/>
                <w:numId w:val="40"/>
              </w:numPr>
              <w:spacing w:after="120"/>
              <w:contextualSpacing w:val="0"/>
              <w:rPr>
                <w:rFonts w:eastAsia="SimSun"/>
              </w:rPr>
            </w:pPr>
            <w:r w:rsidRPr="004F44CD">
              <w:rPr>
                <w:rFonts w:eastAsia="SimSun"/>
              </w:rPr>
              <w:t>FFS on details of requirement design.</w:t>
            </w:r>
          </w:p>
        </w:tc>
      </w:tr>
    </w:tbl>
    <w:p w14:paraId="74606950" w14:textId="77777777" w:rsidR="00A56D36" w:rsidRDefault="00A56D36" w:rsidP="00A56D36"/>
    <w:p w14:paraId="6D1C5FA7" w14:textId="6DFE9CAF" w:rsidR="00AD10CC" w:rsidRDefault="00DC788D" w:rsidP="00A56D36">
      <w:r>
        <w:t xml:space="preserve">Considering the FFS on issue 1-3-2, it is FFS the details of the measurement delay requirements for activated </w:t>
      </w:r>
      <w:proofErr w:type="spellStart"/>
      <w:r w:rsidR="00CF233A">
        <w:t>SCell</w:t>
      </w:r>
      <w:proofErr w:type="spellEnd"/>
      <w:r>
        <w:t xml:space="preserve"> L3 measurement. Taking the </w:t>
      </w:r>
      <w:r w:rsidR="004E3E1E">
        <w:t xml:space="preserve">agreement from 1-3-2, and considering existing formulas for concurrent gap measurement delay, we can simply extend the delay considering the number of total SMTC occasions and the number of available SMTC occasions on a time window. </w:t>
      </w:r>
    </w:p>
    <w:p w14:paraId="36E64E65" w14:textId="77777777" w:rsidR="002745C5" w:rsidRPr="00F43BD7" w:rsidRDefault="002745C5" w:rsidP="00F43BD7">
      <w:pPr>
        <w:pStyle w:val="RAN4proposal"/>
      </w:pPr>
      <w:bookmarkStart w:id="28" w:name="_Toc206152822"/>
      <w:r w:rsidRPr="00F43BD7">
        <w:t>Apply the conclusion from Issue 1-1-3: RRM requirement applicability for R19 LB CA via switching.</w:t>
      </w:r>
      <w:bookmarkEnd w:id="28"/>
    </w:p>
    <w:p w14:paraId="493E23EF" w14:textId="0747749F" w:rsidR="0056317F" w:rsidRDefault="002745C5" w:rsidP="00F43BD7">
      <w:pPr>
        <w:pStyle w:val="RAN4proposal"/>
        <w:numPr>
          <w:ilvl w:val="1"/>
          <w:numId w:val="7"/>
        </w:numPr>
      </w:pPr>
      <w:bookmarkStart w:id="29" w:name="_Toc206152823"/>
      <w:r w:rsidRPr="00F43BD7">
        <w:t>If case b in issue 1-1-3 is agreed, new K</w:t>
      </w:r>
      <w:r w:rsidR="0098066C">
        <w:t>l</w:t>
      </w:r>
      <w:r w:rsidRPr="00F43BD7">
        <w:t xml:space="preserve"> factor can be used for requirement design.</w:t>
      </w:r>
      <w:bookmarkEnd w:id="29"/>
      <w:r w:rsidRPr="00F43BD7">
        <w:t xml:space="preserve"> </w:t>
      </w:r>
    </w:p>
    <w:p w14:paraId="69E9CCF6" w14:textId="5BE92C9B" w:rsidR="00BB39B5" w:rsidRDefault="0056317F" w:rsidP="0056317F">
      <w:pPr>
        <w:pStyle w:val="RAN4proposal"/>
        <w:numPr>
          <w:ilvl w:val="2"/>
          <w:numId w:val="7"/>
        </w:numPr>
      </w:pPr>
      <w:bookmarkStart w:id="30" w:name="_Toc206152824"/>
      <w:r>
        <w:t>K</w:t>
      </w:r>
      <w:r w:rsidR="0098066C">
        <w:t>l</w:t>
      </w:r>
      <w:r>
        <w:t>=</w:t>
      </w:r>
      <w:proofErr w:type="spellStart"/>
      <w:r>
        <w:t>Ntotal</w:t>
      </w:r>
      <w:proofErr w:type="spellEnd"/>
      <w:r>
        <w:t>/</w:t>
      </w:r>
      <w:proofErr w:type="spellStart"/>
      <w:r>
        <w:t>Navailable</w:t>
      </w:r>
      <w:proofErr w:type="spellEnd"/>
      <w:r w:rsidR="00BB39B5">
        <w:t>, where</w:t>
      </w:r>
      <w:bookmarkEnd w:id="30"/>
    </w:p>
    <w:p w14:paraId="4872D3D0" w14:textId="77777777" w:rsidR="00BB39B5" w:rsidRDefault="00BB39B5" w:rsidP="0056317F">
      <w:pPr>
        <w:pStyle w:val="RAN4proposal"/>
        <w:numPr>
          <w:ilvl w:val="2"/>
          <w:numId w:val="7"/>
        </w:numPr>
      </w:pPr>
      <w:bookmarkStart w:id="31" w:name="_Toc206152825"/>
      <w:proofErr w:type="spellStart"/>
      <w:r w:rsidRPr="00BB39B5">
        <w:t>Ntotal</w:t>
      </w:r>
      <w:proofErr w:type="spellEnd"/>
      <w:r w:rsidRPr="00BB39B5">
        <w:t xml:space="preserve"> is the total number of SMTC occasions that are covered by instances of the associated measurement gap within the window W,</w:t>
      </w:r>
      <w:bookmarkEnd w:id="31"/>
    </w:p>
    <w:p w14:paraId="0C14A9F8" w14:textId="34007C60" w:rsidR="002745C5" w:rsidRDefault="00940DED" w:rsidP="0056317F">
      <w:pPr>
        <w:pStyle w:val="RAN4proposal"/>
        <w:numPr>
          <w:ilvl w:val="2"/>
          <w:numId w:val="7"/>
        </w:numPr>
      </w:pPr>
      <w:bookmarkStart w:id="32" w:name="_Toc206152826"/>
      <w:proofErr w:type="spellStart"/>
      <w:r w:rsidRPr="00940DED">
        <w:t>Navailable</w:t>
      </w:r>
      <w:proofErr w:type="spellEnd"/>
      <w:r w:rsidRPr="00940DED">
        <w:t xml:space="preserve"> is the number of SMTC occasions that are covered by instances of the non-dropped associated measurement gap within the window W</w:t>
      </w:r>
      <w:bookmarkEnd w:id="32"/>
    </w:p>
    <w:p w14:paraId="272CFAFC" w14:textId="511C076A" w:rsidR="0068474F" w:rsidRPr="0068474F" w:rsidRDefault="002C2718" w:rsidP="00FE5A8F">
      <w:pPr>
        <w:pStyle w:val="RAN4proposal"/>
        <w:numPr>
          <w:ilvl w:val="2"/>
          <w:numId w:val="7"/>
        </w:numPr>
      </w:pPr>
      <w:bookmarkStart w:id="33" w:name="_Toc206152827"/>
      <w:r>
        <w:t xml:space="preserve">The </w:t>
      </w:r>
      <w:r w:rsidR="0068474F" w:rsidRPr="0068474F">
        <w:t xml:space="preserve">window W </w:t>
      </w:r>
      <w:r>
        <w:t xml:space="preserve">is </w:t>
      </w:r>
      <w:r w:rsidR="0068474F" w:rsidRPr="0068474F">
        <w:t xml:space="preserve">of duration </w:t>
      </w:r>
      <w:proofErr w:type="gramStart"/>
      <w:r w:rsidR="0068474F" w:rsidRPr="0068474F">
        <w:t>m</w:t>
      </w:r>
      <w:r>
        <w:t>ax(</w:t>
      </w:r>
      <w:proofErr w:type="gramEnd"/>
      <w:r>
        <w:t xml:space="preserve">SMTC period, 40 </w:t>
      </w:r>
      <w:proofErr w:type="spellStart"/>
      <w:r>
        <w:t>ms</w:t>
      </w:r>
      <w:proofErr w:type="spellEnd"/>
      <w:r>
        <w:t>)</w:t>
      </w:r>
      <w:bookmarkEnd w:id="33"/>
    </w:p>
    <w:p w14:paraId="23E1213D" w14:textId="690B8550" w:rsidR="00711D63" w:rsidRPr="00711D63" w:rsidRDefault="00C96B6F" w:rsidP="00A155A6">
      <w:pPr>
        <w:pStyle w:val="RAN4H3"/>
      </w:pPr>
      <w:r>
        <w:t xml:space="preserve">L3 measurements on deactivated </w:t>
      </w:r>
      <w:proofErr w:type="spellStart"/>
      <w:r w:rsidR="00CF233A">
        <w:t>SCell</w:t>
      </w:r>
      <w:proofErr w:type="spellEnd"/>
      <w:r>
        <w:t xml:space="preserve"> </w:t>
      </w:r>
    </w:p>
    <w:p w14:paraId="751D2871" w14:textId="70377787" w:rsidR="00205726" w:rsidRDefault="00205726" w:rsidP="00205726">
      <w:r>
        <w:t xml:space="preserve">In the last RAN4 meeting, the following was agreed/open for deactivated SDL measurements </w:t>
      </w:r>
      <w:r>
        <w:fldChar w:fldCharType="begin"/>
      </w:r>
      <w:r>
        <w:instrText xml:space="preserve"> REF _Ref204253168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205726" w14:paraId="29412A10" w14:textId="77777777">
        <w:tc>
          <w:tcPr>
            <w:tcW w:w="9617" w:type="dxa"/>
          </w:tcPr>
          <w:p w14:paraId="7D21CC66" w14:textId="77777777" w:rsidR="00205726" w:rsidRPr="004F44CD" w:rsidRDefault="00205726">
            <w:pPr>
              <w:rPr>
                <w:rFonts w:eastAsia="SimSun"/>
              </w:rPr>
            </w:pPr>
          </w:p>
          <w:p w14:paraId="14AB6722" w14:textId="2FAA3166" w:rsidR="00205726" w:rsidRPr="004F44CD" w:rsidRDefault="00205726">
            <w:pPr>
              <w:rPr>
                <w:b/>
                <w:color w:val="0070C0"/>
                <w:u w:val="single"/>
                <w:lang w:eastAsia="ko-KR"/>
              </w:rPr>
            </w:pPr>
            <w:r w:rsidRPr="004F44CD">
              <w:rPr>
                <w:b/>
                <w:color w:val="0070C0"/>
                <w:u w:val="single"/>
                <w:lang w:eastAsia="ko-KR"/>
              </w:rPr>
              <w:t xml:space="preserve">Issue 1-3-4: Requirement design of deactivated SDL </w:t>
            </w:r>
            <w:proofErr w:type="spellStart"/>
            <w:r w:rsidR="00CF233A">
              <w:rPr>
                <w:b/>
                <w:color w:val="0070C0"/>
                <w:u w:val="single"/>
                <w:lang w:eastAsia="ko-KR"/>
              </w:rPr>
              <w:t>SCell</w:t>
            </w:r>
            <w:proofErr w:type="spellEnd"/>
            <w:r w:rsidRPr="004F44CD">
              <w:rPr>
                <w:b/>
                <w:color w:val="0070C0"/>
                <w:u w:val="single"/>
                <w:lang w:eastAsia="ko-KR"/>
              </w:rPr>
              <w:t xml:space="preserve"> measurement and corresponding interruption</w:t>
            </w:r>
          </w:p>
          <w:p w14:paraId="0EA0436B" w14:textId="77777777" w:rsidR="00205726" w:rsidRPr="004F44CD" w:rsidRDefault="00205726">
            <w:pPr>
              <w:rPr>
                <w:i/>
                <w:color w:val="0070C0"/>
              </w:rPr>
            </w:pPr>
          </w:p>
          <w:p w14:paraId="35471EF6" w14:textId="77777777" w:rsidR="00205726" w:rsidRPr="00254A87" w:rsidRDefault="00205726" w:rsidP="00A155A6">
            <w:pPr>
              <w:spacing w:after="120"/>
              <w:rPr>
                <w:rFonts w:eastAsia="SimSun"/>
              </w:rPr>
            </w:pPr>
            <w:r w:rsidRPr="004F44CD">
              <w:rPr>
                <w:lang w:eastAsia="ko-KR"/>
              </w:rPr>
              <w:t>Agreement</w:t>
            </w:r>
            <w:r w:rsidRPr="004F44CD">
              <w:t xml:space="preserve"> on Thursday</w:t>
            </w:r>
            <w:r w:rsidRPr="00254A87">
              <w:rPr>
                <w:rFonts w:eastAsia="SimSun"/>
              </w:rPr>
              <w:t>:</w:t>
            </w:r>
          </w:p>
          <w:p w14:paraId="047B9AF6" w14:textId="640953DD" w:rsidR="00205726" w:rsidRPr="004F44CD" w:rsidRDefault="00205726">
            <w:pPr>
              <w:pStyle w:val="ListParagraph"/>
              <w:numPr>
                <w:ilvl w:val="0"/>
                <w:numId w:val="40"/>
              </w:numPr>
              <w:spacing w:after="120"/>
              <w:contextualSpacing w:val="0"/>
              <w:rPr>
                <w:rFonts w:eastAsia="SimSun"/>
              </w:rPr>
            </w:pPr>
            <w:r w:rsidRPr="004F44CD">
              <w:rPr>
                <w:rFonts w:eastAsia="SimSun"/>
              </w:rPr>
              <w:t xml:space="preserve">The legacy deactivated </w:t>
            </w:r>
            <w:proofErr w:type="spellStart"/>
            <w:r w:rsidR="00CF233A">
              <w:rPr>
                <w:rFonts w:eastAsia="SimSun"/>
              </w:rPr>
              <w:t>SCell</w:t>
            </w:r>
            <w:proofErr w:type="spellEnd"/>
            <w:r w:rsidRPr="004F44CD">
              <w:rPr>
                <w:rFonts w:eastAsia="SimSun"/>
              </w:rPr>
              <w:t xml:space="preserve"> measurement delay requirements are applied for UE to perform deactivated SDL </w:t>
            </w:r>
            <w:proofErr w:type="spellStart"/>
            <w:r w:rsidR="00CF233A">
              <w:rPr>
                <w:rFonts w:eastAsia="SimSun"/>
              </w:rPr>
              <w:t>SCell</w:t>
            </w:r>
            <w:proofErr w:type="spellEnd"/>
            <w:r w:rsidRPr="004F44CD">
              <w:rPr>
                <w:rFonts w:eastAsia="SimSun"/>
              </w:rPr>
              <w:t xml:space="preserve"> measurement.</w:t>
            </w:r>
          </w:p>
          <w:p w14:paraId="14F48FCF" w14:textId="77777777" w:rsidR="00205726" w:rsidRPr="004F44CD" w:rsidRDefault="00205726">
            <w:pPr>
              <w:pStyle w:val="ListParagraph"/>
              <w:spacing w:after="120"/>
              <w:ind w:left="360"/>
              <w:rPr>
                <w:rFonts w:eastAsia="SimSun"/>
              </w:rPr>
            </w:pPr>
          </w:p>
          <w:p w14:paraId="053DB3C5" w14:textId="77777777" w:rsidR="00205726" w:rsidRPr="004F44CD" w:rsidRDefault="00205726">
            <w:pPr>
              <w:spacing w:after="120"/>
              <w:rPr>
                <w:rFonts w:eastAsia="SimSun"/>
              </w:rPr>
            </w:pPr>
            <w:r w:rsidRPr="004F44CD">
              <w:rPr>
                <w:lang w:eastAsia="ko-KR"/>
              </w:rPr>
              <w:t>Agreement</w:t>
            </w:r>
            <w:r w:rsidRPr="004F44CD">
              <w:t xml:space="preserve"> on Thursday</w:t>
            </w:r>
            <w:r w:rsidRPr="004F44CD">
              <w:rPr>
                <w:rFonts w:eastAsia="SimSun"/>
              </w:rPr>
              <w:t>:</w:t>
            </w:r>
          </w:p>
          <w:p w14:paraId="2B264F8E" w14:textId="2B279E07" w:rsidR="00205726" w:rsidRPr="004F44CD" w:rsidRDefault="00205726">
            <w:pPr>
              <w:pStyle w:val="ListParagraph"/>
              <w:numPr>
                <w:ilvl w:val="0"/>
                <w:numId w:val="40"/>
              </w:numPr>
              <w:spacing w:after="120"/>
              <w:contextualSpacing w:val="0"/>
              <w:rPr>
                <w:rFonts w:eastAsia="SimSun"/>
              </w:rPr>
            </w:pPr>
            <w:r w:rsidRPr="004F44CD">
              <w:rPr>
                <w:rFonts w:eastAsia="SimSun"/>
              </w:rPr>
              <w:t xml:space="preserve">For deactivated SDL </w:t>
            </w:r>
            <w:proofErr w:type="spellStart"/>
            <w:r w:rsidR="00CF233A">
              <w:rPr>
                <w:rFonts w:eastAsia="SimSun"/>
              </w:rPr>
              <w:t>SCell</w:t>
            </w:r>
            <w:proofErr w:type="spellEnd"/>
            <w:r w:rsidRPr="004F44CD">
              <w:rPr>
                <w:rFonts w:eastAsia="SimSun"/>
              </w:rPr>
              <w:t xml:space="preserve"> measurement, interruptions on active serving cell(s) are allowed with up to X% probability of missed ACK/NACK. </w:t>
            </w:r>
          </w:p>
          <w:p w14:paraId="07BAEDCB" w14:textId="299EA25B" w:rsidR="00205726" w:rsidRPr="008E71D5" w:rsidRDefault="00205726" w:rsidP="008E71D5">
            <w:pPr>
              <w:pStyle w:val="ListParagraph"/>
              <w:numPr>
                <w:ilvl w:val="2"/>
                <w:numId w:val="40"/>
              </w:numPr>
              <w:spacing w:after="120"/>
              <w:contextualSpacing w:val="0"/>
              <w:rPr>
                <w:rFonts w:eastAsia="SimSun"/>
              </w:rPr>
            </w:pPr>
            <w:r w:rsidRPr="004F44CD">
              <w:rPr>
                <w:rFonts w:eastAsia="SimSun"/>
              </w:rPr>
              <w:t xml:space="preserve">FFS: X, and X can be same or different for different SDL SCC measurement cycle (i.e., configured </w:t>
            </w:r>
            <w:proofErr w:type="spellStart"/>
            <w:r w:rsidRPr="004F44CD">
              <w:rPr>
                <w:rFonts w:eastAsia="SimSun"/>
              </w:rPr>
              <w:t>measCycle</w:t>
            </w:r>
            <w:r w:rsidR="00CF233A">
              <w:rPr>
                <w:rFonts w:eastAsia="SimSun"/>
              </w:rPr>
              <w:t>SCell</w:t>
            </w:r>
            <w:proofErr w:type="spellEnd"/>
            <w:r w:rsidRPr="004F44CD">
              <w:rPr>
                <w:rFonts w:eastAsia="SimSun"/>
              </w:rPr>
              <w:t>).</w:t>
            </w:r>
          </w:p>
        </w:tc>
      </w:tr>
    </w:tbl>
    <w:p w14:paraId="771609C2" w14:textId="77777777" w:rsidR="00205726" w:rsidRDefault="00205726" w:rsidP="00A05163"/>
    <w:p w14:paraId="68331247" w14:textId="4C8E82F9" w:rsidR="007C2ECA" w:rsidRDefault="00A064E2" w:rsidP="00A05163">
      <w:r>
        <w:t xml:space="preserve">As for interruption due to deactivated </w:t>
      </w:r>
      <w:proofErr w:type="spellStart"/>
      <w:r w:rsidR="00CF233A">
        <w:t>SCell</w:t>
      </w:r>
      <w:proofErr w:type="spellEnd"/>
      <w:r>
        <w:t xml:space="preserve"> </w:t>
      </w:r>
      <w:r w:rsidR="00FF50BC">
        <w:t>measurement</w:t>
      </w:r>
      <w:r>
        <w:t xml:space="preserve">, we already have an agreement to follow legacy requirements. </w:t>
      </w:r>
      <w:r w:rsidR="0052294E">
        <w:t>Therefore, we propose that we just clarify the agreement</w:t>
      </w:r>
      <w:r w:rsidR="001026A0">
        <w:t>, i.e. which exact legacy case to be considered. In</w:t>
      </w:r>
      <w:r w:rsidR="002B5749">
        <w:t xml:space="preserve"> </w:t>
      </w:r>
      <w:r w:rsidR="002B5749">
        <w:lastRenderedPageBreak/>
        <w:t xml:space="preserve">the requirements of 8.2.2.2.3, </w:t>
      </w:r>
      <w:r w:rsidR="00674ED8">
        <w:t xml:space="preserve">there is a distinction for the interruption length when the target band is </w:t>
      </w:r>
      <w:r w:rsidR="007C2ECA">
        <w:t xml:space="preserve">contiguous </w:t>
      </w:r>
      <w:r w:rsidR="002B5749">
        <w:t xml:space="preserve">intra-band </w:t>
      </w:r>
      <w:r w:rsidR="007C2ECA">
        <w:t>or not. In the case of inter-</w:t>
      </w:r>
      <w:proofErr w:type="gramStart"/>
      <w:r w:rsidR="007C2ECA">
        <w:t>band</w:t>
      </w:r>
      <w:proofErr w:type="gramEnd"/>
      <w:r w:rsidR="007C2ECA">
        <w:t xml:space="preserve"> </w:t>
      </w:r>
      <w:r w:rsidR="00785B19">
        <w:t xml:space="preserve">the interruption length is reduced to the </w:t>
      </w:r>
      <w:r w:rsidR="00BC6204">
        <w:t xml:space="preserve">requirement of </w:t>
      </w:r>
      <w:r w:rsidR="00BC6204" w:rsidRPr="00BC6204">
        <w:t>Table 8.2.2.2.2-1</w:t>
      </w:r>
      <w:r w:rsidR="00BC6204">
        <w:t>, whereas for intra-band</w:t>
      </w:r>
      <w:r w:rsidR="00BE436F">
        <w:t xml:space="preserve">, and depending on UE capabilities, the interruption is extended to include the SMTC duration as in </w:t>
      </w:r>
      <w:r w:rsidR="007C2ECA" w:rsidRPr="007C2ECA">
        <w:t>Table 8.2.2.2.3-1</w:t>
      </w:r>
      <w:r w:rsidR="00BE436F">
        <w:t>. We understand that the LBCA-</w:t>
      </w:r>
      <w:proofErr w:type="spellStart"/>
      <w:r w:rsidR="00BE436F">
        <w:t>sw</w:t>
      </w:r>
      <w:proofErr w:type="spellEnd"/>
      <w:r w:rsidR="00BE436F">
        <w:t xml:space="preserve"> case is </w:t>
      </w:r>
      <w:proofErr w:type="gramStart"/>
      <w:r w:rsidR="00BE436F">
        <w:t>similar to</w:t>
      </w:r>
      <w:proofErr w:type="gramEnd"/>
      <w:r w:rsidR="00BE436F">
        <w:t xml:space="preserve"> the intra-band case where the UE is </w:t>
      </w:r>
      <w:r w:rsidR="00BD2997">
        <w:t xml:space="preserve">also causing an interruption during the SMTC duration. Therefore, we can follow the legacy requirements of </w:t>
      </w:r>
      <w:r w:rsidR="00BD2997" w:rsidRPr="007C2ECA">
        <w:t>Table 8.2.2.2.3-1</w:t>
      </w:r>
      <w:r w:rsidR="00BD2997">
        <w:t xml:space="preserve"> and state that the </w:t>
      </w:r>
      <w:r w:rsidR="00864C8B">
        <w:t xml:space="preserve">missed ACK/NACK should not exceed 0.5% if </w:t>
      </w:r>
      <w:proofErr w:type="spellStart"/>
      <w:r w:rsidR="000057DC">
        <w:t>m</w:t>
      </w:r>
      <w:r w:rsidR="00864C8B">
        <w:t>easCycle</w:t>
      </w:r>
      <w:r w:rsidR="00CF233A">
        <w:t>SCell</w:t>
      </w:r>
      <w:proofErr w:type="spellEnd"/>
      <w:r w:rsidR="00864C8B">
        <w:t xml:space="preserve"> is </w:t>
      </w:r>
      <w:r w:rsidR="0065540B">
        <w:t xml:space="preserve">640 </w:t>
      </w:r>
      <w:proofErr w:type="spellStart"/>
      <w:r w:rsidR="0065540B">
        <w:t>ms</w:t>
      </w:r>
      <w:proofErr w:type="spellEnd"/>
      <w:r w:rsidR="0065540B">
        <w:t xml:space="preserve"> or larger</w:t>
      </w:r>
    </w:p>
    <w:p w14:paraId="672F11C2" w14:textId="77777777" w:rsidR="008C20A2" w:rsidRDefault="008C20A2" w:rsidP="008C20A2">
      <w:pPr>
        <w:pStyle w:val="RAN4proposal"/>
      </w:pPr>
      <w:bookmarkStart w:id="34" w:name="_Toc206152828"/>
      <w:r w:rsidRPr="008C20A2">
        <w:t>Legacy interruption length requirement for intra-band deactivated SCC measurement can be reused.</w:t>
      </w:r>
      <w:bookmarkEnd w:id="34"/>
    </w:p>
    <w:p w14:paraId="6EF6539E" w14:textId="7FAF34CB" w:rsidR="006C464C" w:rsidRPr="006C464C" w:rsidRDefault="00926887" w:rsidP="006C464C">
      <w:pPr>
        <w:pStyle w:val="RAN4proposal"/>
        <w:numPr>
          <w:ilvl w:val="1"/>
          <w:numId w:val="7"/>
        </w:numPr>
      </w:pPr>
      <w:bookmarkStart w:id="35" w:name="_Toc206152829"/>
      <w:r>
        <w:t>I</w:t>
      </w:r>
      <w:r w:rsidR="00DB314D" w:rsidRPr="00DB314D">
        <w:t>nterruption requirements in table 8.2.2.2.3-1</w:t>
      </w:r>
      <w:r>
        <w:t xml:space="preserve"> apply for deactivated SDL measurement</w:t>
      </w:r>
      <w:bookmarkEnd w:id="35"/>
    </w:p>
    <w:p w14:paraId="27D3E7F5" w14:textId="4AAC2254" w:rsidR="008C20A2" w:rsidRPr="008C20A2" w:rsidRDefault="00375654" w:rsidP="000057DC">
      <w:pPr>
        <w:pStyle w:val="RAN4proposal"/>
        <w:numPr>
          <w:ilvl w:val="1"/>
          <w:numId w:val="7"/>
        </w:numPr>
      </w:pPr>
      <w:bookmarkStart w:id="36" w:name="_Toc206152830"/>
      <w:r w:rsidRPr="00375654">
        <w:t xml:space="preserve">Interruptions on </w:t>
      </w:r>
      <w:proofErr w:type="spellStart"/>
      <w:r w:rsidR="00CF233A">
        <w:t>PCell</w:t>
      </w:r>
      <w:proofErr w:type="spellEnd"/>
      <w:r w:rsidRPr="00375654">
        <w:t xml:space="preserve"> or activated </w:t>
      </w:r>
      <w:proofErr w:type="spellStart"/>
      <w:r w:rsidR="00CF233A">
        <w:t>SCell</w:t>
      </w:r>
      <w:proofErr w:type="spellEnd"/>
      <w:r w:rsidRPr="00375654">
        <w:t xml:space="preserve">(s) due to measurements when an </w:t>
      </w:r>
      <w:proofErr w:type="spellStart"/>
      <w:r w:rsidR="00CF233A">
        <w:t>SCell</w:t>
      </w:r>
      <w:proofErr w:type="spellEnd"/>
      <w:r w:rsidRPr="00375654">
        <w:t xml:space="preserve"> is deactivated are allowed with up to 0.5 % probability of missed ACK/NACK when the configured </w:t>
      </w:r>
      <w:proofErr w:type="spellStart"/>
      <w:r w:rsidRPr="00375654">
        <w:t>measCycle</w:t>
      </w:r>
      <w:r w:rsidR="00CF233A">
        <w:t>SCell</w:t>
      </w:r>
      <w:proofErr w:type="spellEnd"/>
      <w:r w:rsidRPr="00375654">
        <w:t xml:space="preserve"> is 640 </w:t>
      </w:r>
      <w:proofErr w:type="spellStart"/>
      <w:r w:rsidRPr="00375654">
        <w:t>ms</w:t>
      </w:r>
      <w:proofErr w:type="spellEnd"/>
      <w:r w:rsidRPr="00375654">
        <w:t xml:space="preserve"> or</w:t>
      </w:r>
      <w:r>
        <w:t xml:space="preserve"> larger</w:t>
      </w:r>
      <w:bookmarkEnd w:id="36"/>
    </w:p>
    <w:p w14:paraId="6532B59A" w14:textId="77777777" w:rsidR="00C560FA" w:rsidRDefault="00C560FA" w:rsidP="00A05163"/>
    <w:p w14:paraId="1ECDBB25" w14:textId="1C768D95" w:rsidR="00BE1CC5" w:rsidRPr="00F12730" w:rsidRDefault="00CF233A" w:rsidP="00DE7F22">
      <w:pPr>
        <w:pStyle w:val="RAN4H3"/>
      </w:pPr>
      <w:proofErr w:type="spellStart"/>
      <w:r>
        <w:t>SCell</w:t>
      </w:r>
      <w:proofErr w:type="spellEnd"/>
      <w:r w:rsidR="00BE1CC5">
        <w:t xml:space="preserve"> activation delay</w:t>
      </w:r>
    </w:p>
    <w:tbl>
      <w:tblPr>
        <w:tblStyle w:val="TableGrid"/>
        <w:tblW w:w="0" w:type="auto"/>
        <w:tblLook w:val="04A0" w:firstRow="1" w:lastRow="0" w:firstColumn="1" w:lastColumn="0" w:noHBand="0" w:noVBand="1"/>
      </w:tblPr>
      <w:tblGrid>
        <w:gridCol w:w="9617"/>
      </w:tblGrid>
      <w:tr w:rsidR="009C6E4E" w14:paraId="09842FD4" w14:textId="77777777">
        <w:tc>
          <w:tcPr>
            <w:tcW w:w="9617" w:type="dxa"/>
          </w:tcPr>
          <w:p w14:paraId="1FE2B02D" w14:textId="5ACE816F" w:rsidR="009C6E4E" w:rsidRPr="004F44CD" w:rsidRDefault="009C6E4E" w:rsidP="009C6E4E">
            <w:pPr>
              <w:rPr>
                <w:b/>
                <w:color w:val="0070C0"/>
                <w:u w:val="single"/>
                <w:lang w:eastAsia="ko-KR"/>
              </w:rPr>
            </w:pPr>
            <w:r w:rsidRPr="004F44CD">
              <w:rPr>
                <w:b/>
                <w:color w:val="0070C0"/>
                <w:u w:val="single"/>
                <w:lang w:eastAsia="ko-KR"/>
              </w:rPr>
              <w:t xml:space="preserve">Issue 1-3-8: interruption or scheduling restriction during SDL </w:t>
            </w:r>
            <w:proofErr w:type="spellStart"/>
            <w:r w:rsidR="00CF233A">
              <w:rPr>
                <w:b/>
                <w:color w:val="0070C0"/>
                <w:u w:val="single"/>
                <w:lang w:eastAsia="ko-KR"/>
              </w:rPr>
              <w:t>SCell</w:t>
            </w:r>
            <w:proofErr w:type="spellEnd"/>
            <w:r w:rsidRPr="004F44CD">
              <w:rPr>
                <w:b/>
                <w:color w:val="0070C0"/>
                <w:u w:val="single"/>
                <w:lang w:eastAsia="ko-KR"/>
              </w:rPr>
              <w:t xml:space="preserve"> activation/deactivation </w:t>
            </w:r>
          </w:p>
          <w:p w14:paraId="568D809E" w14:textId="77777777" w:rsidR="009C6E4E" w:rsidRPr="004F44CD" w:rsidRDefault="009C6E4E" w:rsidP="009C6E4E">
            <w:pPr>
              <w:rPr>
                <w:b/>
                <w:color w:val="0070C0"/>
                <w:u w:val="single"/>
                <w:lang w:eastAsia="ko-KR"/>
              </w:rPr>
            </w:pPr>
          </w:p>
          <w:p w14:paraId="0957D49D" w14:textId="4173A052" w:rsidR="009C6E4E" w:rsidRPr="00C7005D" w:rsidRDefault="009C6E4E" w:rsidP="00C7005D">
            <w:pPr>
              <w:spacing w:after="120"/>
              <w:rPr>
                <w:rFonts w:eastAsia="SimSun"/>
                <w:bCs/>
              </w:rPr>
            </w:pPr>
            <w:r w:rsidRPr="004F44CD">
              <w:rPr>
                <w:rFonts w:eastAsia="SimSun"/>
                <w:bCs/>
              </w:rPr>
              <w:t>[</w:t>
            </w:r>
            <w:proofErr w:type="spellStart"/>
            <w:r w:rsidRPr="004F44CD">
              <w:rPr>
                <w:rFonts w:eastAsia="SimSun"/>
                <w:bCs/>
              </w:rPr>
              <w:t>Wayforward</w:t>
            </w:r>
            <w:proofErr w:type="spellEnd"/>
            <w:r w:rsidRPr="004F44CD">
              <w:rPr>
                <w:rFonts w:eastAsia="SimSun"/>
                <w:bCs/>
              </w:rPr>
              <w:t xml:space="preserve">]: FFS: options in topic summary </w:t>
            </w:r>
            <w:r w:rsidRPr="004F44CD">
              <w:rPr>
                <w:rFonts w:cs="Arial"/>
              </w:rPr>
              <w:t>R4-2505556</w:t>
            </w:r>
            <w:r w:rsidRPr="004F44CD">
              <w:rPr>
                <w:rFonts w:eastAsia="SimSun"/>
                <w:bCs/>
              </w:rPr>
              <w:t>.</w:t>
            </w:r>
          </w:p>
        </w:tc>
      </w:tr>
    </w:tbl>
    <w:p w14:paraId="7319C08D" w14:textId="701F2801" w:rsidR="009C6E4E" w:rsidRDefault="009C6E4E" w:rsidP="00A05163"/>
    <w:p w14:paraId="005B2E30" w14:textId="3968705F" w:rsidR="00807CCD" w:rsidRDefault="000F77B0" w:rsidP="00A05163">
      <w:r>
        <w:t xml:space="preserve">Since RAN4 agreed that the switching pattern will not apply during </w:t>
      </w:r>
      <w:proofErr w:type="spellStart"/>
      <w:r w:rsidR="00CF233A">
        <w:t>SCell</w:t>
      </w:r>
      <w:proofErr w:type="spellEnd"/>
      <w:r>
        <w:t xml:space="preserve"> activation, it has been discussed whether to handle the </w:t>
      </w:r>
      <w:proofErr w:type="spellStart"/>
      <w:r w:rsidR="00CF233A">
        <w:t>SCell</w:t>
      </w:r>
      <w:proofErr w:type="spellEnd"/>
      <w:r>
        <w:t xml:space="preserve"> measurements related to </w:t>
      </w:r>
      <w:proofErr w:type="spellStart"/>
      <w:r w:rsidR="00CF233A">
        <w:t>SCell</w:t>
      </w:r>
      <w:proofErr w:type="spellEnd"/>
      <w:r>
        <w:t xml:space="preserve"> activation through interruptions or scheduling restrictions. </w:t>
      </w:r>
      <w:r w:rsidR="000D71D0">
        <w:t xml:space="preserve">To make progress, RAN4 can try to agree to define scheduling restrictions. </w:t>
      </w:r>
    </w:p>
    <w:p w14:paraId="26F629E9" w14:textId="244651A7" w:rsidR="00C45266" w:rsidRDefault="003C3691" w:rsidP="00A05163">
      <w:r>
        <w:t xml:space="preserve">During the SDL </w:t>
      </w:r>
      <w:proofErr w:type="spellStart"/>
      <w:r w:rsidR="00CF233A">
        <w:t>SCell</w:t>
      </w:r>
      <w:proofErr w:type="spellEnd"/>
      <w:r>
        <w:t xml:space="preserve"> activation, upon receiving a command from the network to activate the </w:t>
      </w:r>
      <w:proofErr w:type="spellStart"/>
      <w:r w:rsidR="00CF233A">
        <w:t>SCell</w:t>
      </w:r>
      <w:proofErr w:type="spellEnd"/>
      <w:r>
        <w:t xml:space="preserve">, the UE will </w:t>
      </w:r>
      <w:r w:rsidR="00C76121">
        <w:t>receive</w:t>
      </w:r>
      <w:r>
        <w:t xml:space="preserve"> the necessary reference signals (RS) on the to be activated </w:t>
      </w:r>
      <w:proofErr w:type="spellStart"/>
      <w:r w:rsidR="00CF233A">
        <w:t>SCell</w:t>
      </w:r>
      <w:proofErr w:type="spellEnd"/>
      <w:r>
        <w:t xml:space="preserve"> for enabling the </w:t>
      </w:r>
      <w:proofErr w:type="spellStart"/>
      <w:r w:rsidR="00CF233A">
        <w:t>SCell</w:t>
      </w:r>
      <w:proofErr w:type="spellEnd"/>
      <w:r>
        <w:t xml:space="preserve"> activation. </w:t>
      </w:r>
      <w:r w:rsidR="005E296A">
        <w:t>S</w:t>
      </w:r>
      <w:r w:rsidRPr="003C3691">
        <w:t>cheduling restrictions</w:t>
      </w:r>
      <w:r>
        <w:t xml:space="preserve"> </w:t>
      </w:r>
      <w:r w:rsidR="005E296A">
        <w:t xml:space="preserve">are then needed </w:t>
      </w:r>
      <w:r w:rsidRPr="003C3691">
        <w:t xml:space="preserve">on the OFDM symbols in the </w:t>
      </w:r>
      <w:proofErr w:type="spellStart"/>
      <w:r>
        <w:t>P</w:t>
      </w:r>
      <w:r w:rsidR="005E296A">
        <w:t>C</w:t>
      </w:r>
      <w:r>
        <w:t>ell</w:t>
      </w:r>
      <w:proofErr w:type="spellEnd"/>
      <w:r w:rsidRPr="003C3691">
        <w:t xml:space="preserve"> overlapping and adjacent </w:t>
      </w:r>
      <w:r>
        <w:t>to</w:t>
      </w:r>
      <w:r w:rsidRPr="003C3691">
        <w:t xml:space="preserve"> the reference signals to be measured on the </w:t>
      </w:r>
      <w:r>
        <w:t xml:space="preserve">SDL </w:t>
      </w:r>
      <w:proofErr w:type="spellStart"/>
      <w:r>
        <w:t>S</w:t>
      </w:r>
      <w:r w:rsidR="005E296A">
        <w:t>C</w:t>
      </w:r>
      <w:r>
        <w:t>ell</w:t>
      </w:r>
      <w:proofErr w:type="spellEnd"/>
      <w:r>
        <w:t>.</w:t>
      </w:r>
    </w:p>
    <w:p w14:paraId="79EF5051" w14:textId="3B5F934A" w:rsidR="00C45266" w:rsidRDefault="003C3691" w:rsidP="00A05163">
      <w:r>
        <w:t xml:space="preserve">In </w:t>
      </w:r>
      <w:r w:rsidR="00C45266">
        <w:fldChar w:fldCharType="begin"/>
      </w:r>
      <w:r w:rsidR="00C45266">
        <w:instrText xml:space="preserve"> REF _Ref193226504 \h </w:instrText>
      </w:r>
      <w:r w:rsidR="00C45266">
        <w:fldChar w:fldCharType="separate"/>
      </w:r>
      <w:r w:rsidR="00C45266">
        <w:t xml:space="preserve">Figure </w:t>
      </w:r>
      <w:r w:rsidR="00C45266">
        <w:rPr>
          <w:noProof/>
        </w:rPr>
        <w:t>5</w:t>
      </w:r>
      <w:r w:rsidR="00C45266">
        <w:fldChar w:fldCharType="end"/>
      </w:r>
      <w:r w:rsidR="00C45266">
        <w:t xml:space="preserve"> </w:t>
      </w:r>
      <w:r>
        <w:t>we provide</w:t>
      </w:r>
      <w:r w:rsidR="00C45266">
        <w:t xml:space="preserve"> one example of the steps involved during the activation of an </w:t>
      </w:r>
      <w:r>
        <w:t xml:space="preserve">SDL </w:t>
      </w:r>
      <w:proofErr w:type="spellStart"/>
      <w:r w:rsidR="00C45266">
        <w:t>S</w:t>
      </w:r>
      <w:r w:rsidR="00F54016">
        <w:t>C</w:t>
      </w:r>
      <w:r w:rsidR="00C45266">
        <w:t>ell</w:t>
      </w:r>
      <w:proofErr w:type="spellEnd"/>
      <w:r w:rsidR="00C45266">
        <w:t xml:space="preserve"> </w:t>
      </w:r>
      <w:r>
        <w:t>with scheduling restrictions</w:t>
      </w:r>
      <w:r w:rsidR="00C45266">
        <w:t xml:space="preserve">. In this example the UE receives a </w:t>
      </w:r>
      <w:proofErr w:type="spellStart"/>
      <w:r w:rsidR="00C45266">
        <w:t>S</w:t>
      </w:r>
      <w:r w:rsidR="00E03191">
        <w:t>C</w:t>
      </w:r>
      <w:r w:rsidR="00C45266">
        <w:t>ell</w:t>
      </w:r>
      <w:proofErr w:type="spellEnd"/>
      <w:r w:rsidR="00C45266">
        <w:t xml:space="preserve"> activation command, and whenever there are reference signals to be measured from the </w:t>
      </w:r>
      <w:proofErr w:type="spellStart"/>
      <w:r w:rsidR="00C45266">
        <w:t>S</w:t>
      </w:r>
      <w:r w:rsidR="00F54016">
        <w:t>C</w:t>
      </w:r>
      <w:r w:rsidR="00C45266">
        <w:t>ell</w:t>
      </w:r>
      <w:proofErr w:type="spellEnd"/>
      <w:r w:rsidR="00C45266">
        <w:t xml:space="preserve">, the network applies scheduling restrictions to allow the UE to monitor signals on the </w:t>
      </w:r>
      <w:proofErr w:type="spellStart"/>
      <w:r w:rsidR="00C45266">
        <w:t>S</w:t>
      </w:r>
      <w:r w:rsidR="00F54016">
        <w:t>C</w:t>
      </w:r>
      <w:r w:rsidR="00C45266">
        <w:t>ell</w:t>
      </w:r>
      <w:proofErr w:type="spellEnd"/>
      <w:r w:rsidR="00C45266">
        <w:t xml:space="preserve">. After the activation time completes, the UE sends a CSI report and the </w:t>
      </w:r>
      <w:proofErr w:type="spellStart"/>
      <w:r w:rsidR="00C45266">
        <w:t>S</w:t>
      </w:r>
      <w:r w:rsidR="00F54016">
        <w:t>C</w:t>
      </w:r>
      <w:r w:rsidR="00C45266">
        <w:t>ell</w:t>
      </w:r>
      <w:proofErr w:type="spellEnd"/>
      <w:r w:rsidR="00C45266">
        <w:t xml:space="preserve"> is active. At this stage the </w:t>
      </w:r>
      <w:r>
        <w:t xml:space="preserve">LBCA </w:t>
      </w:r>
      <w:r w:rsidR="00C45266">
        <w:t xml:space="preserve">switching pattern starts. </w:t>
      </w:r>
    </w:p>
    <w:p w14:paraId="5A193B52" w14:textId="77777777" w:rsidR="00C45266" w:rsidRDefault="00C45266" w:rsidP="00C45266">
      <w:pPr>
        <w:keepNext/>
        <w:jc w:val="center"/>
      </w:pPr>
      <w:r w:rsidRPr="00CB085C">
        <w:rPr>
          <w:noProof/>
        </w:rPr>
        <w:drawing>
          <wp:inline distT="0" distB="0" distL="0" distR="0" wp14:anchorId="1554F3F1" wp14:editId="771F2E47">
            <wp:extent cx="6120130" cy="2693670"/>
            <wp:effectExtent l="0" t="0" r="0" b="0"/>
            <wp:docPr id="1141227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693670"/>
                    </a:xfrm>
                    <a:prstGeom prst="rect">
                      <a:avLst/>
                    </a:prstGeom>
                    <a:noFill/>
                    <a:ln>
                      <a:noFill/>
                    </a:ln>
                  </pic:spPr>
                </pic:pic>
              </a:graphicData>
            </a:graphic>
          </wp:inline>
        </w:drawing>
      </w:r>
    </w:p>
    <w:p w14:paraId="1505A9EF" w14:textId="62D54CE3" w:rsidR="00C45266" w:rsidRDefault="00C45266" w:rsidP="00C45266">
      <w:pPr>
        <w:pStyle w:val="Caption"/>
        <w:rPr>
          <w:rFonts w:cstheme="minorHAnsi"/>
        </w:rPr>
      </w:pPr>
      <w:bookmarkStart w:id="37" w:name="_Ref193226504"/>
      <w:r>
        <w:t xml:space="preserve">Figure </w:t>
      </w:r>
      <w:r>
        <w:fldChar w:fldCharType="begin"/>
      </w:r>
      <w:r>
        <w:instrText xml:space="preserve"> SEQ Figure \* ARABIC </w:instrText>
      </w:r>
      <w:r>
        <w:fldChar w:fldCharType="separate"/>
      </w:r>
      <w:r>
        <w:rPr>
          <w:noProof/>
        </w:rPr>
        <w:t>5</w:t>
      </w:r>
      <w:r>
        <w:fldChar w:fldCharType="end"/>
      </w:r>
      <w:bookmarkEnd w:id="37"/>
      <w:r>
        <w:t xml:space="preserve"> Switched carrier behaviour during measurement of </w:t>
      </w:r>
      <w:proofErr w:type="spellStart"/>
      <w:r w:rsidR="00CF233A">
        <w:t>SCell</w:t>
      </w:r>
      <w:proofErr w:type="spellEnd"/>
      <w:r>
        <w:t xml:space="preserve"> RS during </w:t>
      </w:r>
      <w:proofErr w:type="spellStart"/>
      <w:r w:rsidR="00CF233A">
        <w:t>SCell</w:t>
      </w:r>
      <w:proofErr w:type="spellEnd"/>
      <w:r>
        <w:t xml:space="preserve"> activation time using scheduling restrictions</w:t>
      </w:r>
    </w:p>
    <w:p w14:paraId="45EAC1CA" w14:textId="73FCEFDF" w:rsidR="00C45266" w:rsidRDefault="00620101" w:rsidP="00C7005D">
      <w:pPr>
        <w:tabs>
          <w:tab w:val="left" w:pos="1271"/>
        </w:tabs>
      </w:pPr>
      <w:r>
        <w:lastRenderedPageBreak/>
        <w:t>One point that was raised about the scheduling restrictions, is whether the</w:t>
      </w:r>
      <w:r w:rsidR="00DD4E0E">
        <w:t>y</w:t>
      </w:r>
      <w:r>
        <w:t xml:space="preserve"> </w:t>
      </w:r>
      <w:r w:rsidR="00DD4E0E">
        <w:t>should also include switching time and TA</w:t>
      </w:r>
      <w:r w:rsidR="00E21DA8">
        <w:t xml:space="preserve"> before and after the reference signals</w:t>
      </w:r>
      <w:r w:rsidR="00DD4E0E">
        <w:t xml:space="preserve">. In our view, this extension of the </w:t>
      </w:r>
      <w:r w:rsidR="004422C1">
        <w:t xml:space="preserve">symbols </w:t>
      </w:r>
      <w:r w:rsidR="00E21DA8">
        <w:t xml:space="preserve">for </w:t>
      </w:r>
      <w:r w:rsidR="004422C1">
        <w:t xml:space="preserve">scheduling restrictions can be done in a simple way by reusing the parameters for </w:t>
      </w:r>
      <w:r w:rsidR="005D71C5">
        <w:t xml:space="preserve">the switching gap defined by RAN1. </w:t>
      </w:r>
    </w:p>
    <w:p w14:paraId="44A9A364" w14:textId="77777777" w:rsidR="008565C3" w:rsidRDefault="008565C3" w:rsidP="00D56F58">
      <w:pPr>
        <w:pStyle w:val="RAN4proposal"/>
      </w:pPr>
      <w:bookmarkStart w:id="38" w:name="_Toc206152831"/>
      <w:bookmarkEnd w:id="38"/>
    </w:p>
    <w:p w14:paraId="5983E6BE" w14:textId="36855590" w:rsidR="00D56F58" w:rsidRDefault="00D56F58" w:rsidP="008565C3">
      <w:pPr>
        <w:pStyle w:val="RAN4proposal"/>
        <w:numPr>
          <w:ilvl w:val="1"/>
          <w:numId w:val="7"/>
        </w:numPr>
      </w:pPr>
      <w:bookmarkStart w:id="39" w:name="_Toc206152832"/>
      <w:r>
        <w:t xml:space="preserve">RAN4 to define the scheduling restriction caused by the measurements during SDL </w:t>
      </w:r>
      <w:proofErr w:type="spellStart"/>
      <w:r w:rsidR="00CF233A">
        <w:t>SCell</w:t>
      </w:r>
      <w:proofErr w:type="spellEnd"/>
      <w:r>
        <w:t xml:space="preserve"> activation procedure.</w:t>
      </w:r>
      <w:bookmarkEnd w:id="39"/>
      <w:r>
        <w:t xml:space="preserve"> </w:t>
      </w:r>
    </w:p>
    <w:p w14:paraId="5F38CA44" w14:textId="0691F8DF" w:rsidR="00D56F58" w:rsidRDefault="00900A88" w:rsidP="00900A88">
      <w:pPr>
        <w:pStyle w:val="RAN4proposal"/>
        <w:numPr>
          <w:ilvl w:val="1"/>
          <w:numId w:val="7"/>
        </w:numPr>
      </w:pPr>
      <w:bookmarkStart w:id="40" w:name="_Toc206152833"/>
      <w:r>
        <w:t>T</w:t>
      </w:r>
      <w:r w:rsidR="00D56F58">
        <w:t xml:space="preserve">he scheduling restriction </w:t>
      </w:r>
      <w:r>
        <w:t xml:space="preserve">applies </w:t>
      </w:r>
      <w:r w:rsidR="00E04754">
        <w:t xml:space="preserve">for the symbols of </w:t>
      </w:r>
      <w:proofErr w:type="spellStart"/>
      <w:r w:rsidR="00E04754">
        <w:t>PCell</w:t>
      </w:r>
      <w:proofErr w:type="spellEnd"/>
      <w:r w:rsidR="00E04754">
        <w:t xml:space="preserve"> overlapping with the reference signals of </w:t>
      </w:r>
      <w:proofErr w:type="spellStart"/>
      <w:r w:rsidR="00E04754">
        <w:t>SCell</w:t>
      </w:r>
      <w:proofErr w:type="spellEnd"/>
      <w:r w:rsidR="00E04754">
        <w:t xml:space="preserve"> to be measured for </w:t>
      </w:r>
      <w:proofErr w:type="spellStart"/>
      <w:r w:rsidR="00E04754">
        <w:t>SCell</w:t>
      </w:r>
      <w:proofErr w:type="spellEnd"/>
      <w:r w:rsidR="00E04754">
        <w:t xml:space="preserve"> activation</w:t>
      </w:r>
      <w:r w:rsidR="00624B0E">
        <w:t xml:space="preserve"> or the associated switching delays</w:t>
      </w:r>
      <w:r w:rsidR="00E04754">
        <w:t>, where:</w:t>
      </w:r>
      <w:bookmarkEnd w:id="40"/>
    </w:p>
    <w:p w14:paraId="75A30E59" w14:textId="429CFB61" w:rsidR="00CC7218" w:rsidRPr="00CC7218" w:rsidRDefault="00E04754" w:rsidP="00CC7218">
      <w:pPr>
        <w:pStyle w:val="RAN4proposal"/>
        <w:numPr>
          <w:ilvl w:val="2"/>
          <w:numId w:val="7"/>
        </w:numPr>
      </w:pPr>
      <w:bookmarkStart w:id="41" w:name="_Toc206152834"/>
      <w:r>
        <w:t xml:space="preserve">UE is not expected to receive </w:t>
      </w:r>
      <w:r w:rsidR="00D56F58">
        <w:t xml:space="preserve">PDCCH, PDSCH, PRS or CSI-RS in a set of symbols of a DL slot </w:t>
      </w:r>
      <w:r w:rsidR="0051672D">
        <w:t>or transmit</w:t>
      </w:r>
      <w:r w:rsidR="00D56F58">
        <w:t xml:space="preserve"> PUSCH, PUCCH, PRACH, or SR</w:t>
      </w:r>
      <w:r w:rsidR="00D56F58" w:rsidRPr="0051672D">
        <w:t xml:space="preserve">S in a set of symbols of an UL slot on the </w:t>
      </w:r>
      <w:proofErr w:type="spellStart"/>
      <w:r w:rsidR="0051672D" w:rsidRPr="0051672D">
        <w:t>PCell</w:t>
      </w:r>
      <w:proofErr w:type="spellEnd"/>
      <w:r w:rsidR="0051672D" w:rsidRPr="0051672D">
        <w:t xml:space="preserve"> that</w:t>
      </w:r>
      <w:r w:rsidR="00D56F58" w:rsidRPr="0051672D">
        <w:t xml:space="preserve"> overlap, even partially, with the set of symbols of </w:t>
      </w:r>
      <w:r w:rsidR="00EA2317" w:rsidRPr="0051672D">
        <w:rPr>
          <w:i/>
        </w:rPr>
        <w:t>LBCA-SwitchingGap-Duration-</w:t>
      </w:r>
      <w:r w:rsidR="00CF233A" w:rsidRPr="0051672D">
        <w:rPr>
          <w:i/>
        </w:rPr>
        <w:t>PCell</w:t>
      </w:r>
      <w:r w:rsidR="00EA2317" w:rsidRPr="0051672D">
        <w:rPr>
          <w:i/>
        </w:rPr>
        <w:t>to</w:t>
      </w:r>
      <w:r w:rsidR="00CF233A" w:rsidRPr="0051672D">
        <w:rPr>
          <w:i/>
        </w:rPr>
        <w:t>SCell</w:t>
      </w:r>
      <w:r w:rsidR="00EA2317" w:rsidRPr="0051672D" w:rsidDel="00EA2317">
        <w:t xml:space="preserve"> </w:t>
      </w:r>
      <w:r w:rsidR="00D56F58" w:rsidRPr="0051672D">
        <w:t>+ SSB/SMTC duration/CSI-RS +</w:t>
      </w:r>
      <w:r w:rsidR="00CE2FA8" w:rsidRPr="0051672D">
        <w:rPr>
          <w:b w:val="0"/>
          <w:i/>
          <w:szCs w:val="22"/>
        </w:rPr>
        <w:t xml:space="preserve"> </w:t>
      </w:r>
      <w:r w:rsidR="00CE2FA8" w:rsidRPr="0051672D">
        <w:rPr>
          <w:i/>
        </w:rPr>
        <w:t>LBCA-SwitchingGap-</w:t>
      </w:r>
      <w:proofErr w:type="spellStart"/>
      <w:r w:rsidR="00CF233A" w:rsidRPr="0051672D">
        <w:rPr>
          <w:i/>
        </w:rPr>
        <w:t>SCell</w:t>
      </w:r>
      <w:r w:rsidR="00CE2FA8" w:rsidRPr="0051672D">
        <w:rPr>
          <w:i/>
        </w:rPr>
        <w:t>to</w:t>
      </w:r>
      <w:r w:rsidR="00CF233A" w:rsidRPr="0051672D">
        <w:rPr>
          <w:i/>
        </w:rPr>
        <w:t>PCell</w:t>
      </w:r>
      <w:proofErr w:type="spellEnd"/>
      <w:r w:rsidR="0040596C">
        <w:rPr>
          <w:i/>
        </w:rPr>
        <w:t>.</w:t>
      </w:r>
      <w:bookmarkEnd w:id="41"/>
    </w:p>
    <w:p w14:paraId="71EE5A62" w14:textId="77777777" w:rsidR="002F0691" w:rsidRDefault="002F0691" w:rsidP="00A05163"/>
    <w:p w14:paraId="1CDBE090" w14:textId="089AB995" w:rsidR="00A56D36" w:rsidRPr="00694C2F" w:rsidRDefault="00694C2F" w:rsidP="00694C2F">
      <w:pPr>
        <w:pStyle w:val="RAN4H2"/>
      </w:pPr>
      <w:r>
        <w:t xml:space="preserve">Impact on </w:t>
      </w:r>
      <w:proofErr w:type="spellStart"/>
      <w:r w:rsidR="00CF233A">
        <w:t>PCell</w:t>
      </w:r>
      <w:proofErr w:type="spellEnd"/>
    </w:p>
    <w:p w14:paraId="7910A8EB" w14:textId="77777777" w:rsidR="00A56D36" w:rsidRDefault="00A56D36" w:rsidP="00A56D36">
      <w:r>
        <w:t xml:space="preserve">In the last RAN4 meeting, the following was agreed/open </w:t>
      </w:r>
      <w:r>
        <w:fldChar w:fldCharType="begin"/>
      </w:r>
      <w:r>
        <w:instrText xml:space="preserve"> REF _Ref204253168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A56D36" w14:paraId="0083E026" w14:textId="77777777">
        <w:tc>
          <w:tcPr>
            <w:tcW w:w="9617" w:type="dxa"/>
          </w:tcPr>
          <w:p w14:paraId="65EDA2FA" w14:textId="4FECE84E" w:rsidR="00A56D36" w:rsidRPr="004F44CD" w:rsidRDefault="00CF233A">
            <w:pPr>
              <w:rPr>
                <w:i/>
                <w:color w:val="0070C0"/>
              </w:rPr>
            </w:pPr>
            <w:proofErr w:type="spellStart"/>
            <w:r>
              <w:rPr>
                <w:lang w:val="en-US"/>
              </w:rPr>
              <w:t>PCell</w:t>
            </w:r>
            <w:r>
              <w:rPr>
                <w:b/>
                <w:color w:val="0070C0"/>
                <w:u w:val="single"/>
                <w:lang w:eastAsia="ko-KR"/>
              </w:rPr>
              <w:t>PCell</w:t>
            </w:r>
            <w:r>
              <w:rPr>
                <w:rFonts w:eastAsia="SimSun"/>
              </w:rPr>
              <w:t>PCell</w:t>
            </w:r>
            <w:proofErr w:type="spellEnd"/>
          </w:p>
          <w:p w14:paraId="68924089" w14:textId="7F96EAE2" w:rsidR="00A56D36" w:rsidRPr="004F44CD" w:rsidRDefault="00A56D36">
            <w:pPr>
              <w:rPr>
                <w:b/>
                <w:color w:val="0070C0"/>
                <w:u w:val="single"/>
                <w:lang w:eastAsia="ko-KR"/>
              </w:rPr>
            </w:pPr>
            <w:r w:rsidRPr="004F44CD">
              <w:rPr>
                <w:b/>
                <w:color w:val="0070C0"/>
                <w:u w:val="single"/>
                <w:lang w:eastAsia="ko-KR"/>
              </w:rPr>
              <w:t xml:space="preserve">Issue 1-4-2: others RRM requirement of FDD </w:t>
            </w:r>
            <w:proofErr w:type="spellStart"/>
            <w:r w:rsidRPr="004F44CD">
              <w:rPr>
                <w:b/>
                <w:color w:val="0070C0"/>
                <w:u w:val="single"/>
                <w:lang w:eastAsia="ko-KR"/>
              </w:rPr>
              <w:t>P</w:t>
            </w:r>
            <w:r w:rsidR="00CF233A">
              <w:rPr>
                <w:b/>
                <w:color w:val="0070C0"/>
                <w:u w:val="single"/>
                <w:lang w:eastAsia="ko-KR"/>
              </w:rPr>
              <w:t>SCell</w:t>
            </w:r>
            <w:proofErr w:type="spellEnd"/>
            <w:r w:rsidRPr="004F44CD">
              <w:rPr>
                <w:b/>
                <w:color w:val="0070C0"/>
                <w:u w:val="single"/>
                <w:lang w:eastAsia="ko-KR"/>
              </w:rPr>
              <w:t xml:space="preserve"> in LB CA via switching</w:t>
            </w:r>
          </w:p>
          <w:p w14:paraId="4DC2C14D" w14:textId="77777777" w:rsidR="00A56D36" w:rsidRPr="004F44CD" w:rsidRDefault="00A56D36">
            <w:pPr>
              <w:rPr>
                <w:b/>
                <w:color w:val="0070C0"/>
                <w:u w:val="single"/>
                <w:lang w:eastAsia="ko-KR"/>
              </w:rPr>
            </w:pPr>
          </w:p>
          <w:p w14:paraId="437E98A4" w14:textId="77777777" w:rsidR="00A56D36" w:rsidRPr="004F44CD" w:rsidRDefault="00A56D36">
            <w:pPr>
              <w:spacing w:after="120"/>
              <w:rPr>
                <w:rFonts w:eastAsia="SimSun"/>
                <w:bCs/>
              </w:rPr>
            </w:pPr>
            <w:r w:rsidRPr="004F44CD">
              <w:rPr>
                <w:rFonts w:eastAsia="SimSun"/>
                <w:bCs/>
              </w:rPr>
              <w:t>[</w:t>
            </w:r>
            <w:proofErr w:type="spellStart"/>
            <w:r w:rsidRPr="004F44CD">
              <w:rPr>
                <w:rFonts w:eastAsia="SimSun"/>
                <w:bCs/>
              </w:rPr>
              <w:t>Wayforward</w:t>
            </w:r>
            <w:proofErr w:type="spellEnd"/>
            <w:r w:rsidRPr="004F44CD">
              <w:rPr>
                <w:rFonts w:eastAsia="SimSun"/>
                <w:bCs/>
              </w:rPr>
              <w:t xml:space="preserve">]: FFS: options in topic summary </w:t>
            </w:r>
            <w:r w:rsidRPr="004F44CD">
              <w:rPr>
                <w:rFonts w:cs="Arial"/>
              </w:rPr>
              <w:t>R4-2505556</w:t>
            </w:r>
            <w:r w:rsidRPr="004F44CD">
              <w:rPr>
                <w:rFonts w:eastAsia="SimSun"/>
                <w:bCs/>
              </w:rPr>
              <w:t>.</w:t>
            </w:r>
          </w:p>
          <w:p w14:paraId="6AB2941B" w14:textId="77777777" w:rsidR="00A56D36" w:rsidRPr="003622AE" w:rsidRDefault="00A56D36">
            <w:pPr>
              <w:pStyle w:val="BodyText"/>
            </w:pPr>
          </w:p>
          <w:p w14:paraId="5FE8C96A" w14:textId="77777777" w:rsidR="00A56D36" w:rsidRDefault="00A56D36"/>
        </w:tc>
      </w:tr>
    </w:tbl>
    <w:p w14:paraId="5E3AAFD9" w14:textId="77777777" w:rsidR="00A56D36" w:rsidRDefault="00A56D36" w:rsidP="00A56D36"/>
    <w:p w14:paraId="6E95B037" w14:textId="1F4A16F7" w:rsidR="00A90CA6" w:rsidRDefault="00F86D02" w:rsidP="00A56D36">
      <w:r>
        <w:t xml:space="preserve">Regarding the other </w:t>
      </w:r>
      <w:proofErr w:type="spellStart"/>
      <w:r w:rsidR="00CF233A">
        <w:t>PCell</w:t>
      </w:r>
      <w:proofErr w:type="spellEnd"/>
      <w:r>
        <w:t xml:space="preserve"> RRM requirements, RAN4 can reuse the conclusions from the </w:t>
      </w:r>
      <w:proofErr w:type="spellStart"/>
      <w:r w:rsidR="00CF233A">
        <w:t>SCell</w:t>
      </w:r>
      <w:proofErr w:type="spellEnd"/>
      <w:r>
        <w:t xml:space="preserve"> requirements. </w:t>
      </w:r>
      <w:r w:rsidR="005D13AB">
        <w:t xml:space="preserve">In our view the simplest approach is to take into consideration the ratio of available SSB/CSI-RS occasions when defining L1/L3 measurement delay extension. </w:t>
      </w:r>
    </w:p>
    <w:p w14:paraId="2D002177" w14:textId="0A52E875" w:rsidR="00A56D36" w:rsidRDefault="00A90CA6" w:rsidP="00C7005D">
      <w:pPr>
        <w:pStyle w:val="RAN4proposal"/>
      </w:pPr>
      <w:bookmarkStart w:id="42" w:name="_Toc206152835"/>
      <w:r>
        <w:t xml:space="preserve">Follow </w:t>
      </w:r>
      <w:proofErr w:type="spellStart"/>
      <w:r w:rsidR="00CF233A">
        <w:t>SCell</w:t>
      </w:r>
      <w:proofErr w:type="spellEnd"/>
      <w:r>
        <w:t xml:space="preserve"> conclusions when defining measurement requirements on </w:t>
      </w:r>
      <w:proofErr w:type="spellStart"/>
      <w:r w:rsidR="00CF233A">
        <w:t>PCell</w:t>
      </w:r>
      <w:proofErr w:type="spellEnd"/>
      <w:r w:rsidR="004A27CB">
        <w:t xml:space="preserve"> due to </w:t>
      </w:r>
      <w:r w:rsidR="00F86D02">
        <w:t xml:space="preserve">LBCA </w:t>
      </w:r>
      <w:r w:rsidR="004A27CB">
        <w:t>switching pattern</w:t>
      </w:r>
      <w:r>
        <w:t>.</w:t>
      </w:r>
      <w:bookmarkEnd w:id="42"/>
      <w:r>
        <w:t xml:space="preserve"> </w:t>
      </w:r>
    </w:p>
    <w:p w14:paraId="0C55497C" w14:textId="77777777" w:rsidR="00BF5D26" w:rsidRDefault="00BF5D26" w:rsidP="00A05163"/>
    <w:p w14:paraId="2029C2E3" w14:textId="35E29756" w:rsidR="00381F95" w:rsidRPr="008B7A65" w:rsidRDefault="00CD7492" w:rsidP="00936159">
      <w:pPr>
        <w:pStyle w:val="RAN4H1"/>
      </w:pPr>
      <w:r w:rsidRPr="008B7A65">
        <w:t>Conclusion</w:t>
      </w:r>
      <w:bookmarkEnd w:id="4"/>
    </w:p>
    <w:p w14:paraId="7D263B27" w14:textId="77777777" w:rsidR="00381F95" w:rsidRPr="008B7A65" w:rsidRDefault="00381F95" w:rsidP="00936159">
      <w:r w:rsidRPr="008B7A65">
        <w:t>T</w:t>
      </w:r>
      <w:r w:rsidR="005B4801" w:rsidRPr="008B7A65">
        <w:t xml:space="preserve">he following Observations </w:t>
      </w:r>
      <w:r w:rsidR="008B0961" w:rsidRPr="008B7A65">
        <w:t>and</w:t>
      </w:r>
      <w:r w:rsidR="005B4801" w:rsidRPr="008B7A65">
        <w:t xml:space="preserve"> Proposals were made:</w:t>
      </w:r>
    </w:p>
    <w:p w14:paraId="0D78A519" w14:textId="262D3C19" w:rsidR="001C348E"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B7A65">
        <w:rPr>
          <w:b/>
          <w:i/>
          <w:iCs/>
          <w:u w:val="single"/>
        </w:rPr>
        <w:fldChar w:fldCharType="begin"/>
      </w:r>
      <w:r w:rsidRPr="008B7A65">
        <w:rPr>
          <w:i/>
          <w:iCs/>
          <w:u w:val="single"/>
        </w:rPr>
        <w:instrText xml:space="preserve"> TOC \n \h \z \t "RAN4 proposal,5,RAN4 observation,4" </w:instrText>
      </w:r>
      <w:r w:rsidRPr="008B7A65">
        <w:rPr>
          <w:b/>
          <w:i/>
          <w:iCs/>
          <w:u w:val="single"/>
        </w:rPr>
        <w:fldChar w:fldCharType="separate"/>
      </w:r>
      <w:hyperlink w:anchor="_Toc206152809" w:history="1">
        <w:r w:rsidR="001C348E" w:rsidRPr="00E40DD4">
          <w:rPr>
            <w:rStyle w:val="Hyperlink"/>
            <w:b/>
            <w:noProof/>
          </w:rPr>
          <w:t>Observation 1:</w:t>
        </w:r>
        <w:r w:rsidR="001C348E" w:rsidRPr="00E40DD4">
          <w:rPr>
            <w:rStyle w:val="Hyperlink"/>
            <w:noProof/>
          </w:rPr>
          <w:t xml:space="preserve"> The LB-CA switching pattern can lead to a scenario where all the {SSB occasions in SMTC window or CSI-RS for L3 measurement} or {SSB occasions or CSI-RS for L1 measurement} are available for measurement in the serving cells.</w:t>
        </w:r>
      </w:hyperlink>
    </w:p>
    <w:p w14:paraId="68626235" w14:textId="068F6654" w:rsidR="001C348E" w:rsidRDefault="001C348E">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52810" w:history="1">
        <w:r w:rsidRPr="00E40DD4">
          <w:rPr>
            <w:rStyle w:val="Hyperlink"/>
            <w:b/>
            <w:noProof/>
          </w:rPr>
          <w:t>Observation 2:</w:t>
        </w:r>
        <w:r w:rsidRPr="00E40DD4">
          <w:rPr>
            <w:rStyle w:val="Hyperlink"/>
            <w:noProof/>
          </w:rPr>
          <w:t xml:space="preserve"> The LB-CA switching pattern can lead to a scenario where only a fraction of {SSB occasions in SMTC window or CSI-RS for L3 measurement} or {SSB occasions or CSI-RS for L1 measurement} being available for measurement in the serving cells.</w:t>
        </w:r>
      </w:hyperlink>
    </w:p>
    <w:p w14:paraId="215E78F3" w14:textId="5311FD76" w:rsidR="001C348E" w:rsidRDefault="001C348E">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52811" w:history="1">
        <w:r w:rsidRPr="00E40DD4">
          <w:rPr>
            <w:rStyle w:val="Hyperlink"/>
            <w:b/>
            <w:noProof/>
          </w:rPr>
          <w:t>Observation 3:</w:t>
        </w:r>
        <w:r w:rsidRPr="00E40DD4">
          <w:rPr>
            <w:rStyle w:val="Hyperlink"/>
            <w:noProof/>
          </w:rPr>
          <w:t xml:space="preserve"> The LB-CA switching pattern can lead to a scenario where none the {SSB occasions in SMTC window or CSI-RS for L3 measurement} or {SSB occasions or CSI-RS for L1 measurement} are available for measurement in the serving cells.</w:t>
        </w:r>
      </w:hyperlink>
    </w:p>
    <w:p w14:paraId="4052D91F" w14:textId="43BF22C0"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12" w:history="1">
        <w:r w:rsidRPr="00E40DD4">
          <w:rPr>
            <w:rStyle w:val="Hyperlink"/>
            <w:noProof/>
          </w:rPr>
          <w:t>Proposal 1: For gap-less based L3 measurement and L1 measurement of a serving cell which can be either FDD PCell or activated SDL SCell:</w:t>
        </w:r>
      </w:hyperlink>
    </w:p>
    <w:p w14:paraId="456041BE" w14:textId="5207E787"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13" w:history="1">
        <w:r w:rsidRPr="00E40DD4">
          <w:rPr>
            <w:rStyle w:val="Hyperlink"/>
            <w:noProof/>
          </w:rPr>
          <w:t>a.</w:t>
        </w:r>
        <w:r>
          <w:rPr>
            <w:rFonts w:asciiTheme="minorHAnsi" w:eastAsiaTheme="minorEastAsia" w:hAnsiTheme="minorHAnsi"/>
            <w:b w:val="0"/>
            <w:noProof/>
            <w:kern w:val="2"/>
            <w:sz w:val="24"/>
            <w:szCs w:val="24"/>
            <w:lang w:val="en-US"/>
            <w14:ligatures w14:val="standardContextual"/>
          </w:rPr>
          <w:tab/>
        </w:r>
        <w:r w:rsidRPr="00E40DD4">
          <w:rPr>
            <w:rStyle w:val="Hyperlink"/>
            <w:noProof/>
          </w:rPr>
          <w:t>If all {the SSB occasions in SMTC window or CSI-RS for L3 measurement} or {SSB occasions or CSI-RS for L1 measurement} are available based on the LB-CA switching pattern, no delay extension is allowed</w:t>
        </w:r>
      </w:hyperlink>
    </w:p>
    <w:p w14:paraId="18C6FACE" w14:textId="75D9138C" w:rsidR="001C348E" w:rsidRDefault="001C348E">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52814" w:history="1">
        <w:r w:rsidRPr="00E40DD4">
          <w:rPr>
            <w:rStyle w:val="Hyperlink"/>
            <w:noProof/>
          </w:rPr>
          <w:t>b.</w:t>
        </w:r>
        <w:r>
          <w:rPr>
            <w:rFonts w:asciiTheme="minorHAnsi" w:eastAsiaTheme="minorEastAsia" w:hAnsiTheme="minorHAnsi"/>
            <w:b w:val="0"/>
            <w:noProof/>
            <w:kern w:val="2"/>
            <w:sz w:val="24"/>
            <w:szCs w:val="24"/>
            <w:lang w:val="en-US"/>
            <w14:ligatures w14:val="standardContextual"/>
          </w:rPr>
          <w:tab/>
        </w:r>
        <w:r w:rsidRPr="00E40DD4">
          <w:rPr>
            <w:rStyle w:val="Hyperlink"/>
            <w:noProof/>
          </w:rPr>
          <w:t>If a fraction of {the SSB occasions in SMTC window or CSI-RS for L3 measurement} or {SSB occasions or CSI-RS for L1 measurement} are not available based on the LB-CA switching pattern, the delay is scaled in accordance to the fraction of available occasions.</w:t>
        </w:r>
      </w:hyperlink>
    </w:p>
    <w:p w14:paraId="24907014" w14:textId="7703E9DF"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15" w:history="1">
        <w:r w:rsidRPr="00E40DD4">
          <w:rPr>
            <w:rStyle w:val="Hyperlink"/>
            <w:noProof/>
          </w:rPr>
          <w:t>c.</w:t>
        </w:r>
        <w:r>
          <w:rPr>
            <w:rFonts w:asciiTheme="minorHAnsi" w:eastAsiaTheme="minorEastAsia" w:hAnsiTheme="minorHAnsi"/>
            <w:b w:val="0"/>
            <w:noProof/>
            <w:kern w:val="2"/>
            <w:sz w:val="24"/>
            <w:szCs w:val="24"/>
            <w:lang w:val="en-US"/>
            <w14:ligatures w14:val="standardContextual"/>
          </w:rPr>
          <w:tab/>
        </w:r>
        <w:r w:rsidRPr="00E40DD4">
          <w:rPr>
            <w:rStyle w:val="Hyperlink"/>
            <w:noProof/>
          </w:rPr>
          <w:t>If no {SSB occasions in SMTC window or CSI-RS for L3 measurement} or {SSB occasions or CSI-RS for L1 measurement} are available based on the LB-CA switching pattern, the corresponding requirements do not apply.</w:t>
        </w:r>
      </w:hyperlink>
    </w:p>
    <w:p w14:paraId="54286E6E" w14:textId="0744A9D6" w:rsidR="001C348E" w:rsidRDefault="001C348E">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52816" w:history="1">
        <w:r w:rsidRPr="00E40DD4">
          <w:rPr>
            <w:rStyle w:val="Hyperlink"/>
            <w:b/>
            <w:noProof/>
          </w:rPr>
          <w:t>Observation 4:</w:t>
        </w:r>
        <w:r w:rsidRPr="00E40DD4">
          <w:rPr>
            <w:rStyle w:val="Hyperlink"/>
            <w:noProof/>
          </w:rPr>
          <w:t xml:space="preserve"> RF has reached agreement that a scenario with 2 low bands operating with an additional band is not precluded.</w:t>
        </w:r>
      </w:hyperlink>
    </w:p>
    <w:p w14:paraId="2E215086" w14:textId="1DCB666E" w:rsidR="001C348E" w:rsidRDefault="001C348E">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52817" w:history="1">
        <w:r w:rsidRPr="00E40DD4">
          <w:rPr>
            <w:rStyle w:val="Hyperlink"/>
            <w:b/>
            <w:noProof/>
          </w:rPr>
          <w:t>Observation 5:</w:t>
        </w:r>
        <w:r w:rsidRPr="00E40DD4">
          <w:rPr>
            <w:rStyle w:val="Hyperlink"/>
            <w:noProof/>
          </w:rPr>
          <w:t xml:space="preserve"> RAN4 to discuss the need for interruption requirements in the following scenario</w:t>
        </w:r>
      </w:hyperlink>
    </w:p>
    <w:p w14:paraId="4F1AE0FF" w14:textId="74E62A02" w:rsidR="001C348E" w:rsidRDefault="001C348E">
      <w:pPr>
        <w:pStyle w:val="TOC4"/>
        <w:tabs>
          <w:tab w:val="left" w:pos="400"/>
          <w:tab w:val="right" w:leader="dot" w:pos="9617"/>
        </w:tabs>
        <w:rPr>
          <w:rFonts w:asciiTheme="minorHAnsi" w:eastAsiaTheme="minorEastAsia" w:hAnsiTheme="minorHAnsi"/>
          <w:noProof/>
          <w:kern w:val="2"/>
          <w:sz w:val="24"/>
          <w:szCs w:val="24"/>
          <w:lang w:val="en-US"/>
          <w14:ligatures w14:val="standardContextual"/>
        </w:rPr>
      </w:pPr>
      <w:hyperlink w:anchor="_Toc206152818" w:history="1">
        <w:r w:rsidRPr="00E40DD4">
          <w:rPr>
            <w:rStyle w:val="Hyperlink"/>
            <w:noProof/>
          </w:rPr>
          <w:t>a.</w:t>
        </w:r>
        <w:r>
          <w:rPr>
            <w:rFonts w:asciiTheme="minorHAnsi" w:eastAsiaTheme="minorEastAsia" w:hAnsiTheme="minorHAnsi"/>
            <w:noProof/>
            <w:kern w:val="2"/>
            <w:sz w:val="24"/>
            <w:szCs w:val="24"/>
            <w:lang w:val="en-US"/>
            <w14:ligatures w14:val="standardContextual"/>
          </w:rPr>
          <w:tab/>
        </w:r>
        <w:r w:rsidRPr="00E40DD4">
          <w:rPr>
            <w:rStyle w:val="Hyperlink"/>
            <w:noProof/>
          </w:rPr>
          <w:t>UE configured with 2 low band carriers operating with carrier switching, and a 3</w:t>
        </w:r>
        <w:r w:rsidRPr="00E40DD4">
          <w:rPr>
            <w:rStyle w:val="Hyperlink"/>
            <w:noProof/>
            <w:vertAlign w:val="superscript"/>
          </w:rPr>
          <w:t>rd</w:t>
        </w:r>
        <w:r w:rsidRPr="00E40DD4">
          <w:rPr>
            <w:rStyle w:val="Hyperlink"/>
            <w:noProof/>
          </w:rPr>
          <w:t xml:space="preserve"> band carrier operating without switching</w:t>
        </w:r>
      </w:hyperlink>
    </w:p>
    <w:p w14:paraId="553678F1" w14:textId="73A4569A" w:rsidR="001C348E" w:rsidRDefault="001C348E">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52819" w:history="1">
        <w:r w:rsidRPr="00E40DD4">
          <w:rPr>
            <w:rStyle w:val="Hyperlink"/>
            <w:b/>
            <w:noProof/>
          </w:rPr>
          <w:t>Observation 6:</w:t>
        </w:r>
        <w:r w:rsidRPr="00E40DD4">
          <w:rPr>
            <w:rStyle w:val="Hyperlink"/>
            <w:noProof/>
          </w:rPr>
          <w:t xml:space="preserve"> Proposals on the interruption length on a 3</w:t>
        </w:r>
        <w:r w:rsidRPr="00E40DD4">
          <w:rPr>
            <w:rStyle w:val="Hyperlink"/>
            <w:noProof/>
            <w:vertAlign w:val="superscript"/>
          </w:rPr>
          <w:t>rd</w:t>
        </w:r>
        <w:r w:rsidRPr="00E40DD4">
          <w:rPr>
            <w:rStyle w:val="Hyperlink"/>
            <w:noProof/>
          </w:rPr>
          <w:t xml:space="preserve"> band without LBCA-switching could result in 30% to 70% interruption ratio.</w:t>
        </w:r>
      </w:hyperlink>
    </w:p>
    <w:p w14:paraId="25CA9B61" w14:textId="1AA5B93F"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20" w:history="1">
        <w:r w:rsidRPr="00E40DD4">
          <w:rPr>
            <w:rStyle w:val="Hyperlink"/>
            <w:noProof/>
          </w:rPr>
          <w:t>Proposal 2: If band combos with 3 or more bands are included where 2 bands use LBCA-sw, RRM will discuss the interruption requirements.</w:t>
        </w:r>
      </w:hyperlink>
    </w:p>
    <w:p w14:paraId="68B7AC4E" w14:textId="0C951AE6"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21" w:history="1">
        <w:r w:rsidRPr="00E40DD4">
          <w:rPr>
            <w:rStyle w:val="Hyperlink"/>
            <w:noProof/>
          </w:rPr>
          <w:t>Proposal 3: Rel-19 LBCA-sw RRM requirements do not apply if more than 2 cells are active simultaneously.</w:t>
        </w:r>
      </w:hyperlink>
    </w:p>
    <w:p w14:paraId="695A24E5" w14:textId="55661E21"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22" w:history="1">
        <w:r w:rsidRPr="00E40DD4">
          <w:rPr>
            <w:rStyle w:val="Hyperlink"/>
            <w:noProof/>
          </w:rPr>
          <w:t>Proposal 4: Apply the conclusion from Issue 1-1-3: RRM requirement applicability for R19 LB CA via switching.</w:t>
        </w:r>
      </w:hyperlink>
    </w:p>
    <w:p w14:paraId="424648FF" w14:textId="6C5772CD"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23" w:history="1">
        <w:r w:rsidRPr="00E40DD4">
          <w:rPr>
            <w:rStyle w:val="Hyperlink"/>
            <w:noProof/>
          </w:rPr>
          <w:t>a.</w:t>
        </w:r>
        <w:r>
          <w:rPr>
            <w:rFonts w:asciiTheme="minorHAnsi" w:eastAsiaTheme="minorEastAsia" w:hAnsiTheme="minorHAnsi"/>
            <w:b w:val="0"/>
            <w:noProof/>
            <w:kern w:val="2"/>
            <w:sz w:val="24"/>
            <w:szCs w:val="24"/>
            <w:lang w:val="en-US"/>
            <w14:ligatures w14:val="standardContextual"/>
          </w:rPr>
          <w:tab/>
        </w:r>
        <w:r w:rsidRPr="00E40DD4">
          <w:rPr>
            <w:rStyle w:val="Hyperlink"/>
            <w:noProof/>
          </w:rPr>
          <w:t>If case b in issue 1-1-3 is agreed, new Kl factor can be used for requirement design.</w:t>
        </w:r>
      </w:hyperlink>
    </w:p>
    <w:p w14:paraId="1D6B3661" w14:textId="219EC177"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24" w:history="1">
        <w:r w:rsidRPr="00E40DD4">
          <w:rPr>
            <w:rStyle w:val="Hyperlink"/>
            <w:noProof/>
          </w:rPr>
          <w:t>i.</w:t>
        </w:r>
        <w:r>
          <w:rPr>
            <w:rFonts w:asciiTheme="minorHAnsi" w:eastAsiaTheme="minorEastAsia" w:hAnsiTheme="minorHAnsi"/>
            <w:b w:val="0"/>
            <w:noProof/>
            <w:kern w:val="2"/>
            <w:sz w:val="24"/>
            <w:szCs w:val="24"/>
            <w:lang w:val="en-US"/>
            <w14:ligatures w14:val="standardContextual"/>
          </w:rPr>
          <w:tab/>
        </w:r>
        <w:r w:rsidRPr="00E40DD4">
          <w:rPr>
            <w:rStyle w:val="Hyperlink"/>
            <w:noProof/>
          </w:rPr>
          <w:t>Kl=Ntotal/Navailable, where</w:t>
        </w:r>
      </w:hyperlink>
    </w:p>
    <w:p w14:paraId="3511F59D" w14:textId="173E5AAB" w:rsidR="001C348E" w:rsidRDefault="001C348E">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52825" w:history="1">
        <w:r w:rsidRPr="00E40DD4">
          <w:rPr>
            <w:rStyle w:val="Hyperlink"/>
            <w:noProof/>
          </w:rPr>
          <w:t>ii.</w:t>
        </w:r>
        <w:r>
          <w:rPr>
            <w:rFonts w:asciiTheme="minorHAnsi" w:eastAsiaTheme="minorEastAsia" w:hAnsiTheme="minorHAnsi"/>
            <w:b w:val="0"/>
            <w:noProof/>
            <w:kern w:val="2"/>
            <w:sz w:val="24"/>
            <w:szCs w:val="24"/>
            <w:lang w:val="en-US"/>
            <w14:ligatures w14:val="standardContextual"/>
          </w:rPr>
          <w:tab/>
        </w:r>
        <w:r w:rsidRPr="00E40DD4">
          <w:rPr>
            <w:rStyle w:val="Hyperlink"/>
            <w:noProof/>
          </w:rPr>
          <w:t>Ntotal is the total number of SMTC occasions that are covered by instances of the associated measurement gap within the window W,</w:t>
        </w:r>
      </w:hyperlink>
    </w:p>
    <w:p w14:paraId="0D0861BA" w14:textId="19E7AC4E" w:rsidR="001C348E" w:rsidRDefault="001C348E">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52826" w:history="1">
        <w:r w:rsidRPr="00E40DD4">
          <w:rPr>
            <w:rStyle w:val="Hyperlink"/>
            <w:noProof/>
          </w:rPr>
          <w:t>iii.</w:t>
        </w:r>
        <w:r>
          <w:rPr>
            <w:rFonts w:asciiTheme="minorHAnsi" w:eastAsiaTheme="minorEastAsia" w:hAnsiTheme="minorHAnsi"/>
            <w:b w:val="0"/>
            <w:noProof/>
            <w:kern w:val="2"/>
            <w:sz w:val="24"/>
            <w:szCs w:val="24"/>
            <w:lang w:val="en-US"/>
            <w14:ligatures w14:val="standardContextual"/>
          </w:rPr>
          <w:tab/>
        </w:r>
        <w:r w:rsidRPr="00E40DD4">
          <w:rPr>
            <w:rStyle w:val="Hyperlink"/>
            <w:noProof/>
          </w:rPr>
          <w:t>Navailable is the number of SMTC occasions that are covered by instances of the non-dropped associated measurement gap within the window W</w:t>
        </w:r>
      </w:hyperlink>
    </w:p>
    <w:p w14:paraId="1599E04F" w14:textId="4753F7F5" w:rsidR="001C348E" w:rsidRDefault="001C348E">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52827" w:history="1">
        <w:r w:rsidRPr="00E40DD4">
          <w:rPr>
            <w:rStyle w:val="Hyperlink"/>
            <w:noProof/>
          </w:rPr>
          <w:t>iv.</w:t>
        </w:r>
        <w:r>
          <w:rPr>
            <w:rFonts w:asciiTheme="minorHAnsi" w:eastAsiaTheme="minorEastAsia" w:hAnsiTheme="minorHAnsi"/>
            <w:b w:val="0"/>
            <w:noProof/>
            <w:kern w:val="2"/>
            <w:sz w:val="24"/>
            <w:szCs w:val="24"/>
            <w:lang w:val="en-US"/>
            <w14:ligatures w14:val="standardContextual"/>
          </w:rPr>
          <w:tab/>
        </w:r>
        <w:r w:rsidRPr="00E40DD4">
          <w:rPr>
            <w:rStyle w:val="Hyperlink"/>
            <w:noProof/>
          </w:rPr>
          <w:t>The window W is of duration max(SMTC period, 40 ms)</w:t>
        </w:r>
      </w:hyperlink>
    </w:p>
    <w:p w14:paraId="4B3EF1F8" w14:textId="1F7D27A4"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28" w:history="1">
        <w:r w:rsidRPr="00E40DD4">
          <w:rPr>
            <w:rStyle w:val="Hyperlink"/>
            <w:noProof/>
          </w:rPr>
          <w:t>Proposal 5: Legacy interruption length requirement for intra-band deactivated SCC measurement can be reused.</w:t>
        </w:r>
      </w:hyperlink>
    </w:p>
    <w:p w14:paraId="48D58492" w14:textId="3C8DA294"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29" w:history="1">
        <w:r w:rsidRPr="00E40DD4">
          <w:rPr>
            <w:rStyle w:val="Hyperlink"/>
            <w:noProof/>
          </w:rPr>
          <w:t>a.</w:t>
        </w:r>
        <w:r>
          <w:rPr>
            <w:rFonts w:asciiTheme="minorHAnsi" w:eastAsiaTheme="minorEastAsia" w:hAnsiTheme="minorHAnsi"/>
            <w:b w:val="0"/>
            <w:noProof/>
            <w:kern w:val="2"/>
            <w:sz w:val="24"/>
            <w:szCs w:val="24"/>
            <w:lang w:val="en-US"/>
            <w14:ligatures w14:val="standardContextual"/>
          </w:rPr>
          <w:tab/>
        </w:r>
        <w:r w:rsidRPr="00E40DD4">
          <w:rPr>
            <w:rStyle w:val="Hyperlink"/>
            <w:noProof/>
          </w:rPr>
          <w:t>Interruption requirements in table 8.2.2.2.3-1 apply for deactivated SDL measurement</w:t>
        </w:r>
      </w:hyperlink>
    </w:p>
    <w:p w14:paraId="424BA7D6" w14:textId="257BF48D" w:rsidR="001C348E" w:rsidRDefault="001C348E">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52830" w:history="1">
        <w:r w:rsidRPr="00E40DD4">
          <w:rPr>
            <w:rStyle w:val="Hyperlink"/>
            <w:noProof/>
          </w:rPr>
          <w:t>b.</w:t>
        </w:r>
        <w:r>
          <w:rPr>
            <w:rFonts w:asciiTheme="minorHAnsi" w:eastAsiaTheme="minorEastAsia" w:hAnsiTheme="minorHAnsi"/>
            <w:b w:val="0"/>
            <w:noProof/>
            <w:kern w:val="2"/>
            <w:sz w:val="24"/>
            <w:szCs w:val="24"/>
            <w:lang w:val="en-US"/>
            <w14:ligatures w14:val="standardContextual"/>
          </w:rPr>
          <w:tab/>
        </w:r>
        <w:r w:rsidRPr="00E40DD4">
          <w:rPr>
            <w:rStyle w:val="Hyperlink"/>
            <w:noProof/>
          </w:rPr>
          <w:t>Interruptions on PCell or activated SCell(s) due to measurements when an SCell is deactivated are allowed with up to 0.5 % probability of missed ACK/NACK when the configured measCycleSCell is 640 ms or larger</w:t>
        </w:r>
      </w:hyperlink>
    </w:p>
    <w:p w14:paraId="6B728B90" w14:textId="79773BA9"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31" w:history="1">
        <w:r w:rsidRPr="00E40DD4">
          <w:rPr>
            <w:rStyle w:val="Hyperlink"/>
            <w:noProof/>
          </w:rPr>
          <w:t>Proposal 6:</w:t>
        </w:r>
      </w:hyperlink>
    </w:p>
    <w:p w14:paraId="246116D0" w14:textId="134BF0CC"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32" w:history="1">
        <w:r w:rsidRPr="00E40DD4">
          <w:rPr>
            <w:rStyle w:val="Hyperlink"/>
            <w:noProof/>
          </w:rPr>
          <w:t>a.</w:t>
        </w:r>
        <w:r>
          <w:rPr>
            <w:rFonts w:asciiTheme="minorHAnsi" w:eastAsiaTheme="minorEastAsia" w:hAnsiTheme="minorHAnsi"/>
            <w:b w:val="0"/>
            <w:noProof/>
            <w:kern w:val="2"/>
            <w:sz w:val="24"/>
            <w:szCs w:val="24"/>
            <w:lang w:val="en-US"/>
            <w14:ligatures w14:val="standardContextual"/>
          </w:rPr>
          <w:tab/>
        </w:r>
        <w:r w:rsidRPr="00E40DD4">
          <w:rPr>
            <w:rStyle w:val="Hyperlink"/>
            <w:noProof/>
          </w:rPr>
          <w:t>RAN4 to define the scheduling restriction caused by the measurements during SDL SCell activation procedure.</w:t>
        </w:r>
      </w:hyperlink>
    </w:p>
    <w:p w14:paraId="3BB4FB03" w14:textId="2D6187BC" w:rsidR="001C348E" w:rsidRDefault="001C348E">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52833" w:history="1">
        <w:r w:rsidRPr="00E40DD4">
          <w:rPr>
            <w:rStyle w:val="Hyperlink"/>
            <w:noProof/>
          </w:rPr>
          <w:t>b.</w:t>
        </w:r>
        <w:r>
          <w:rPr>
            <w:rFonts w:asciiTheme="minorHAnsi" w:eastAsiaTheme="minorEastAsia" w:hAnsiTheme="minorHAnsi"/>
            <w:b w:val="0"/>
            <w:noProof/>
            <w:kern w:val="2"/>
            <w:sz w:val="24"/>
            <w:szCs w:val="24"/>
            <w:lang w:val="en-US"/>
            <w14:ligatures w14:val="standardContextual"/>
          </w:rPr>
          <w:tab/>
        </w:r>
        <w:r w:rsidRPr="00E40DD4">
          <w:rPr>
            <w:rStyle w:val="Hyperlink"/>
            <w:noProof/>
          </w:rPr>
          <w:t>The scheduling restriction applies for the symbols of PCell overlapping with the reference signals of SCell to be measured for SCell activation or the associated switching delays, where:</w:t>
        </w:r>
      </w:hyperlink>
    </w:p>
    <w:p w14:paraId="290E6693" w14:textId="6818E00B" w:rsidR="001C348E" w:rsidRDefault="001C348E">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52834" w:history="1">
        <w:r w:rsidRPr="00E40DD4">
          <w:rPr>
            <w:rStyle w:val="Hyperlink"/>
            <w:noProof/>
          </w:rPr>
          <w:t>i.</w:t>
        </w:r>
        <w:r>
          <w:rPr>
            <w:rFonts w:asciiTheme="minorHAnsi" w:eastAsiaTheme="minorEastAsia" w:hAnsiTheme="minorHAnsi"/>
            <w:b w:val="0"/>
            <w:noProof/>
            <w:kern w:val="2"/>
            <w:sz w:val="24"/>
            <w:szCs w:val="24"/>
            <w:lang w:val="en-US"/>
            <w14:ligatures w14:val="standardContextual"/>
          </w:rPr>
          <w:tab/>
        </w:r>
        <w:r w:rsidRPr="00E40DD4">
          <w:rPr>
            <w:rStyle w:val="Hyperlink"/>
            <w:noProof/>
          </w:rPr>
          <w:t xml:space="preserve">UE is not expected to receive PDCCH, PDSCH, PRS or CSI-RS in a set of symbols of a DL slot or transmit PUSCH, PUCCH, PRACH, or SRS in a set of symbols of an UL slot on the PCell that overlap, even partially, with the set of symbols of </w:t>
        </w:r>
        <w:r w:rsidRPr="00E40DD4">
          <w:rPr>
            <w:rStyle w:val="Hyperlink"/>
            <w:i/>
            <w:noProof/>
          </w:rPr>
          <w:t>LBCA-SwitchingGap-Duration-PCelltoSCell</w:t>
        </w:r>
        <w:r w:rsidRPr="00E40DD4">
          <w:rPr>
            <w:rStyle w:val="Hyperlink"/>
            <w:noProof/>
          </w:rPr>
          <w:t xml:space="preserve"> + SSB/SMTC duration/CSI-RS +</w:t>
        </w:r>
        <w:r w:rsidRPr="00E40DD4">
          <w:rPr>
            <w:rStyle w:val="Hyperlink"/>
            <w:i/>
            <w:noProof/>
          </w:rPr>
          <w:t xml:space="preserve"> LBCA-SwitchingGap-SCelltoPCell.</w:t>
        </w:r>
      </w:hyperlink>
    </w:p>
    <w:p w14:paraId="2881EFFE" w14:textId="53AAF2F1" w:rsidR="001C348E" w:rsidRDefault="001C348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2835" w:history="1">
        <w:r w:rsidRPr="00E40DD4">
          <w:rPr>
            <w:rStyle w:val="Hyperlink"/>
            <w:noProof/>
          </w:rPr>
          <w:t>Proposal 7: Follow SCell conclusions when defining measurement requirements on PCell due to LBCA switching pattern.</w:t>
        </w:r>
      </w:hyperlink>
    </w:p>
    <w:p w14:paraId="35A1A2D0" w14:textId="1BE0ADE8" w:rsidR="00847264" w:rsidRPr="008B7A65" w:rsidRDefault="00A4355E" w:rsidP="008C39F7">
      <w:r w:rsidRPr="008B7A65">
        <w:fldChar w:fldCharType="end"/>
      </w:r>
      <w:bookmarkStart w:id="43" w:name="_Toc116995849"/>
    </w:p>
    <w:p w14:paraId="14EFE327" w14:textId="77777777" w:rsidR="003B659E" w:rsidRPr="008B7A65" w:rsidRDefault="003B659E" w:rsidP="0060543D">
      <w:pPr>
        <w:pStyle w:val="RAN4H1"/>
        <w:numPr>
          <w:ilvl w:val="0"/>
          <w:numId w:val="0"/>
        </w:numPr>
        <w:ind w:left="360" w:hanging="360"/>
      </w:pPr>
      <w:r w:rsidRPr="008B7A65">
        <w:t>References</w:t>
      </w:r>
      <w:bookmarkEnd w:id="43"/>
    </w:p>
    <w:p w14:paraId="51E9FD9F" w14:textId="53414ACA" w:rsidR="00E82B94" w:rsidRPr="008B7A65" w:rsidRDefault="00DF2F7C" w:rsidP="00D66188">
      <w:pPr>
        <w:pStyle w:val="ListParagraph"/>
        <w:numPr>
          <w:ilvl w:val="0"/>
          <w:numId w:val="21"/>
        </w:numPr>
        <w:ind w:right="-22"/>
      </w:pPr>
      <w:bookmarkStart w:id="44" w:name="_Ref114500673"/>
      <w:bookmarkStart w:id="45" w:name="_Ref204253168"/>
      <w:bookmarkEnd w:id="44"/>
      <w:r w:rsidRPr="00DF2F7C">
        <w:t xml:space="preserve">R4-2508259, WF on RRM requirements for </w:t>
      </w:r>
      <w:proofErr w:type="spellStart"/>
      <w:r w:rsidRPr="00DF2F7C">
        <w:t>NR_LBCA_Sw</w:t>
      </w:r>
      <w:proofErr w:type="spellEnd"/>
      <w:r w:rsidRPr="00DF2F7C">
        <w:t>, Apple</w:t>
      </w:r>
      <w:bookmarkEnd w:id="45"/>
    </w:p>
    <w:p w14:paraId="2F76383C" w14:textId="1BA0CF4A" w:rsidR="00E43BF9" w:rsidRDefault="00DD01CB" w:rsidP="00E43BF9">
      <w:pPr>
        <w:pStyle w:val="ListParagraph"/>
        <w:numPr>
          <w:ilvl w:val="0"/>
          <w:numId w:val="21"/>
        </w:numPr>
        <w:ind w:right="-22"/>
      </w:pPr>
      <w:bookmarkStart w:id="46" w:name="_Ref204330787"/>
      <w:r w:rsidRPr="00DD01CB">
        <w:t>R4-2507060</w:t>
      </w:r>
      <w:r>
        <w:t xml:space="preserve">, </w:t>
      </w:r>
      <w:r w:rsidR="00451127" w:rsidRPr="00451127">
        <w:t xml:space="preserve">Discussion on low-band CA switching time mask and fallback </w:t>
      </w:r>
      <w:proofErr w:type="spellStart"/>
      <w:r w:rsidR="00451127" w:rsidRPr="00451127">
        <w:t>applicapability</w:t>
      </w:r>
      <w:proofErr w:type="spellEnd"/>
      <w:r w:rsidR="00451127">
        <w:t xml:space="preserve">, </w:t>
      </w:r>
      <w:r w:rsidR="00D24FFF" w:rsidRPr="00D24FFF">
        <w:t>MediaTek Inc.</w:t>
      </w:r>
      <w:bookmarkEnd w:id="46"/>
    </w:p>
    <w:p w14:paraId="6C18CDF0" w14:textId="2D93E2CD" w:rsidR="003E6CF8" w:rsidRDefault="00254E98">
      <w:pPr>
        <w:pStyle w:val="ListParagraph"/>
        <w:numPr>
          <w:ilvl w:val="0"/>
          <w:numId w:val="21"/>
        </w:numPr>
        <w:ind w:right="-22"/>
      </w:pPr>
      <w:bookmarkStart w:id="47" w:name="_Ref204331367"/>
      <w:r w:rsidRPr="00254E98">
        <w:lastRenderedPageBreak/>
        <w:t>R4-2506739</w:t>
      </w:r>
      <w:r>
        <w:t xml:space="preserve">, </w:t>
      </w:r>
      <w:r w:rsidR="002C3172">
        <w:t xml:space="preserve">Discussion on low band carrier aggregation via switching, Huawei, </w:t>
      </w:r>
      <w:proofErr w:type="spellStart"/>
      <w:r w:rsidR="002C3172">
        <w:t>HiSilicon</w:t>
      </w:r>
      <w:bookmarkEnd w:id="47"/>
      <w:proofErr w:type="spellEnd"/>
    </w:p>
    <w:p w14:paraId="296B7CA8" w14:textId="4B86B9B2" w:rsidR="005D71C5" w:rsidRPr="008B7A65" w:rsidRDefault="007A3722" w:rsidP="007A3722">
      <w:pPr>
        <w:pStyle w:val="ListParagraph"/>
        <w:numPr>
          <w:ilvl w:val="0"/>
          <w:numId w:val="21"/>
        </w:numPr>
        <w:ind w:right="-22"/>
      </w:pPr>
      <w:r>
        <w:t xml:space="preserve">R1-2505061, </w:t>
      </w:r>
      <w:hyperlink r:id="rId13" w:history="1">
        <w:r w:rsidR="00B920BC" w:rsidRPr="00B920BC">
          <w:t xml:space="preserve"> Introduction of low NR band carrier aggregation via switching for NR</w:t>
        </w:r>
        <w:r w:rsidR="00B920BC">
          <w:t>, Samsung</w:t>
        </w:r>
        <w:r w:rsidR="00B920BC" w:rsidRPr="00B920BC">
          <w:rPr>
            <w:rStyle w:val="Hyperlink"/>
            <w:color w:val="auto"/>
            <w:u w:val="none"/>
          </w:rPr>
          <w:t xml:space="preserve"> </w:t>
        </w:r>
      </w:hyperlink>
    </w:p>
    <w:sectPr w:rsidR="005D71C5"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C3F1D" w14:textId="77777777" w:rsidR="00E17101" w:rsidRDefault="00E17101" w:rsidP="00001C9B">
      <w:pPr>
        <w:spacing w:after="0" w:line="240" w:lineRule="auto"/>
      </w:pPr>
      <w:r>
        <w:separator/>
      </w:r>
    </w:p>
  </w:endnote>
  <w:endnote w:type="continuationSeparator" w:id="0">
    <w:p w14:paraId="7438DBDD" w14:textId="77777777" w:rsidR="00E17101" w:rsidRDefault="00E1710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D09EE" w14:textId="77777777" w:rsidR="00E17101" w:rsidRDefault="00E17101" w:rsidP="00001C9B">
      <w:pPr>
        <w:spacing w:after="0" w:line="240" w:lineRule="auto"/>
      </w:pPr>
      <w:r>
        <w:separator/>
      </w:r>
    </w:p>
  </w:footnote>
  <w:footnote w:type="continuationSeparator" w:id="0">
    <w:p w14:paraId="0EDC956A" w14:textId="77777777" w:rsidR="00E17101" w:rsidRDefault="00E1710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9D7BCF"/>
    <w:multiLevelType w:val="hybridMultilevel"/>
    <w:tmpl w:val="25ACA2E0"/>
    <w:lvl w:ilvl="0" w:tplc="140A34EE">
      <w:start w:val="1"/>
      <w:numFmt w:val="bullet"/>
      <w:lvlText w:val=""/>
      <w:lvlJc w:val="left"/>
      <w:pPr>
        <w:ind w:left="1080" w:hanging="360"/>
      </w:pPr>
      <w:rPr>
        <w:rFonts w:ascii="Symbol" w:hAnsi="Symbol"/>
      </w:rPr>
    </w:lvl>
    <w:lvl w:ilvl="1" w:tplc="F74229EA">
      <w:start w:val="1"/>
      <w:numFmt w:val="bullet"/>
      <w:lvlText w:val=""/>
      <w:lvlJc w:val="left"/>
      <w:pPr>
        <w:ind w:left="1080" w:hanging="360"/>
      </w:pPr>
      <w:rPr>
        <w:rFonts w:ascii="Symbol" w:hAnsi="Symbol"/>
      </w:rPr>
    </w:lvl>
    <w:lvl w:ilvl="2" w:tplc="6CFEC14E">
      <w:start w:val="1"/>
      <w:numFmt w:val="bullet"/>
      <w:lvlText w:val=""/>
      <w:lvlJc w:val="left"/>
      <w:pPr>
        <w:ind w:left="1080" w:hanging="360"/>
      </w:pPr>
      <w:rPr>
        <w:rFonts w:ascii="Symbol" w:hAnsi="Symbol"/>
      </w:rPr>
    </w:lvl>
    <w:lvl w:ilvl="3" w:tplc="7ACED320">
      <w:start w:val="1"/>
      <w:numFmt w:val="bullet"/>
      <w:lvlText w:val=""/>
      <w:lvlJc w:val="left"/>
      <w:pPr>
        <w:ind w:left="1080" w:hanging="360"/>
      </w:pPr>
      <w:rPr>
        <w:rFonts w:ascii="Symbol" w:hAnsi="Symbol"/>
      </w:rPr>
    </w:lvl>
    <w:lvl w:ilvl="4" w:tplc="04881260">
      <w:start w:val="1"/>
      <w:numFmt w:val="bullet"/>
      <w:lvlText w:val=""/>
      <w:lvlJc w:val="left"/>
      <w:pPr>
        <w:ind w:left="1080" w:hanging="360"/>
      </w:pPr>
      <w:rPr>
        <w:rFonts w:ascii="Symbol" w:hAnsi="Symbol"/>
      </w:rPr>
    </w:lvl>
    <w:lvl w:ilvl="5" w:tplc="4C34BC7C">
      <w:start w:val="1"/>
      <w:numFmt w:val="bullet"/>
      <w:lvlText w:val=""/>
      <w:lvlJc w:val="left"/>
      <w:pPr>
        <w:ind w:left="1080" w:hanging="360"/>
      </w:pPr>
      <w:rPr>
        <w:rFonts w:ascii="Symbol" w:hAnsi="Symbol"/>
      </w:rPr>
    </w:lvl>
    <w:lvl w:ilvl="6" w:tplc="5D7E022A">
      <w:start w:val="1"/>
      <w:numFmt w:val="bullet"/>
      <w:lvlText w:val=""/>
      <w:lvlJc w:val="left"/>
      <w:pPr>
        <w:ind w:left="1080" w:hanging="360"/>
      </w:pPr>
      <w:rPr>
        <w:rFonts w:ascii="Symbol" w:hAnsi="Symbol"/>
      </w:rPr>
    </w:lvl>
    <w:lvl w:ilvl="7" w:tplc="79DC8BCC">
      <w:start w:val="1"/>
      <w:numFmt w:val="bullet"/>
      <w:lvlText w:val=""/>
      <w:lvlJc w:val="left"/>
      <w:pPr>
        <w:ind w:left="1080" w:hanging="360"/>
      </w:pPr>
      <w:rPr>
        <w:rFonts w:ascii="Symbol" w:hAnsi="Symbol"/>
      </w:rPr>
    </w:lvl>
    <w:lvl w:ilvl="8" w:tplc="9740EE12">
      <w:start w:val="1"/>
      <w:numFmt w:val="bullet"/>
      <w:lvlText w:val=""/>
      <w:lvlJc w:val="left"/>
      <w:pPr>
        <w:ind w:left="1080" w:hanging="360"/>
      </w:pPr>
      <w:rPr>
        <w:rFonts w:ascii="Symbol" w:hAnsi="Symbol"/>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000AA"/>
    <w:multiLevelType w:val="hybridMultilevel"/>
    <w:tmpl w:val="2ACA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253A4A"/>
    <w:multiLevelType w:val="multilevel"/>
    <w:tmpl w:val="BFD8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347E3B"/>
    <w:multiLevelType w:val="hybridMultilevel"/>
    <w:tmpl w:val="0840D182"/>
    <w:lvl w:ilvl="0" w:tplc="51C0AD7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D1276"/>
    <w:multiLevelType w:val="hybridMultilevel"/>
    <w:tmpl w:val="B5FCF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01304"/>
    <w:multiLevelType w:val="hybridMultilevel"/>
    <w:tmpl w:val="1ED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E12607"/>
    <w:multiLevelType w:val="hybridMultilevel"/>
    <w:tmpl w:val="390C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06E42"/>
    <w:multiLevelType w:val="hybridMultilevel"/>
    <w:tmpl w:val="DAD6030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84020BC"/>
    <w:multiLevelType w:val="hybridMultilevel"/>
    <w:tmpl w:val="2A1CDD4E"/>
    <w:lvl w:ilvl="0" w:tplc="EE3051A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B2FAF"/>
    <w:multiLevelType w:val="hybridMultilevel"/>
    <w:tmpl w:val="28A0D4BA"/>
    <w:lvl w:ilvl="0" w:tplc="9CDE9854">
      <w:start w:val="1"/>
      <w:numFmt w:val="bullet"/>
      <w:lvlText w:val=""/>
      <w:lvlJc w:val="left"/>
      <w:pPr>
        <w:ind w:left="1080" w:hanging="360"/>
      </w:pPr>
      <w:rPr>
        <w:rFonts w:ascii="Symbol" w:hAnsi="Symbol"/>
      </w:rPr>
    </w:lvl>
    <w:lvl w:ilvl="1" w:tplc="67D8419A">
      <w:start w:val="1"/>
      <w:numFmt w:val="bullet"/>
      <w:lvlText w:val=""/>
      <w:lvlJc w:val="left"/>
      <w:pPr>
        <w:ind w:left="1080" w:hanging="360"/>
      </w:pPr>
      <w:rPr>
        <w:rFonts w:ascii="Symbol" w:hAnsi="Symbol"/>
      </w:rPr>
    </w:lvl>
    <w:lvl w:ilvl="2" w:tplc="2B02592E">
      <w:start w:val="1"/>
      <w:numFmt w:val="bullet"/>
      <w:lvlText w:val=""/>
      <w:lvlJc w:val="left"/>
      <w:pPr>
        <w:ind w:left="1080" w:hanging="360"/>
      </w:pPr>
      <w:rPr>
        <w:rFonts w:ascii="Symbol" w:hAnsi="Symbol"/>
      </w:rPr>
    </w:lvl>
    <w:lvl w:ilvl="3" w:tplc="D4427854">
      <w:start w:val="1"/>
      <w:numFmt w:val="bullet"/>
      <w:lvlText w:val=""/>
      <w:lvlJc w:val="left"/>
      <w:pPr>
        <w:ind w:left="1080" w:hanging="360"/>
      </w:pPr>
      <w:rPr>
        <w:rFonts w:ascii="Symbol" w:hAnsi="Symbol"/>
      </w:rPr>
    </w:lvl>
    <w:lvl w:ilvl="4" w:tplc="918E8338">
      <w:start w:val="1"/>
      <w:numFmt w:val="bullet"/>
      <w:lvlText w:val=""/>
      <w:lvlJc w:val="left"/>
      <w:pPr>
        <w:ind w:left="1080" w:hanging="360"/>
      </w:pPr>
      <w:rPr>
        <w:rFonts w:ascii="Symbol" w:hAnsi="Symbol"/>
      </w:rPr>
    </w:lvl>
    <w:lvl w:ilvl="5" w:tplc="5D446186">
      <w:start w:val="1"/>
      <w:numFmt w:val="bullet"/>
      <w:lvlText w:val=""/>
      <w:lvlJc w:val="left"/>
      <w:pPr>
        <w:ind w:left="1080" w:hanging="360"/>
      </w:pPr>
      <w:rPr>
        <w:rFonts w:ascii="Symbol" w:hAnsi="Symbol"/>
      </w:rPr>
    </w:lvl>
    <w:lvl w:ilvl="6" w:tplc="D562B0CA">
      <w:start w:val="1"/>
      <w:numFmt w:val="bullet"/>
      <w:lvlText w:val=""/>
      <w:lvlJc w:val="left"/>
      <w:pPr>
        <w:ind w:left="1080" w:hanging="360"/>
      </w:pPr>
      <w:rPr>
        <w:rFonts w:ascii="Symbol" w:hAnsi="Symbol"/>
      </w:rPr>
    </w:lvl>
    <w:lvl w:ilvl="7" w:tplc="CE6E028C">
      <w:start w:val="1"/>
      <w:numFmt w:val="bullet"/>
      <w:lvlText w:val=""/>
      <w:lvlJc w:val="left"/>
      <w:pPr>
        <w:ind w:left="1080" w:hanging="360"/>
      </w:pPr>
      <w:rPr>
        <w:rFonts w:ascii="Symbol" w:hAnsi="Symbol"/>
      </w:rPr>
    </w:lvl>
    <w:lvl w:ilvl="8" w:tplc="FE465B40">
      <w:start w:val="1"/>
      <w:numFmt w:val="bullet"/>
      <w:lvlText w:val=""/>
      <w:lvlJc w:val="left"/>
      <w:pPr>
        <w:ind w:left="1080" w:hanging="360"/>
      </w:pPr>
      <w:rPr>
        <w:rFonts w:ascii="Symbol" w:hAnsi="Symbol"/>
      </w:rPr>
    </w:lvl>
  </w:abstractNum>
  <w:abstractNum w:abstractNumId="18" w15:restartNumberingAfterBreak="0">
    <w:nsid w:val="3D577810"/>
    <w:multiLevelType w:val="hybridMultilevel"/>
    <w:tmpl w:val="7618F8B2"/>
    <w:lvl w:ilvl="0" w:tplc="DEE4706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63865"/>
    <w:multiLevelType w:val="hybridMultilevel"/>
    <w:tmpl w:val="B1548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07742F"/>
    <w:multiLevelType w:val="hybridMultilevel"/>
    <w:tmpl w:val="0CC68B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C5B06E0"/>
    <w:multiLevelType w:val="multilevel"/>
    <w:tmpl w:val="E432F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07278"/>
    <w:multiLevelType w:val="hybridMultilevel"/>
    <w:tmpl w:val="78FE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95C2F"/>
    <w:multiLevelType w:val="hybridMultilevel"/>
    <w:tmpl w:val="58A65892"/>
    <w:lvl w:ilvl="0" w:tplc="EE3051A0">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2"/>
  </w:num>
  <w:num w:numId="3" w16cid:durableId="1792749823">
    <w:abstractNumId w:val="25"/>
  </w:num>
  <w:num w:numId="4" w16cid:durableId="517735681">
    <w:abstractNumId w:val="11"/>
  </w:num>
  <w:num w:numId="5" w16cid:durableId="1142041724">
    <w:abstractNumId w:val="31"/>
  </w:num>
  <w:num w:numId="6" w16cid:durableId="80681869">
    <w:abstractNumId w:val="21"/>
  </w:num>
  <w:num w:numId="7" w16cid:durableId="1566528953">
    <w:abstractNumId w:val="24"/>
  </w:num>
  <w:num w:numId="8" w16cid:durableId="809788981">
    <w:abstractNumId w:val="24"/>
    <w:lvlOverride w:ilvl="0">
      <w:startOverride w:val="1"/>
    </w:lvlOverride>
  </w:num>
  <w:num w:numId="9" w16cid:durableId="1398822153">
    <w:abstractNumId w:val="24"/>
    <w:lvlOverride w:ilvl="0">
      <w:startOverride w:val="1"/>
    </w:lvlOverride>
  </w:num>
  <w:num w:numId="10" w16cid:durableId="1825466284">
    <w:abstractNumId w:val="24"/>
    <w:lvlOverride w:ilvl="0">
      <w:startOverride w:val="1"/>
    </w:lvlOverride>
  </w:num>
  <w:num w:numId="11" w16cid:durableId="1446922321">
    <w:abstractNumId w:val="21"/>
    <w:lvlOverride w:ilvl="0">
      <w:startOverride w:val="1"/>
    </w:lvlOverride>
  </w:num>
  <w:num w:numId="12" w16cid:durableId="122584543">
    <w:abstractNumId w:val="24"/>
    <w:lvlOverride w:ilvl="0">
      <w:startOverride w:val="1"/>
    </w:lvlOverride>
  </w:num>
  <w:num w:numId="13" w16cid:durableId="818807267">
    <w:abstractNumId w:val="21"/>
    <w:lvlOverride w:ilvl="0">
      <w:startOverride w:val="1"/>
    </w:lvlOverride>
  </w:num>
  <w:num w:numId="14" w16cid:durableId="883829348">
    <w:abstractNumId w:val="24"/>
    <w:lvlOverride w:ilvl="0">
      <w:startOverride w:val="1"/>
    </w:lvlOverride>
  </w:num>
  <w:num w:numId="15" w16cid:durableId="438372887">
    <w:abstractNumId w:val="34"/>
  </w:num>
  <w:num w:numId="16" w16cid:durableId="516113510">
    <w:abstractNumId w:val="7"/>
  </w:num>
  <w:num w:numId="17" w16cid:durableId="1456096507">
    <w:abstractNumId w:val="30"/>
  </w:num>
  <w:num w:numId="18" w16cid:durableId="1397970374">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0"/>
  </w:num>
  <w:num w:numId="21" w16cid:durableId="1659071369">
    <w:abstractNumId w:val="28"/>
  </w:num>
  <w:num w:numId="22" w16cid:durableId="1938362445">
    <w:abstractNumId w:val="21"/>
    <w:lvlOverride w:ilvl="0">
      <w:startOverride w:val="1"/>
    </w:lvlOverride>
  </w:num>
  <w:num w:numId="23" w16cid:durableId="913515990">
    <w:abstractNumId w:val="24"/>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35"/>
  </w:num>
  <w:num w:numId="28" w16cid:durableId="2095668156">
    <w:abstractNumId w:val="5"/>
  </w:num>
  <w:num w:numId="29" w16cid:durableId="1844738670">
    <w:abstractNumId w:val="32"/>
  </w:num>
  <w:num w:numId="30" w16cid:durableId="910971134">
    <w:abstractNumId w:val="26"/>
  </w:num>
  <w:num w:numId="31" w16cid:durableId="265502100">
    <w:abstractNumId w:val="10"/>
  </w:num>
  <w:num w:numId="32" w16cid:durableId="122115237">
    <w:abstractNumId w:val="32"/>
  </w:num>
  <w:num w:numId="33" w16cid:durableId="960308783">
    <w:abstractNumId w:val="33"/>
  </w:num>
  <w:num w:numId="34" w16cid:durableId="735737050">
    <w:abstractNumId w:val="13"/>
  </w:num>
  <w:num w:numId="35" w16cid:durableId="1303191668">
    <w:abstractNumId w:val="29"/>
  </w:num>
  <w:num w:numId="36" w16cid:durableId="1187673677">
    <w:abstractNumId w:val="16"/>
  </w:num>
  <w:num w:numId="37" w16cid:durableId="418790763">
    <w:abstractNumId w:val="15"/>
  </w:num>
  <w:num w:numId="38" w16cid:durableId="517163537">
    <w:abstractNumId w:val="9"/>
  </w:num>
  <w:num w:numId="39" w16cid:durableId="1430811212">
    <w:abstractNumId w:val="14"/>
  </w:num>
  <w:num w:numId="40" w16cid:durableId="40987158">
    <w:abstractNumId w:val="27"/>
  </w:num>
  <w:num w:numId="41" w16cid:durableId="2026860326">
    <w:abstractNumId w:val="8"/>
  </w:num>
  <w:num w:numId="42" w16cid:durableId="1429353864">
    <w:abstractNumId w:val="18"/>
  </w:num>
  <w:num w:numId="43" w16cid:durableId="224461916">
    <w:abstractNumId w:val="23"/>
  </w:num>
  <w:num w:numId="44" w16cid:durableId="434058950">
    <w:abstractNumId w:val="6"/>
  </w:num>
  <w:num w:numId="45" w16cid:durableId="414086116">
    <w:abstractNumId w:val="22"/>
  </w:num>
  <w:num w:numId="46" w16cid:durableId="1163201097">
    <w:abstractNumId w:val="19"/>
  </w:num>
  <w:num w:numId="47" w16cid:durableId="583732770">
    <w:abstractNumId w:val="21"/>
  </w:num>
  <w:num w:numId="48" w16cid:durableId="971669130">
    <w:abstractNumId w:val="24"/>
  </w:num>
  <w:num w:numId="49" w16cid:durableId="1821848648">
    <w:abstractNumId w:val="4"/>
  </w:num>
  <w:num w:numId="50" w16cid:durableId="105856849">
    <w:abstractNumId w:val="17"/>
  </w:num>
  <w:num w:numId="51" w16cid:durableId="70898948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1C9B"/>
    <w:rsid w:val="000030C2"/>
    <w:rsid w:val="000036E5"/>
    <w:rsid w:val="00003E34"/>
    <w:rsid w:val="000040DC"/>
    <w:rsid w:val="00005057"/>
    <w:rsid w:val="000057DC"/>
    <w:rsid w:val="00005E63"/>
    <w:rsid w:val="00011784"/>
    <w:rsid w:val="00011ED3"/>
    <w:rsid w:val="00012202"/>
    <w:rsid w:val="000122F9"/>
    <w:rsid w:val="000151EF"/>
    <w:rsid w:val="00015EF5"/>
    <w:rsid w:val="00017ED3"/>
    <w:rsid w:val="000200AB"/>
    <w:rsid w:val="0002174A"/>
    <w:rsid w:val="0002224E"/>
    <w:rsid w:val="000239F5"/>
    <w:rsid w:val="00031B87"/>
    <w:rsid w:val="00056FC2"/>
    <w:rsid w:val="00057AF5"/>
    <w:rsid w:val="00061256"/>
    <w:rsid w:val="00061478"/>
    <w:rsid w:val="00063F4A"/>
    <w:rsid w:val="00064E6E"/>
    <w:rsid w:val="00072CCA"/>
    <w:rsid w:val="000736FF"/>
    <w:rsid w:val="0007601C"/>
    <w:rsid w:val="00081544"/>
    <w:rsid w:val="0008612A"/>
    <w:rsid w:val="00090E18"/>
    <w:rsid w:val="00091882"/>
    <w:rsid w:val="000927F2"/>
    <w:rsid w:val="000A01D3"/>
    <w:rsid w:val="000A045C"/>
    <w:rsid w:val="000A10BC"/>
    <w:rsid w:val="000A1CBC"/>
    <w:rsid w:val="000A2E19"/>
    <w:rsid w:val="000A310D"/>
    <w:rsid w:val="000A4F83"/>
    <w:rsid w:val="000A7F53"/>
    <w:rsid w:val="000B0056"/>
    <w:rsid w:val="000B1A5C"/>
    <w:rsid w:val="000B1EC9"/>
    <w:rsid w:val="000B4125"/>
    <w:rsid w:val="000B6645"/>
    <w:rsid w:val="000C3B5B"/>
    <w:rsid w:val="000C3C7B"/>
    <w:rsid w:val="000C3E06"/>
    <w:rsid w:val="000C6ABC"/>
    <w:rsid w:val="000D0F93"/>
    <w:rsid w:val="000D12D3"/>
    <w:rsid w:val="000D2F8D"/>
    <w:rsid w:val="000D547F"/>
    <w:rsid w:val="000D71D0"/>
    <w:rsid w:val="000E5B07"/>
    <w:rsid w:val="000F03F4"/>
    <w:rsid w:val="000F110A"/>
    <w:rsid w:val="000F6F3F"/>
    <w:rsid w:val="000F77B0"/>
    <w:rsid w:val="001026A0"/>
    <w:rsid w:val="0010294A"/>
    <w:rsid w:val="001058E2"/>
    <w:rsid w:val="00106416"/>
    <w:rsid w:val="0010667E"/>
    <w:rsid w:val="001075D4"/>
    <w:rsid w:val="00110481"/>
    <w:rsid w:val="001127C9"/>
    <w:rsid w:val="00113708"/>
    <w:rsid w:val="00113B33"/>
    <w:rsid w:val="00114498"/>
    <w:rsid w:val="00114CD3"/>
    <w:rsid w:val="00115B88"/>
    <w:rsid w:val="00116349"/>
    <w:rsid w:val="00120CE8"/>
    <w:rsid w:val="001301A7"/>
    <w:rsid w:val="0013037B"/>
    <w:rsid w:val="001326D0"/>
    <w:rsid w:val="00132F6A"/>
    <w:rsid w:val="00133913"/>
    <w:rsid w:val="00140221"/>
    <w:rsid w:val="00142C87"/>
    <w:rsid w:val="00142E53"/>
    <w:rsid w:val="00143134"/>
    <w:rsid w:val="0014570E"/>
    <w:rsid w:val="00146BFB"/>
    <w:rsid w:val="0015501D"/>
    <w:rsid w:val="00155C0D"/>
    <w:rsid w:val="00161913"/>
    <w:rsid w:val="001642FC"/>
    <w:rsid w:val="0016496B"/>
    <w:rsid w:val="00166A0D"/>
    <w:rsid w:val="0017060D"/>
    <w:rsid w:val="001743E2"/>
    <w:rsid w:val="001745F8"/>
    <w:rsid w:val="001777E8"/>
    <w:rsid w:val="00180880"/>
    <w:rsid w:val="00182294"/>
    <w:rsid w:val="00182687"/>
    <w:rsid w:val="0018311F"/>
    <w:rsid w:val="001833F9"/>
    <w:rsid w:val="001838CF"/>
    <w:rsid w:val="00184ECF"/>
    <w:rsid w:val="001868EE"/>
    <w:rsid w:val="0018737E"/>
    <w:rsid w:val="00191780"/>
    <w:rsid w:val="00194AEC"/>
    <w:rsid w:val="0019583D"/>
    <w:rsid w:val="001A3BA4"/>
    <w:rsid w:val="001A57D3"/>
    <w:rsid w:val="001A6D1F"/>
    <w:rsid w:val="001B0841"/>
    <w:rsid w:val="001B1EA8"/>
    <w:rsid w:val="001B7B38"/>
    <w:rsid w:val="001C348E"/>
    <w:rsid w:val="001C4013"/>
    <w:rsid w:val="001C4AAA"/>
    <w:rsid w:val="001C5931"/>
    <w:rsid w:val="001C720D"/>
    <w:rsid w:val="001D031F"/>
    <w:rsid w:val="001D0BCD"/>
    <w:rsid w:val="001D0D73"/>
    <w:rsid w:val="001D14A5"/>
    <w:rsid w:val="001D23C9"/>
    <w:rsid w:val="001D5E7F"/>
    <w:rsid w:val="001E071D"/>
    <w:rsid w:val="001E30F6"/>
    <w:rsid w:val="001E6C0A"/>
    <w:rsid w:val="001F564C"/>
    <w:rsid w:val="001F7733"/>
    <w:rsid w:val="00200091"/>
    <w:rsid w:val="0020052C"/>
    <w:rsid w:val="002006FF"/>
    <w:rsid w:val="0020158C"/>
    <w:rsid w:val="002048C7"/>
    <w:rsid w:val="00205726"/>
    <w:rsid w:val="00214327"/>
    <w:rsid w:val="00216379"/>
    <w:rsid w:val="00217A41"/>
    <w:rsid w:val="00217EE5"/>
    <w:rsid w:val="00222C84"/>
    <w:rsid w:val="002309FB"/>
    <w:rsid w:val="00234A8D"/>
    <w:rsid w:val="0023559D"/>
    <w:rsid w:val="00235F5C"/>
    <w:rsid w:val="00240FE8"/>
    <w:rsid w:val="0024235F"/>
    <w:rsid w:val="002433E2"/>
    <w:rsid w:val="00243501"/>
    <w:rsid w:val="00244710"/>
    <w:rsid w:val="002507C1"/>
    <w:rsid w:val="00254A87"/>
    <w:rsid w:val="00254E98"/>
    <w:rsid w:val="00257FA3"/>
    <w:rsid w:val="00260701"/>
    <w:rsid w:val="00263447"/>
    <w:rsid w:val="00272054"/>
    <w:rsid w:val="00273FBA"/>
    <w:rsid w:val="002745C5"/>
    <w:rsid w:val="00276D4D"/>
    <w:rsid w:val="00277B56"/>
    <w:rsid w:val="00282A74"/>
    <w:rsid w:val="002848D7"/>
    <w:rsid w:val="002849D4"/>
    <w:rsid w:val="00286427"/>
    <w:rsid w:val="00293E46"/>
    <w:rsid w:val="0029470F"/>
    <w:rsid w:val="00295AB2"/>
    <w:rsid w:val="00295E70"/>
    <w:rsid w:val="002A15A1"/>
    <w:rsid w:val="002A19F5"/>
    <w:rsid w:val="002A3138"/>
    <w:rsid w:val="002A5615"/>
    <w:rsid w:val="002A655C"/>
    <w:rsid w:val="002A7D7F"/>
    <w:rsid w:val="002B4922"/>
    <w:rsid w:val="002B5749"/>
    <w:rsid w:val="002B69F3"/>
    <w:rsid w:val="002C1B16"/>
    <w:rsid w:val="002C22C3"/>
    <w:rsid w:val="002C2718"/>
    <w:rsid w:val="002C2D19"/>
    <w:rsid w:val="002C3172"/>
    <w:rsid w:val="002D10FA"/>
    <w:rsid w:val="002D4C55"/>
    <w:rsid w:val="002E0FA9"/>
    <w:rsid w:val="002E52ED"/>
    <w:rsid w:val="002E6DED"/>
    <w:rsid w:val="002F0201"/>
    <w:rsid w:val="002F0691"/>
    <w:rsid w:val="002F5AA4"/>
    <w:rsid w:val="00300956"/>
    <w:rsid w:val="00304483"/>
    <w:rsid w:val="003055D0"/>
    <w:rsid w:val="003069C8"/>
    <w:rsid w:val="00306ABC"/>
    <w:rsid w:val="00307EE8"/>
    <w:rsid w:val="00313A01"/>
    <w:rsid w:val="00317187"/>
    <w:rsid w:val="00324324"/>
    <w:rsid w:val="0032499A"/>
    <w:rsid w:val="0032530A"/>
    <w:rsid w:val="00325FD0"/>
    <w:rsid w:val="00333268"/>
    <w:rsid w:val="00333FD2"/>
    <w:rsid w:val="003341F7"/>
    <w:rsid w:val="003364D9"/>
    <w:rsid w:val="00336E8C"/>
    <w:rsid w:val="00340C4A"/>
    <w:rsid w:val="00343740"/>
    <w:rsid w:val="00347FEC"/>
    <w:rsid w:val="0035000D"/>
    <w:rsid w:val="003509DF"/>
    <w:rsid w:val="00353FEA"/>
    <w:rsid w:val="00356F45"/>
    <w:rsid w:val="003611A9"/>
    <w:rsid w:val="00362656"/>
    <w:rsid w:val="00363EF2"/>
    <w:rsid w:val="00366B74"/>
    <w:rsid w:val="00367538"/>
    <w:rsid w:val="003726FE"/>
    <w:rsid w:val="00372F1D"/>
    <w:rsid w:val="00375654"/>
    <w:rsid w:val="003774C0"/>
    <w:rsid w:val="00381F95"/>
    <w:rsid w:val="00385E5D"/>
    <w:rsid w:val="00387210"/>
    <w:rsid w:val="00390D81"/>
    <w:rsid w:val="00393B1C"/>
    <w:rsid w:val="00394FA8"/>
    <w:rsid w:val="0039771B"/>
    <w:rsid w:val="00397AF4"/>
    <w:rsid w:val="003A710A"/>
    <w:rsid w:val="003B2870"/>
    <w:rsid w:val="003B3E90"/>
    <w:rsid w:val="003B4307"/>
    <w:rsid w:val="003B5679"/>
    <w:rsid w:val="003B5FA3"/>
    <w:rsid w:val="003B659E"/>
    <w:rsid w:val="003C23FE"/>
    <w:rsid w:val="003C275E"/>
    <w:rsid w:val="003C3691"/>
    <w:rsid w:val="003C4FDE"/>
    <w:rsid w:val="003C73FE"/>
    <w:rsid w:val="003D0D55"/>
    <w:rsid w:val="003D5785"/>
    <w:rsid w:val="003E1994"/>
    <w:rsid w:val="003E58DF"/>
    <w:rsid w:val="003E6CF8"/>
    <w:rsid w:val="003F5F13"/>
    <w:rsid w:val="003F7007"/>
    <w:rsid w:val="003F711F"/>
    <w:rsid w:val="00404A45"/>
    <w:rsid w:val="00404C4C"/>
    <w:rsid w:val="0040596C"/>
    <w:rsid w:val="004071A9"/>
    <w:rsid w:val="00407BDE"/>
    <w:rsid w:val="00407CFB"/>
    <w:rsid w:val="004118CC"/>
    <w:rsid w:val="00411C78"/>
    <w:rsid w:val="0041423F"/>
    <w:rsid w:val="004148B3"/>
    <w:rsid w:val="00414F81"/>
    <w:rsid w:val="0041709A"/>
    <w:rsid w:val="00417A33"/>
    <w:rsid w:val="00424D99"/>
    <w:rsid w:val="00425F12"/>
    <w:rsid w:val="00426B9A"/>
    <w:rsid w:val="00427904"/>
    <w:rsid w:val="004303EA"/>
    <w:rsid w:val="00434A4D"/>
    <w:rsid w:val="004353D2"/>
    <w:rsid w:val="00436A0F"/>
    <w:rsid w:val="00436D70"/>
    <w:rsid w:val="00437150"/>
    <w:rsid w:val="0043750A"/>
    <w:rsid w:val="00440E95"/>
    <w:rsid w:val="004422C1"/>
    <w:rsid w:val="00443C51"/>
    <w:rsid w:val="004452C4"/>
    <w:rsid w:val="00447577"/>
    <w:rsid w:val="00447B9C"/>
    <w:rsid w:val="00450C79"/>
    <w:rsid w:val="00451127"/>
    <w:rsid w:val="00464728"/>
    <w:rsid w:val="00467804"/>
    <w:rsid w:val="004710E0"/>
    <w:rsid w:val="004732E9"/>
    <w:rsid w:val="004854BB"/>
    <w:rsid w:val="00494493"/>
    <w:rsid w:val="0049648B"/>
    <w:rsid w:val="00496606"/>
    <w:rsid w:val="004A1C3F"/>
    <w:rsid w:val="004A27CB"/>
    <w:rsid w:val="004A34A7"/>
    <w:rsid w:val="004A396D"/>
    <w:rsid w:val="004B0CA2"/>
    <w:rsid w:val="004B4968"/>
    <w:rsid w:val="004C0785"/>
    <w:rsid w:val="004C3114"/>
    <w:rsid w:val="004C7A74"/>
    <w:rsid w:val="004D2EDB"/>
    <w:rsid w:val="004D3405"/>
    <w:rsid w:val="004D359F"/>
    <w:rsid w:val="004D386F"/>
    <w:rsid w:val="004D46D0"/>
    <w:rsid w:val="004E24CF"/>
    <w:rsid w:val="004E3E1E"/>
    <w:rsid w:val="004E5E66"/>
    <w:rsid w:val="004E7ADB"/>
    <w:rsid w:val="004F1106"/>
    <w:rsid w:val="004F3DF4"/>
    <w:rsid w:val="004F51C9"/>
    <w:rsid w:val="004F5C31"/>
    <w:rsid w:val="005019DC"/>
    <w:rsid w:val="00503B4D"/>
    <w:rsid w:val="00504EE9"/>
    <w:rsid w:val="00505841"/>
    <w:rsid w:val="00512D43"/>
    <w:rsid w:val="005132B7"/>
    <w:rsid w:val="00513349"/>
    <w:rsid w:val="00514E4F"/>
    <w:rsid w:val="0051672D"/>
    <w:rsid w:val="00521576"/>
    <w:rsid w:val="0052294E"/>
    <w:rsid w:val="00522D85"/>
    <w:rsid w:val="005250E6"/>
    <w:rsid w:val="00526479"/>
    <w:rsid w:val="005327D1"/>
    <w:rsid w:val="00532F86"/>
    <w:rsid w:val="00536707"/>
    <w:rsid w:val="005403F6"/>
    <w:rsid w:val="00542D23"/>
    <w:rsid w:val="0054442C"/>
    <w:rsid w:val="0054469F"/>
    <w:rsid w:val="00545E53"/>
    <w:rsid w:val="00550285"/>
    <w:rsid w:val="0055098C"/>
    <w:rsid w:val="005579BB"/>
    <w:rsid w:val="005612A1"/>
    <w:rsid w:val="00562492"/>
    <w:rsid w:val="005624E0"/>
    <w:rsid w:val="0056317F"/>
    <w:rsid w:val="00563A1C"/>
    <w:rsid w:val="00572A20"/>
    <w:rsid w:val="00577BF9"/>
    <w:rsid w:val="00581618"/>
    <w:rsid w:val="005817AF"/>
    <w:rsid w:val="005836F8"/>
    <w:rsid w:val="00584BB3"/>
    <w:rsid w:val="005918FA"/>
    <w:rsid w:val="00592A86"/>
    <w:rsid w:val="00594E4A"/>
    <w:rsid w:val="005970EF"/>
    <w:rsid w:val="00597FD4"/>
    <w:rsid w:val="005B3029"/>
    <w:rsid w:val="005B3727"/>
    <w:rsid w:val="005B4801"/>
    <w:rsid w:val="005C23A4"/>
    <w:rsid w:val="005C6710"/>
    <w:rsid w:val="005C7EFA"/>
    <w:rsid w:val="005D0545"/>
    <w:rsid w:val="005D13AB"/>
    <w:rsid w:val="005D1CDF"/>
    <w:rsid w:val="005D20FD"/>
    <w:rsid w:val="005D2BB7"/>
    <w:rsid w:val="005D5D74"/>
    <w:rsid w:val="005D6263"/>
    <w:rsid w:val="005D6FFE"/>
    <w:rsid w:val="005D71C5"/>
    <w:rsid w:val="005E18DD"/>
    <w:rsid w:val="005E296A"/>
    <w:rsid w:val="005E53F2"/>
    <w:rsid w:val="005E61A8"/>
    <w:rsid w:val="005F6419"/>
    <w:rsid w:val="00602544"/>
    <w:rsid w:val="0060301D"/>
    <w:rsid w:val="0060543D"/>
    <w:rsid w:val="00605494"/>
    <w:rsid w:val="00605F4E"/>
    <w:rsid w:val="006104DD"/>
    <w:rsid w:val="006130B5"/>
    <w:rsid w:val="00614DD8"/>
    <w:rsid w:val="00617400"/>
    <w:rsid w:val="00617B38"/>
    <w:rsid w:val="00620101"/>
    <w:rsid w:val="00622F26"/>
    <w:rsid w:val="00624B0E"/>
    <w:rsid w:val="00625B9F"/>
    <w:rsid w:val="00632D29"/>
    <w:rsid w:val="0064171D"/>
    <w:rsid w:val="00641B9D"/>
    <w:rsid w:val="00652804"/>
    <w:rsid w:val="0065540B"/>
    <w:rsid w:val="0066193B"/>
    <w:rsid w:val="006621BB"/>
    <w:rsid w:val="00664950"/>
    <w:rsid w:val="006725B1"/>
    <w:rsid w:val="00674209"/>
    <w:rsid w:val="00674ED8"/>
    <w:rsid w:val="006766AA"/>
    <w:rsid w:val="00682810"/>
    <w:rsid w:val="00683220"/>
    <w:rsid w:val="0068474F"/>
    <w:rsid w:val="006869EF"/>
    <w:rsid w:val="0068781B"/>
    <w:rsid w:val="00687FA0"/>
    <w:rsid w:val="006918E4"/>
    <w:rsid w:val="00693A55"/>
    <w:rsid w:val="00693BE8"/>
    <w:rsid w:val="00694C2F"/>
    <w:rsid w:val="006A3360"/>
    <w:rsid w:val="006A3A08"/>
    <w:rsid w:val="006A3A8A"/>
    <w:rsid w:val="006A3B93"/>
    <w:rsid w:val="006A3C11"/>
    <w:rsid w:val="006B065B"/>
    <w:rsid w:val="006B3265"/>
    <w:rsid w:val="006B7010"/>
    <w:rsid w:val="006B7F43"/>
    <w:rsid w:val="006C09A3"/>
    <w:rsid w:val="006C3095"/>
    <w:rsid w:val="006C464C"/>
    <w:rsid w:val="006C4CA3"/>
    <w:rsid w:val="006C642D"/>
    <w:rsid w:val="006D17F8"/>
    <w:rsid w:val="006D188C"/>
    <w:rsid w:val="006E1151"/>
    <w:rsid w:val="006E6311"/>
    <w:rsid w:val="006E69C2"/>
    <w:rsid w:val="006F260B"/>
    <w:rsid w:val="006F2E5F"/>
    <w:rsid w:val="006F3962"/>
    <w:rsid w:val="006F501B"/>
    <w:rsid w:val="006F59BA"/>
    <w:rsid w:val="0070032C"/>
    <w:rsid w:val="00701D91"/>
    <w:rsid w:val="007054F9"/>
    <w:rsid w:val="00710E9C"/>
    <w:rsid w:val="0071198B"/>
    <w:rsid w:val="00711D63"/>
    <w:rsid w:val="007145FF"/>
    <w:rsid w:val="00715B2A"/>
    <w:rsid w:val="0071733C"/>
    <w:rsid w:val="007243C7"/>
    <w:rsid w:val="00731B94"/>
    <w:rsid w:val="00733B21"/>
    <w:rsid w:val="007353EB"/>
    <w:rsid w:val="007376A9"/>
    <w:rsid w:val="007450F1"/>
    <w:rsid w:val="00746CA0"/>
    <w:rsid w:val="00751515"/>
    <w:rsid w:val="00752EF1"/>
    <w:rsid w:val="0075487E"/>
    <w:rsid w:val="007626B7"/>
    <w:rsid w:val="0077737F"/>
    <w:rsid w:val="007804AF"/>
    <w:rsid w:val="0078212B"/>
    <w:rsid w:val="00784DF6"/>
    <w:rsid w:val="00785232"/>
    <w:rsid w:val="0078542E"/>
    <w:rsid w:val="00785B19"/>
    <w:rsid w:val="0079591F"/>
    <w:rsid w:val="007A2588"/>
    <w:rsid w:val="007A3722"/>
    <w:rsid w:val="007A5BB9"/>
    <w:rsid w:val="007A6757"/>
    <w:rsid w:val="007B186C"/>
    <w:rsid w:val="007B1FFD"/>
    <w:rsid w:val="007B3DFF"/>
    <w:rsid w:val="007B71B5"/>
    <w:rsid w:val="007C12DF"/>
    <w:rsid w:val="007C1696"/>
    <w:rsid w:val="007C2169"/>
    <w:rsid w:val="007C2ECA"/>
    <w:rsid w:val="007C3ED0"/>
    <w:rsid w:val="007C3F9A"/>
    <w:rsid w:val="007C48C4"/>
    <w:rsid w:val="007C5971"/>
    <w:rsid w:val="007C7D05"/>
    <w:rsid w:val="007D20EC"/>
    <w:rsid w:val="007D5647"/>
    <w:rsid w:val="007E0507"/>
    <w:rsid w:val="007E3236"/>
    <w:rsid w:val="007E42DC"/>
    <w:rsid w:val="007E4668"/>
    <w:rsid w:val="007E7334"/>
    <w:rsid w:val="007F2789"/>
    <w:rsid w:val="007F54B9"/>
    <w:rsid w:val="007F77A3"/>
    <w:rsid w:val="0080180B"/>
    <w:rsid w:val="00803EA2"/>
    <w:rsid w:val="0080488B"/>
    <w:rsid w:val="008067B3"/>
    <w:rsid w:val="00806A76"/>
    <w:rsid w:val="00807CCD"/>
    <w:rsid w:val="00811C9D"/>
    <w:rsid w:val="00815BB1"/>
    <w:rsid w:val="00816BAE"/>
    <w:rsid w:val="00816C80"/>
    <w:rsid w:val="0081797B"/>
    <w:rsid w:val="00824CD8"/>
    <w:rsid w:val="00825F47"/>
    <w:rsid w:val="00827187"/>
    <w:rsid w:val="0082796A"/>
    <w:rsid w:val="00831E8F"/>
    <w:rsid w:val="008340B3"/>
    <w:rsid w:val="00836E3B"/>
    <w:rsid w:val="0083707A"/>
    <w:rsid w:val="00841BCD"/>
    <w:rsid w:val="008462B5"/>
    <w:rsid w:val="00847264"/>
    <w:rsid w:val="00850A43"/>
    <w:rsid w:val="00851A8E"/>
    <w:rsid w:val="0085365B"/>
    <w:rsid w:val="008565C3"/>
    <w:rsid w:val="00856BB1"/>
    <w:rsid w:val="00857615"/>
    <w:rsid w:val="008624AB"/>
    <w:rsid w:val="00864C8B"/>
    <w:rsid w:val="008668DA"/>
    <w:rsid w:val="008826C1"/>
    <w:rsid w:val="00883DFD"/>
    <w:rsid w:val="00886232"/>
    <w:rsid w:val="00886466"/>
    <w:rsid w:val="0089210C"/>
    <w:rsid w:val="00892969"/>
    <w:rsid w:val="00893D2E"/>
    <w:rsid w:val="00894E02"/>
    <w:rsid w:val="00895D82"/>
    <w:rsid w:val="008A1BF7"/>
    <w:rsid w:val="008A285A"/>
    <w:rsid w:val="008A2DD1"/>
    <w:rsid w:val="008A5B0E"/>
    <w:rsid w:val="008B0961"/>
    <w:rsid w:val="008B4630"/>
    <w:rsid w:val="008B687D"/>
    <w:rsid w:val="008B7A65"/>
    <w:rsid w:val="008C19C2"/>
    <w:rsid w:val="008C20A2"/>
    <w:rsid w:val="008C39F7"/>
    <w:rsid w:val="008C473E"/>
    <w:rsid w:val="008C7DCE"/>
    <w:rsid w:val="008D1977"/>
    <w:rsid w:val="008D21B2"/>
    <w:rsid w:val="008E2E33"/>
    <w:rsid w:val="008E71D5"/>
    <w:rsid w:val="008F786B"/>
    <w:rsid w:val="0090091A"/>
    <w:rsid w:val="00900A88"/>
    <w:rsid w:val="009022D8"/>
    <w:rsid w:val="0090373B"/>
    <w:rsid w:val="009042BD"/>
    <w:rsid w:val="00904FE4"/>
    <w:rsid w:val="009168E7"/>
    <w:rsid w:val="00917C9B"/>
    <w:rsid w:val="00917F77"/>
    <w:rsid w:val="00925474"/>
    <w:rsid w:val="00926887"/>
    <w:rsid w:val="00927740"/>
    <w:rsid w:val="00933711"/>
    <w:rsid w:val="00936159"/>
    <w:rsid w:val="00937EE6"/>
    <w:rsid w:val="00940DED"/>
    <w:rsid w:val="009422B4"/>
    <w:rsid w:val="00945BEC"/>
    <w:rsid w:val="009461CC"/>
    <w:rsid w:val="00946308"/>
    <w:rsid w:val="009479EB"/>
    <w:rsid w:val="0095369D"/>
    <w:rsid w:val="00971B2A"/>
    <w:rsid w:val="00973E3A"/>
    <w:rsid w:val="00973FAC"/>
    <w:rsid w:val="00977E1D"/>
    <w:rsid w:val="0098066C"/>
    <w:rsid w:val="00985657"/>
    <w:rsid w:val="0098699F"/>
    <w:rsid w:val="009A070D"/>
    <w:rsid w:val="009A32FE"/>
    <w:rsid w:val="009B0573"/>
    <w:rsid w:val="009B4D91"/>
    <w:rsid w:val="009B76C8"/>
    <w:rsid w:val="009B7B4B"/>
    <w:rsid w:val="009B7C21"/>
    <w:rsid w:val="009C273C"/>
    <w:rsid w:val="009C3044"/>
    <w:rsid w:val="009C32D7"/>
    <w:rsid w:val="009C6E4E"/>
    <w:rsid w:val="009D6900"/>
    <w:rsid w:val="009E4E6E"/>
    <w:rsid w:val="009E5FA9"/>
    <w:rsid w:val="009E71E7"/>
    <w:rsid w:val="009F0A52"/>
    <w:rsid w:val="009F5418"/>
    <w:rsid w:val="009F7CD8"/>
    <w:rsid w:val="00A0270C"/>
    <w:rsid w:val="00A04992"/>
    <w:rsid w:val="00A05163"/>
    <w:rsid w:val="00A064E2"/>
    <w:rsid w:val="00A07657"/>
    <w:rsid w:val="00A12BBB"/>
    <w:rsid w:val="00A147AA"/>
    <w:rsid w:val="00A155A6"/>
    <w:rsid w:val="00A1568A"/>
    <w:rsid w:val="00A21D71"/>
    <w:rsid w:val="00A22B78"/>
    <w:rsid w:val="00A246F7"/>
    <w:rsid w:val="00A25415"/>
    <w:rsid w:val="00A25AE5"/>
    <w:rsid w:val="00A25CFD"/>
    <w:rsid w:val="00A26442"/>
    <w:rsid w:val="00A26CC8"/>
    <w:rsid w:val="00A322FE"/>
    <w:rsid w:val="00A37002"/>
    <w:rsid w:val="00A424EA"/>
    <w:rsid w:val="00A4355E"/>
    <w:rsid w:val="00A45DB4"/>
    <w:rsid w:val="00A45E61"/>
    <w:rsid w:val="00A50A84"/>
    <w:rsid w:val="00A51B29"/>
    <w:rsid w:val="00A520D9"/>
    <w:rsid w:val="00A561C4"/>
    <w:rsid w:val="00A56708"/>
    <w:rsid w:val="00A56D36"/>
    <w:rsid w:val="00A57D7A"/>
    <w:rsid w:val="00A60B55"/>
    <w:rsid w:val="00A61293"/>
    <w:rsid w:val="00A635E1"/>
    <w:rsid w:val="00A64BB5"/>
    <w:rsid w:val="00A64DA0"/>
    <w:rsid w:val="00A652E9"/>
    <w:rsid w:val="00A65845"/>
    <w:rsid w:val="00A73AF1"/>
    <w:rsid w:val="00A74866"/>
    <w:rsid w:val="00A759A4"/>
    <w:rsid w:val="00A75E47"/>
    <w:rsid w:val="00A85024"/>
    <w:rsid w:val="00A85F3F"/>
    <w:rsid w:val="00A90CA6"/>
    <w:rsid w:val="00A92BCD"/>
    <w:rsid w:val="00A93ED5"/>
    <w:rsid w:val="00A9681F"/>
    <w:rsid w:val="00AA1B0E"/>
    <w:rsid w:val="00AA47B6"/>
    <w:rsid w:val="00AA495A"/>
    <w:rsid w:val="00AA5736"/>
    <w:rsid w:val="00AB4F75"/>
    <w:rsid w:val="00AC06C0"/>
    <w:rsid w:val="00AC163B"/>
    <w:rsid w:val="00AC1822"/>
    <w:rsid w:val="00AC1F76"/>
    <w:rsid w:val="00AC4733"/>
    <w:rsid w:val="00AC5CA7"/>
    <w:rsid w:val="00AC6058"/>
    <w:rsid w:val="00AC6FAE"/>
    <w:rsid w:val="00AD10CC"/>
    <w:rsid w:val="00AD121C"/>
    <w:rsid w:val="00AD3EB0"/>
    <w:rsid w:val="00AD5DA6"/>
    <w:rsid w:val="00AD68A2"/>
    <w:rsid w:val="00AE0628"/>
    <w:rsid w:val="00AE2BA5"/>
    <w:rsid w:val="00AE56B1"/>
    <w:rsid w:val="00AE6D09"/>
    <w:rsid w:val="00AF26EE"/>
    <w:rsid w:val="00AF6AEB"/>
    <w:rsid w:val="00AF7A7C"/>
    <w:rsid w:val="00AF7DAC"/>
    <w:rsid w:val="00B010FC"/>
    <w:rsid w:val="00B02070"/>
    <w:rsid w:val="00B02075"/>
    <w:rsid w:val="00B02156"/>
    <w:rsid w:val="00B04B22"/>
    <w:rsid w:val="00B10425"/>
    <w:rsid w:val="00B11C30"/>
    <w:rsid w:val="00B258FE"/>
    <w:rsid w:val="00B26750"/>
    <w:rsid w:val="00B26A8A"/>
    <w:rsid w:val="00B31336"/>
    <w:rsid w:val="00B334D3"/>
    <w:rsid w:val="00B34676"/>
    <w:rsid w:val="00B408B6"/>
    <w:rsid w:val="00B419A4"/>
    <w:rsid w:val="00B44BC1"/>
    <w:rsid w:val="00B45442"/>
    <w:rsid w:val="00B45CB7"/>
    <w:rsid w:val="00B4717D"/>
    <w:rsid w:val="00B50729"/>
    <w:rsid w:val="00B542DA"/>
    <w:rsid w:val="00B60811"/>
    <w:rsid w:val="00B634F7"/>
    <w:rsid w:val="00B66B7D"/>
    <w:rsid w:val="00B67D7E"/>
    <w:rsid w:val="00B73862"/>
    <w:rsid w:val="00B73F43"/>
    <w:rsid w:val="00B74915"/>
    <w:rsid w:val="00B75BBF"/>
    <w:rsid w:val="00B81CDC"/>
    <w:rsid w:val="00B81E8B"/>
    <w:rsid w:val="00B8713E"/>
    <w:rsid w:val="00B90285"/>
    <w:rsid w:val="00B9144B"/>
    <w:rsid w:val="00B920BC"/>
    <w:rsid w:val="00BA2F75"/>
    <w:rsid w:val="00BA308C"/>
    <w:rsid w:val="00BA6B66"/>
    <w:rsid w:val="00BA6DA4"/>
    <w:rsid w:val="00BA6E48"/>
    <w:rsid w:val="00BB05B9"/>
    <w:rsid w:val="00BB2B6F"/>
    <w:rsid w:val="00BB2B8E"/>
    <w:rsid w:val="00BB3543"/>
    <w:rsid w:val="00BB3873"/>
    <w:rsid w:val="00BB39B5"/>
    <w:rsid w:val="00BC3F7C"/>
    <w:rsid w:val="00BC59BC"/>
    <w:rsid w:val="00BC6204"/>
    <w:rsid w:val="00BC7DEC"/>
    <w:rsid w:val="00BD0CD6"/>
    <w:rsid w:val="00BD1174"/>
    <w:rsid w:val="00BD2997"/>
    <w:rsid w:val="00BD3F2B"/>
    <w:rsid w:val="00BE0AF6"/>
    <w:rsid w:val="00BE1CC5"/>
    <w:rsid w:val="00BE1F03"/>
    <w:rsid w:val="00BE22A4"/>
    <w:rsid w:val="00BE35F2"/>
    <w:rsid w:val="00BE362E"/>
    <w:rsid w:val="00BE3B15"/>
    <w:rsid w:val="00BE436F"/>
    <w:rsid w:val="00BE58A7"/>
    <w:rsid w:val="00BE651B"/>
    <w:rsid w:val="00BF2218"/>
    <w:rsid w:val="00BF5D26"/>
    <w:rsid w:val="00C0426B"/>
    <w:rsid w:val="00C045DF"/>
    <w:rsid w:val="00C1389B"/>
    <w:rsid w:val="00C13C0C"/>
    <w:rsid w:val="00C26D43"/>
    <w:rsid w:val="00C35173"/>
    <w:rsid w:val="00C379C3"/>
    <w:rsid w:val="00C43F4A"/>
    <w:rsid w:val="00C4432B"/>
    <w:rsid w:val="00C45266"/>
    <w:rsid w:val="00C46548"/>
    <w:rsid w:val="00C50EB7"/>
    <w:rsid w:val="00C560FA"/>
    <w:rsid w:val="00C574D5"/>
    <w:rsid w:val="00C60BCB"/>
    <w:rsid w:val="00C7005D"/>
    <w:rsid w:val="00C73F32"/>
    <w:rsid w:val="00C74069"/>
    <w:rsid w:val="00C76121"/>
    <w:rsid w:val="00C8349C"/>
    <w:rsid w:val="00C851E4"/>
    <w:rsid w:val="00C87462"/>
    <w:rsid w:val="00C96B6F"/>
    <w:rsid w:val="00C971BA"/>
    <w:rsid w:val="00CA180C"/>
    <w:rsid w:val="00CB0AAC"/>
    <w:rsid w:val="00CB22B2"/>
    <w:rsid w:val="00CB641B"/>
    <w:rsid w:val="00CC21A3"/>
    <w:rsid w:val="00CC3EE2"/>
    <w:rsid w:val="00CC7218"/>
    <w:rsid w:val="00CD6C0E"/>
    <w:rsid w:val="00CD6C56"/>
    <w:rsid w:val="00CD7492"/>
    <w:rsid w:val="00CE2FA8"/>
    <w:rsid w:val="00CE392A"/>
    <w:rsid w:val="00CE3A6B"/>
    <w:rsid w:val="00CF233A"/>
    <w:rsid w:val="00CF418E"/>
    <w:rsid w:val="00CF6317"/>
    <w:rsid w:val="00D00211"/>
    <w:rsid w:val="00D006D1"/>
    <w:rsid w:val="00D01621"/>
    <w:rsid w:val="00D025AE"/>
    <w:rsid w:val="00D03109"/>
    <w:rsid w:val="00D03909"/>
    <w:rsid w:val="00D06309"/>
    <w:rsid w:val="00D07C74"/>
    <w:rsid w:val="00D102BC"/>
    <w:rsid w:val="00D10B53"/>
    <w:rsid w:val="00D116D0"/>
    <w:rsid w:val="00D16C4F"/>
    <w:rsid w:val="00D21B51"/>
    <w:rsid w:val="00D22058"/>
    <w:rsid w:val="00D2288F"/>
    <w:rsid w:val="00D24FFF"/>
    <w:rsid w:val="00D33846"/>
    <w:rsid w:val="00D349A5"/>
    <w:rsid w:val="00D351EA"/>
    <w:rsid w:val="00D36599"/>
    <w:rsid w:val="00D40288"/>
    <w:rsid w:val="00D43403"/>
    <w:rsid w:val="00D43BD4"/>
    <w:rsid w:val="00D4467E"/>
    <w:rsid w:val="00D46BFB"/>
    <w:rsid w:val="00D5073D"/>
    <w:rsid w:val="00D50A6B"/>
    <w:rsid w:val="00D5270B"/>
    <w:rsid w:val="00D552EB"/>
    <w:rsid w:val="00D56F58"/>
    <w:rsid w:val="00D62D4F"/>
    <w:rsid w:val="00D62E71"/>
    <w:rsid w:val="00D63D73"/>
    <w:rsid w:val="00D6430D"/>
    <w:rsid w:val="00D66188"/>
    <w:rsid w:val="00D731F6"/>
    <w:rsid w:val="00D740CA"/>
    <w:rsid w:val="00D8082E"/>
    <w:rsid w:val="00D816F8"/>
    <w:rsid w:val="00D84224"/>
    <w:rsid w:val="00D84606"/>
    <w:rsid w:val="00D85728"/>
    <w:rsid w:val="00D8675D"/>
    <w:rsid w:val="00D8737E"/>
    <w:rsid w:val="00D92FD1"/>
    <w:rsid w:val="00D94F72"/>
    <w:rsid w:val="00D95481"/>
    <w:rsid w:val="00D96E40"/>
    <w:rsid w:val="00DA32FD"/>
    <w:rsid w:val="00DA5EAD"/>
    <w:rsid w:val="00DB04A3"/>
    <w:rsid w:val="00DB0AEA"/>
    <w:rsid w:val="00DB0B4E"/>
    <w:rsid w:val="00DB2011"/>
    <w:rsid w:val="00DB314D"/>
    <w:rsid w:val="00DB5C3B"/>
    <w:rsid w:val="00DB5D30"/>
    <w:rsid w:val="00DB6E8E"/>
    <w:rsid w:val="00DC429C"/>
    <w:rsid w:val="00DC7226"/>
    <w:rsid w:val="00DC788D"/>
    <w:rsid w:val="00DC7A13"/>
    <w:rsid w:val="00DC7D92"/>
    <w:rsid w:val="00DD01CB"/>
    <w:rsid w:val="00DD1905"/>
    <w:rsid w:val="00DD4E0E"/>
    <w:rsid w:val="00DD6233"/>
    <w:rsid w:val="00DE1C97"/>
    <w:rsid w:val="00DE2C43"/>
    <w:rsid w:val="00DE7064"/>
    <w:rsid w:val="00DE7F22"/>
    <w:rsid w:val="00DF0AEC"/>
    <w:rsid w:val="00DF0BC1"/>
    <w:rsid w:val="00DF2997"/>
    <w:rsid w:val="00DF2F7C"/>
    <w:rsid w:val="00DF429C"/>
    <w:rsid w:val="00DF450F"/>
    <w:rsid w:val="00E01C10"/>
    <w:rsid w:val="00E03191"/>
    <w:rsid w:val="00E04754"/>
    <w:rsid w:val="00E066D6"/>
    <w:rsid w:val="00E07789"/>
    <w:rsid w:val="00E07BFB"/>
    <w:rsid w:val="00E10BC4"/>
    <w:rsid w:val="00E10D9A"/>
    <w:rsid w:val="00E1415D"/>
    <w:rsid w:val="00E17101"/>
    <w:rsid w:val="00E213A9"/>
    <w:rsid w:val="00E213BD"/>
    <w:rsid w:val="00E21DA8"/>
    <w:rsid w:val="00E233D3"/>
    <w:rsid w:val="00E2798E"/>
    <w:rsid w:val="00E31654"/>
    <w:rsid w:val="00E323E9"/>
    <w:rsid w:val="00E32FB6"/>
    <w:rsid w:val="00E33573"/>
    <w:rsid w:val="00E33A64"/>
    <w:rsid w:val="00E34018"/>
    <w:rsid w:val="00E37666"/>
    <w:rsid w:val="00E437D2"/>
    <w:rsid w:val="00E43BF9"/>
    <w:rsid w:val="00E47BC6"/>
    <w:rsid w:val="00E51930"/>
    <w:rsid w:val="00E527D5"/>
    <w:rsid w:val="00E54B70"/>
    <w:rsid w:val="00E55751"/>
    <w:rsid w:val="00E5652C"/>
    <w:rsid w:val="00E574B6"/>
    <w:rsid w:val="00E6057E"/>
    <w:rsid w:val="00E7336F"/>
    <w:rsid w:val="00E7398E"/>
    <w:rsid w:val="00E7471B"/>
    <w:rsid w:val="00E82B94"/>
    <w:rsid w:val="00E84DB4"/>
    <w:rsid w:val="00E87217"/>
    <w:rsid w:val="00E876F8"/>
    <w:rsid w:val="00E937F5"/>
    <w:rsid w:val="00E94F90"/>
    <w:rsid w:val="00EA1D44"/>
    <w:rsid w:val="00EA2311"/>
    <w:rsid w:val="00EA2317"/>
    <w:rsid w:val="00EA3A6E"/>
    <w:rsid w:val="00EA4B7A"/>
    <w:rsid w:val="00EA4D6B"/>
    <w:rsid w:val="00EA7991"/>
    <w:rsid w:val="00EB3F32"/>
    <w:rsid w:val="00EC7BC3"/>
    <w:rsid w:val="00ED2446"/>
    <w:rsid w:val="00ED4B9E"/>
    <w:rsid w:val="00ED7600"/>
    <w:rsid w:val="00EE705D"/>
    <w:rsid w:val="00EF318B"/>
    <w:rsid w:val="00EF57AB"/>
    <w:rsid w:val="00EF6073"/>
    <w:rsid w:val="00EF698B"/>
    <w:rsid w:val="00F0233A"/>
    <w:rsid w:val="00F02D7E"/>
    <w:rsid w:val="00F03077"/>
    <w:rsid w:val="00F05B6D"/>
    <w:rsid w:val="00F1329F"/>
    <w:rsid w:val="00F1362C"/>
    <w:rsid w:val="00F17AB3"/>
    <w:rsid w:val="00F203EF"/>
    <w:rsid w:val="00F2297C"/>
    <w:rsid w:val="00F2408F"/>
    <w:rsid w:val="00F2616B"/>
    <w:rsid w:val="00F40097"/>
    <w:rsid w:val="00F410FF"/>
    <w:rsid w:val="00F414F1"/>
    <w:rsid w:val="00F42CCB"/>
    <w:rsid w:val="00F42E25"/>
    <w:rsid w:val="00F43BD7"/>
    <w:rsid w:val="00F508B8"/>
    <w:rsid w:val="00F50C4F"/>
    <w:rsid w:val="00F50C68"/>
    <w:rsid w:val="00F52BBA"/>
    <w:rsid w:val="00F54016"/>
    <w:rsid w:val="00F61597"/>
    <w:rsid w:val="00F651A6"/>
    <w:rsid w:val="00F66818"/>
    <w:rsid w:val="00F72848"/>
    <w:rsid w:val="00F72CB1"/>
    <w:rsid w:val="00F74132"/>
    <w:rsid w:val="00F75713"/>
    <w:rsid w:val="00F8215E"/>
    <w:rsid w:val="00F824F5"/>
    <w:rsid w:val="00F82880"/>
    <w:rsid w:val="00F85F72"/>
    <w:rsid w:val="00F8672C"/>
    <w:rsid w:val="00F8676D"/>
    <w:rsid w:val="00F86D02"/>
    <w:rsid w:val="00F90FAB"/>
    <w:rsid w:val="00F9374D"/>
    <w:rsid w:val="00F9690A"/>
    <w:rsid w:val="00F979CE"/>
    <w:rsid w:val="00FA10F6"/>
    <w:rsid w:val="00FA387B"/>
    <w:rsid w:val="00FA4B31"/>
    <w:rsid w:val="00FB6924"/>
    <w:rsid w:val="00FC258E"/>
    <w:rsid w:val="00FC29B9"/>
    <w:rsid w:val="00FC6FD3"/>
    <w:rsid w:val="00FD15E1"/>
    <w:rsid w:val="00FE04B5"/>
    <w:rsid w:val="00FE19D7"/>
    <w:rsid w:val="00FE282C"/>
    <w:rsid w:val="00FE2C59"/>
    <w:rsid w:val="00FE305C"/>
    <w:rsid w:val="00FE5A8F"/>
    <w:rsid w:val="00FF0047"/>
    <w:rsid w:val="00FF0301"/>
    <w:rsid w:val="00FF30F3"/>
    <w:rsid w:val="00FF35BC"/>
    <w:rsid w:val="00FF44BD"/>
    <w:rsid w:val="00FF50BC"/>
    <w:rsid w:val="00FF79D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H">
    <w:name w:val="TAH"/>
    <w:basedOn w:val="TAC"/>
    <w:link w:val="TAHCar"/>
    <w:qFormat/>
    <w:rsid w:val="00EA4D6B"/>
    <w:rPr>
      <w:b/>
    </w:rPr>
  </w:style>
  <w:style w:type="paragraph" w:customStyle="1" w:styleId="TAC">
    <w:name w:val="TAC"/>
    <w:basedOn w:val="Normal"/>
    <w:link w:val="TACChar"/>
    <w:qFormat/>
    <w:rsid w:val="00EA4D6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EA4D6B"/>
    <w:rPr>
      <w:rFonts w:ascii="Arial" w:eastAsia="Times New Roman" w:hAnsi="Arial" w:cs="Times New Roman"/>
      <w:sz w:val="18"/>
      <w:szCs w:val="20"/>
      <w:lang w:val="en-GB"/>
    </w:rPr>
  </w:style>
  <w:style w:type="character" w:customStyle="1" w:styleId="TAHCar">
    <w:name w:val="TAH Car"/>
    <w:link w:val="TAH"/>
    <w:qFormat/>
    <w:rsid w:val="00EA4D6B"/>
    <w:rPr>
      <w:rFonts w:ascii="Arial" w:eastAsia="Times New Roman" w:hAnsi="Arial" w:cs="Times New Roman"/>
      <w:b/>
      <w:sz w:val="18"/>
      <w:szCs w:val="20"/>
      <w:lang w:val="en-GB"/>
    </w:rPr>
  </w:style>
  <w:style w:type="paragraph" w:customStyle="1" w:styleId="TH">
    <w:name w:val="TH"/>
    <w:basedOn w:val="Normal"/>
    <w:link w:val="THChar"/>
    <w:qFormat/>
    <w:rsid w:val="00EA4D6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EA4D6B"/>
    <w:rPr>
      <w:rFonts w:ascii="Arial" w:eastAsia="Times New Roman" w:hAnsi="Arial" w:cs="Times New Roman"/>
      <w:b/>
      <w:sz w:val="20"/>
      <w:szCs w:val="20"/>
      <w:lang w:val="en-GB"/>
    </w:rPr>
  </w:style>
  <w:style w:type="paragraph" w:customStyle="1" w:styleId="TAN">
    <w:name w:val="TAN"/>
    <w:basedOn w:val="Normal"/>
    <w:link w:val="TANChar"/>
    <w:qFormat/>
    <w:rsid w:val="00EA4D6B"/>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rPr>
  </w:style>
  <w:style w:type="character" w:customStyle="1" w:styleId="TANChar">
    <w:name w:val="TAN Char"/>
    <w:link w:val="TAN"/>
    <w:qFormat/>
    <w:rsid w:val="00EA4D6B"/>
    <w:rPr>
      <w:rFonts w:ascii="Arial" w:eastAsia="Times New Roman" w:hAnsi="Arial" w:cs="Times New Roman"/>
      <w:sz w:val="18"/>
      <w:szCs w:val="20"/>
      <w:lang w:val="en-GB"/>
    </w:rPr>
  </w:style>
  <w:style w:type="paragraph" w:styleId="BodyText">
    <w:name w:val="Body Text"/>
    <w:basedOn w:val="Normal"/>
    <w:link w:val="BodyTextChar"/>
    <w:qFormat/>
    <w:rsid w:val="00DA5EAD"/>
    <w:pPr>
      <w:spacing w:after="0" w:line="240" w:lineRule="auto"/>
    </w:pPr>
    <w:rPr>
      <w:rFonts w:eastAsia="Times New Roman" w:cs="Times New Roman"/>
      <w:sz w:val="24"/>
      <w:szCs w:val="24"/>
      <w:lang w:val="en-US" w:eastAsia="zh-CN"/>
    </w:rPr>
  </w:style>
  <w:style w:type="character" w:customStyle="1" w:styleId="BodyTextChar">
    <w:name w:val="Body Text Char"/>
    <w:basedOn w:val="DefaultParagraphFont"/>
    <w:link w:val="BodyText"/>
    <w:qFormat/>
    <w:rsid w:val="00DA5EAD"/>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390D81"/>
    <w:rPr>
      <w:color w:val="2B579A"/>
      <w:shd w:val="clear" w:color="auto" w:fill="E1DFDD"/>
    </w:rPr>
  </w:style>
  <w:style w:type="paragraph" w:styleId="NormalWeb">
    <w:name w:val="Normal (Web)"/>
    <w:basedOn w:val="Normal"/>
    <w:uiPriority w:val="99"/>
    <w:unhideWhenUsed/>
    <w:rsid w:val="00B31336"/>
    <w:pPr>
      <w:spacing w:before="100" w:beforeAutospacing="1" w:after="100" w:afterAutospacing="1" w:line="240" w:lineRule="auto"/>
    </w:pPr>
    <w:rPr>
      <w:rFonts w:eastAsia="Times New Roman" w:cs="Times New Roman"/>
      <w:sz w:val="24"/>
      <w:szCs w:val="24"/>
      <w:lang w:val="en-US"/>
    </w:rPr>
  </w:style>
  <w:style w:type="paragraph" w:styleId="Revision">
    <w:name w:val="Revision"/>
    <w:hidden/>
    <w:uiPriority w:val="99"/>
    <w:semiHidden/>
    <w:rsid w:val="00FA10F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74901890">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811562239">
      <w:bodyDiv w:val="1"/>
      <w:marLeft w:val="0"/>
      <w:marRight w:val="0"/>
      <w:marTop w:val="0"/>
      <w:marBottom w:val="0"/>
      <w:divBdr>
        <w:top w:val="none" w:sz="0" w:space="0" w:color="auto"/>
        <w:left w:val="none" w:sz="0" w:space="0" w:color="auto"/>
        <w:bottom w:val="none" w:sz="0" w:space="0" w:color="auto"/>
        <w:right w:val="none" w:sz="0" w:space="0" w:color="auto"/>
      </w:divBdr>
    </w:div>
    <w:div w:id="931939656">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130175076">
          <w:marLeft w:val="1080"/>
          <w:marRight w:val="0"/>
          <w:marTop w:val="100"/>
          <w:marBottom w:val="0"/>
          <w:divBdr>
            <w:top w:val="none" w:sz="0" w:space="0" w:color="auto"/>
            <w:left w:val="none" w:sz="0" w:space="0" w:color="auto"/>
            <w:bottom w:val="none" w:sz="0" w:space="0" w:color="auto"/>
            <w:right w:val="none" w:sz="0" w:space="0" w:color="auto"/>
          </w:divBdr>
        </w:div>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sChild>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3982113">
      <w:bodyDiv w:val="1"/>
      <w:marLeft w:val="0"/>
      <w:marRight w:val="0"/>
      <w:marTop w:val="0"/>
      <w:marBottom w:val="0"/>
      <w:divBdr>
        <w:top w:val="none" w:sz="0" w:space="0" w:color="auto"/>
        <w:left w:val="none" w:sz="0" w:space="0" w:color="auto"/>
        <w:bottom w:val="none" w:sz="0" w:space="0" w:color="auto"/>
        <w:right w:val="none" w:sz="0" w:space="0" w:color="auto"/>
      </w:divBdr>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TSGR4_112bis/Inbox/Chair_Not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3231</Words>
  <Characters>18418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21606</CharactersWithSpaces>
  <SharedDoc>false</SharedDoc>
  <HLinks>
    <vt:vector size="36" baseType="variant">
      <vt:variant>
        <vt:i4>4390978</vt:i4>
      </vt:variant>
      <vt:variant>
        <vt:i4>69</vt:i4>
      </vt:variant>
      <vt:variant>
        <vt:i4>0</vt:i4>
      </vt:variant>
      <vt:variant>
        <vt:i4>5</vt:i4>
      </vt:variant>
      <vt:variant>
        <vt:lpwstr>https://www.3gpp.org/ftp/tsg_ran/WG4_Radio/TSGR4_112bis/Inbox/Chair_Notes/</vt:lpwstr>
      </vt:variant>
      <vt:variant>
        <vt:lpwstr/>
      </vt:variant>
      <vt:variant>
        <vt:i4>1048625</vt:i4>
      </vt:variant>
      <vt:variant>
        <vt:i4>65</vt:i4>
      </vt:variant>
      <vt:variant>
        <vt:i4>0</vt:i4>
      </vt:variant>
      <vt:variant>
        <vt:i4>5</vt:i4>
      </vt:variant>
      <vt:variant>
        <vt:lpwstr/>
      </vt:variant>
      <vt:variant>
        <vt:lpwstr>_Toc200530024</vt:lpwstr>
      </vt:variant>
      <vt:variant>
        <vt:i4>6553625</vt:i4>
      </vt:variant>
      <vt:variant>
        <vt:i4>9</vt:i4>
      </vt:variant>
      <vt:variant>
        <vt:i4>0</vt:i4>
      </vt:variant>
      <vt:variant>
        <vt:i4>5</vt:i4>
      </vt:variant>
      <vt:variant>
        <vt:lpwstr>mailto:tanumay.manna@nokia.com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6553625</vt:i4>
      </vt:variant>
      <vt:variant>
        <vt:i4>3</vt:i4>
      </vt:variant>
      <vt:variant>
        <vt:i4>0</vt:i4>
      </vt:variant>
      <vt:variant>
        <vt:i4>5</vt:i4>
      </vt:variant>
      <vt:variant>
        <vt:lpwstr>mailto:tanumay.manna@nokia.com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2025-08-15T09:23:00Z</dcterms:created>
  <dcterms:modified xsi:type="dcterms:W3CDTF">2025-08-15T09:23:00Z</dcterms:modified>
</cp:coreProperties>
</file>