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A9F81" w14:textId="4E36DD2E" w:rsidR="005F6B63" w:rsidRPr="005F6B63" w:rsidRDefault="005F6B63" w:rsidP="005F6B63">
      <w:pPr>
        <w:pStyle w:val="3GPPHeader"/>
        <w:rPr>
          <w:szCs w:val="24"/>
        </w:rPr>
      </w:pPr>
      <w:r w:rsidRPr="005F6B63">
        <w:rPr>
          <w:szCs w:val="24"/>
        </w:rPr>
        <w:t>3GPP TSG-RAN WG4 Meeting # 116</w:t>
      </w:r>
      <w:r w:rsidR="00DF2B92" w:rsidRPr="005F6B63">
        <w:rPr>
          <w:szCs w:val="24"/>
        </w:rPr>
        <w:tab/>
        <w:t xml:space="preserve"> </w:t>
      </w:r>
      <w:r w:rsidR="00FC7591" w:rsidRPr="00FC7591">
        <w:rPr>
          <w:szCs w:val="24"/>
        </w:rPr>
        <w:t>R4-2510552</w:t>
      </w:r>
    </w:p>
    <w:p w14:paraId="70DC79A4" w14:textId="2082F56A" w:rsidR="005F6B63" w:rsidRDefault="005F6B63" w:rsidP="005F6B63">
      <w:pPr>
        <w:pStyle w:val="3GPPHeader"/>
        <w:rPr>
          <w:szCs w:val="24"/>
        </w:rPr>
      </w:pPr>
      <w:r w:rsidRPr="005F6B63">
        <w:rPr>
          <w:szCs w:val="24"/>
        </w:rPr>
        <w:t>Bengaluru, India, 25 - 29 August 2025</w:t>
      </w:r>
    </w:p>
    <w:p w14:paraId="0A09A3B2" w14:textId="47D27B99" w:rsidR="00D738D3" w:rsidRPr="00F82993" w:rsidRDefault="00D738D3" w:rsidP="005F6B63">
      <w:pPr>
        <w:pStyle w:val="3GPPHeader"/>
        <w:rPr>
          <w:sz w:val="22"/>
        </w:rPr>
      </w:pPr>
      <w:r w:rsidRPr="00F82993">
        <w:rPr>
          <w:sz w:val="22"/>
        </w:rPr>
        <w:t xml:space="preserve">Source: </w:t>
      </w:r>
      <w:r w:rsidRPr="00F82993">
        <w:rPr>
          <w:sz w:val="22"/>
        </w:rPr>
        <w:tab/>
      </w:r>
      <w:r w:rsidRPr="00F82993">
        <w:rPr>
          <w:b w:val="0"/>
          <w:sz w:val="22"/>
        </w:rPr>
        <w:t>Huawei</w:t>
      </w:r>
      <w:r w:rsidR="00A84702" w:rsidRPr="00F82993">
        <w:rPr>
          <w:b w:val="0"/>
          <w:sz w:val="22"/>
        </w:rPr>
        <w:t xml:space="preserve">, </w:t>
      </w:r>
      <w:proofErr w:type="spellStart"/>
      <w:r w:rsidR="00610248" w:rsidRPr="00F82993">
        <w:rPr>
          <w:b w:val="0"/>
          <w:sz w:val="22"/>
        </w:rPr>
        <w:t>Hi</w:t>
      </w:r>
      <w:r w:rsidR="00DD6C54">
        <w:rPr>
          <w:b w:val="0"/>
          <w:sz w:val="22"/>
        </w:rPr>
        <w:t>S</w:t>
      </w:r>
      <w:r w:rsidR="00610248" w:rsidRPr="00F82993">
        <w:rPr>
          <w:b w:val="0"/>
          <w:sz w:val="22"/>
        </w:rPr>
        <w:t>ilicon</w:t>
      </w:r>
      <w:proofErr w:type="spellEnd"/>
    </w:p>
    <w:p w14:paraId="2ED9AA19" w14:textId="76188F96" w:rsidR="00D738D3" w:rsidRPr="00F82993" w:rsidRDefault="00D738D3" w:rsidP="00D738D3">
      <w:pPr>
        <w:pStyle w:val="3GPPHeader"/>
        <w:rPr>
          <w:sz w:val="22"/>
        </w:rPr>
      </w:pPr>
      <w:r w:rsidRPr="00F82993">
        <w:rPr>
          <w:sz w:val="22"/>
        </w:rPr>
        <w:t xml:space="preserve">Title:  </w:t>
      </w:r>
      <w:r w:rsidRPr="00F82993">
        <w:rPr>
          <w:sz w:val="22"/>
        </w:rPr>
        <w:tab/>
      </w:r>
      <w:r w:rsidRPr="00F82993">
        <w:rPr>
          <w:b w:val="0"/>
          <w:sz w:val="22"/>
        </w:rPr>
        <w:t>Discussions on RRM</w:t>
      </w:r>
      <w:r w:rsidR="00333653">
        <w:rPr>
          <w:b w:val="0"/>
          <w:sz w:val="22"/>
        </w:rPr>
        <w:t xml:space="preserve"> core</w:t>
      </w:r>
      <w:r w:rsidRPr="00F82993">
        <w:rPr>
          <w:b w:val="0"/>
          <w:sz w:val="22"/>
        </w:rPr>
        <w:t xml:space="preserve"> </w:t>
      </w:r>
      <w:r w:rsidR="00B35E65" w:rsidRPr="00F82993">
        <w:rPr>
          <w:b w:val="0"/>
          <w:sz w:val="22"/>
        </w:rPr>
        <w:t>requirements for Rel-19 ATG</w:t>
      </w:r>
    </w:p>
    <w:p w14:paraId="6F5F5107" w14:textId="6F295A88" w:rsidR="00D738D3" w:rsidRPr="00F82993" w:rsidRDefault="00D738D3" w:rsidP="00D738D3">
      <w:pPr>
        <w:pStyle w:val="3GPPHeader"/>
        <w:rPr>
          <w:sz w:val="22"/>
        </w:rPr>
      </w:pPr>
      <w:r w:rsidRPr="00F82993">
        <w:rPr>
          <w:sz w:val="22"/>
        </w:rPr>
        <w:t>Agenda Item:</w:t>
      </w:r>
      <w:r w:rsidRPr="00F82993">
        <w:rPr>
          <w:sz w:val="22"/>
        </w:rPr>
        <w:tab/>
      </w:r>
      <w:r w:rsidR="004F0725" w:rsidRPr="00F41B0D">
        <w:rPr>
          <w:b w:val="0"/>
          <w:sz w:val="22"/>
        </w:rPr>
        <w:t>7</w:t>
      </w:r>
      <w:r w:rsidR="00091077" w:rsidRPr="00F41B0D">
        <w:rPr>
          <w:b w:val="0"/>
          <w:sz w:val="22"/>
        </w:rPr>
        <w:t>.</w:t>
      </w:r>
      <w:r w:rsidR="00A13F53" w:rsidRPr="00F41B0D">
        <w:rPr>
          <w:b w:val="0"/>
          <w:sz w:val="22"/>
        </w:rPr>
        <w:t>8</w:t>
      </w:r>
      <w:r w:rsidR="00091077" w:rsidRPr="00F41B0D">
        <w:rPr>
          <w:b w:val="0"/>
          <w:sz w:val="22"/>
        </w:rPr>
        <w:t>.</w:t>
      </w:r>
      <w:r w:rsidR="00B35001" w:rsidRPr="00F41B0D">
        <w:rPr>
          <w:b w:val="0"/>
          <w:sz w:val="22"/>
        </w:rPr>
        <w:t>5</w:t>
      </w:r>
    </w:p>
    <w:p w14:paraId="36B4727A" w14:textId="77777777" w:rsidR="00D738D3" w:rsidRPr="00F82993" w:rsidRDefault="00D738D3" w:rsidP="00D738D3">
      <w:pPr>
        <w:pStyle w:val="3GPPHeader"/>
        <w:rPr>
          <w:sz w:val="22"/>
        </w:rPr>
      </w:pPr>
      <w:r w:rsidRPr="00F82993">
        <w:rPr>
          <w:sz w:val="22"/>
        </w:rPr>
        <w:t>Document for:</w:t>
      </w:r>
      <w:r w:rsidRPr="00F82993">
        <w:rPr>
          <w:sz w:val="22"/>
        </w:rPr>
        <w:tab/>
      </w:r>
      <w:r w:rsidRPr="00F82993">
        <w:rPr>
          <w:b w:val="0"/>
          <w:sz w:val="22"/>
        </w:rPr>
        <w:t>Discussion</w:t>
      </w:r>
    </w:p>
    <w:p w14:paraId="439892C1" w14:textId="77777777" w:rsidR="00D738D3" w:rsidRPr="00F82993" w:rsidRDefault="00D738D3" w:rsidP="00FD1206">
      <w:pPr>
        <w:pStyle w:val="1"/>
      </w:pPr>
      <w:r w:rsidRPr="00F82993">
        <w:t>Introduction</w:t>
      </w:r>
    </w:p>
    <w:p w14:paraId="4F42C72F" w14:textId="79658BBA" w:rsidR="004749E1" w:rsidRPr="00B35001" w:rsidRDefault="00B35E65" w:rsidP="00EF5258">
      <w:pPr>
        <w:rPr>
          <w:kern w:val="2"/>
          <w:sz w:val="20"/>
          <w:szCs w:val="20"/>
          <w:lang w:val="en-GB"/>
        </w:rPr>
      </w:pPr>
      <w:r w:rsidRPr="00B35001">
        <w:rPr>
          <w:sz w:val="20"/>
          <w:szCs w:val="20"/>
        </w:rPr>
        <w:t xml:space="preserve">In </w:t>
      </w:r>
      <w:r w:rsidR="000E5708" w:rsidRPr="00B35001">
        <w:rPr>
          <w:sz w:val="20"/>
          <w:szCs w:val="20"/>
          <w:lang w:val="en-GB"/>
        </w:rPr>
        <w:t>the last meeting</w:t>
      </w:r>
      <w:r w:rsidR="00A139DE" w:rsidRPr="00B35001">
        <w:rPr>
          <w:sz w:val="20"/>
          <w:szCs w:val="20"/>
          <w:lang w:val="en-GB"/>
        </w:rPr>
        <w:t>,</w:t>
      </w:r>
      <w:r w:rsidR="000E5708" w:rsidRPr="00B35001">
        <w:rPr>
          <w:sz w:val="20"/>
          <w:szCs w:val="20"/>
          <w:lang w:val="en-GB"/>
        </w:rPr>
        <w:t xml:space="preserve"> </w:t>
      </w:r>
      <w:r w:rsidR="00353759" w:rsidRPr="00B35001">
        <w:rPr>
          <w:sz w:val="20"/>
          <w:szCs w:val="20"/>
          <w:lang w:val="en-GB"/>
        </w:rPr>
        <w:t xml:space="preserve">we </w:t>
      </w:r>
      <w:r w:rsidR="00D054AC" w:rsidRPr="00B35001">
        <w:rPr>
          <w:sz w:val="20"/>
          <w:szCs w:val="20"/>
          <w:lang w:val="en-GB"/>
        </w:rPr>
        <w:t>discussed</w:t>
      </w:r>
      <w:r w:rsidR="00353759" w:rsidRPr="00B35001">
        <w:rPr>
          <w:sz w:val="20"/>
          <w:szCs w:val="20"/>
          <w:lang w:val="en-GB"/>
        </w:rPr>
        <w:t xml:space="preserve"> the Rel-19 ATG CA enh</w:t>
      </w:r>
      <w:r w:rsidR="00A139DE" w:rsidRPr="00B35001">
        <w:rPr>
          <w:sz w:val="20"/>
          <w:szCs w:val="20"/>
          <w:lang w:val="en-GB"/>
        </w:rPr>
        <w:t>anceme</w:t>
      </w:r>
      <w:r w:rsidR="00353759" w:rsidRPr="00B35001">
        <w:rPr>
          <w:sz w:val="20"/>
          <w:szCs w:val="20"/>
          <w:lang w:val="en-GB"/>
        </w:rPr>
        <w:t>nt.</w:t>
      </w:r>
      <w:r w:rsidR="004B10C9" w:rsidRPr="00B35001">
        <w:rPr>
          <w:sz w:val="20"/>
          <w:szCs w:val="20"/>
          <w:lang w:val="en-GB"/>
        </w:rPr>
        <w:t xml:space="preserve"> </w:t>
      </w:r>
      <w:r w:rsidR="00A139DE" w:rsidRPr="00B35001">
        <w:rPr>
          <w:sz w:val="20"/>
          <w:szCs w:val="20"/>
          <w:lang w:val="en-GB"/>
        </w:rPr>
        <w:t xml:space="preserve">The points and views of companies are detailed in the </w:t>
      </w:r>
      <w:r w:rsidR="00325D2E" w:rsidRPr="00B35001">
        <w:rPr>
          <w:sz w:val="20"/>
          <w:szCs w:val="20"/>
          <w:lang w:val="en-GB"/>
        </w:rPr>
        <w:t>WF [</w:t>
      </w:r>
      <w:r w:rsidR="00A139DE" w:rsidRPr="00B35001">
        <w:rPr>
          <w:sz w:val="20"/>
          <w:szCs w:val="20"/>
          <w:lang w:val="en-GB"/>
        </w:rPr>
        <w:t xml:space="preserve">1]. </w:t>
      </w:r>
      <w:r w:rsidR="00383073" w:rsidRPr="00B35001">
        <w:rPr>
          <w:sz w:val="20"/>
          <w:szCs w:val="20"/>
        </w:rPr>
        <w:t>This paper presents</w:t>
      </w:r>
      <w:r w:rsidR="00496B38" w:rsidRPr="00B35001">
        <w:rPr>
          <w:sz w:val="20"/>
          <w:szCs w:val="20"/>
        </w:rPr>
        <w:t xml:space="preserve"> our observations and </w:t>
      </w:r>
      <w:r w:rsidR="00496B38" w:rsidRPr="00B35001">
        <w:rPr>
          <w:rFonts w:hint="eastAsia"/>
          <w:sz w:val="20"/>
          <w:szCs w:val="20"/>
        </w:rPr>
        <w:t>views</w:t>
      </w:r>
      <w:r w:rsidR="00496B38" w:rsidRPr="00B35001">
        <w:rPr>
          <w:sz w:val="20"/>
          <w:szCs w:val="20"/>
        </w:rPr>
        <w:t xml:space="preserve"> on RRM impacts </w:t>
      </w:r>
      <w:r w:rsidR="0091597A" w:rsidRPr="00B35001">
        <w:rPr>
          <w:sz w:val="20"/>
          <w:szCs w:val="20"/>
        </w:rPr>
        <w:t>on</w:t>
      </w:r>
      <w:r w:rsidR="00496B38" w:rsidRPr="00B35001">
        <w:rPr>
          <w:sz w:val="20"/>
          <w:szCs w:val="20"/>
        </w:rPr>
        <w:t xml:space="preserve"> </w:t>
      </w:r>
      <w:r w:rsidR="0091597A" w:rsidRPr="00B35001">
        <w:rPr>
          <w:sz w:val="20"/>
          <w:szCs w:val="20"/>
        </w:rPr>
        <w:t>A</w:t>
      </w:r>
      <w:r w:rsidR="00496B38" w:rsidRPr="00B35001">
        <w:rPr>
          <w:sz w:val="20"/>
          <w:szCs w:val="20"/>
        </w:rPr>
        <w:t>TG</w:t>
      </w:r>
      <w:r w:rsidR="0091597A" w:rsidRPr="00B35001">
        <w:rPr>
          <w:sz w:val="20"/>
          <w:szCs w:val="20"/>
        </w:rPr>
        <w:t xml:space="preserve"> CA</w:t>
      </w:r>
      <w:r w:rsidR="00496B38" w:rsidRPr="00B35001">
        <w:rPr>
          <w:sz w:val="20"/>
          <w:szCs w:val="20"/>
        </w:rPr>
        <w:t>.</w:t>
      </w:r>
    </w:p>
    <w:p w14:paraId="1E519057" w14:textId="611963BE" w:rsidR="006B4867" w:rsidRPr="00F82993" w:rsidRDefault="00BD612D" w:rsidP="00FD1206">
      <w:pPr>
        <w:pStyle w:val="1"/>
        <w:rPr>
          <w:lang w:val="en-GB"/>
        </w:rPr>
      </w:pPr>
      <w:r w:rsidRPr="00F82993">
        <w:rPr>
          <w:lang w:val="en-GB"/>
        </w:rPr>
        <w:t>RRM core requirement analysis</w:t>
      </w:r>
    </w:p>
    <w:p w14:paraId="7FA1B786" w14:textId="4BD5B93A" w:rsidR="00A45CCD" w:rsidRPr="00B35001" w:rsidRDefault="008E1DA0" w:rsidP="00B50ECE">
      <w:pPr>
        <w:rPr>
          <w:sz w:val="20"/>
          <w:szCs w:val="20"/>
          <w:lang w:val="en-GB"/>
        </w:rPr>
      </w:pPr>
      <w:r w:rsidRPr="00B35001">
        <w:rPr>
          <w:sz w:val="20"/>
          <w:szCs w:val="20"/>
          <w:lang w:val="en-GB"/>
        </w:rPr>
        <w:t>Compared with the requirements defined in Rel-18 ATG for single</w:t>
      </w:r>
      <w:r w:rsidR="00DC56EB" w:rsidRPr="00B35001">
        <w:rPr>
          <w:sz w:val="20"/>
          <w:szCs w:val="20"/>
          <w:lang w:val="en-GB"/>
        </w:rPr>
        <w:t>-</w:t>
      </w:r>
      <w:r w:rsidR="00744F2F">
        <w:rPr>
          <w:sz w:val="20"/>
          <w:szCs w:val="20"/>
          <w:lang w:val="en-GB"/>
        </w:rPr>
        <w:t>c</w:t>
      </w:r>
      <w:r w:rsidRPr="00B35001">
        <w:rPr>
          <w:sz w:val="20"/>
          <w:szCs w:val="20"/>
          <w:lang w:val="en-GB"/>
        </w:rPr>
        <w:t xml:space="preserve">ell, we provide our analysis on the </w:t>
      </w:r>
      <w:r w:rsidR="003C6C19">
        <w:rPr>
          <w:sz w:val="20"/>
          <w:szCs w:val="20"/>
          <w:lang w:val="en-GB"/>
        </w:rPr>
        <w:t xml:space="preserve">remaining ATG core part issues that </w:t>
      </w:r>
      <w:r w:rsidRPr="00B35001">
        <w:rPr>
          <w:sz w:val="20"/>
          <w:szCs w:val="20"/>
          <w:lang w:val="en-GB"/>
        </w:rPr>
        <w:t xml:space="preserve">impact to support </w:t>
      </w:r>
      <w:r w:rsidR="003C6C19">
        <w:rPr>
          <w:sz w:val="20"/>
          <w:szCs w:val="20"/>
          <w:lang w:val="en-GB"/>
        </w:rPr>
        <w:t xml:space="preserve">of </w:t>
      </w:r>
      <w:r w:rsidRPr="00B35001">
        <w:rPr>
          <w:sz w:val="20"/>
          <w:szCs w:val="20"/>
          <w:lang w:val="en-GB"/>
        </w:rPr>
        <w:t xml:space="preserve">CA in </w:t>
      </w:r>
      <w:r w:rsidR="003C6C19">
        <w:rPr>
          <w:sz w:val="20"/>
          <w:szCs w:val="20"/>
          <w:lang w:val="en-GB"/>
        </w:rPr>
        <w:t xml:space="preserve">a </w:t>
      </w:r>
      <w:r w:rsidR="00FF4D8B">
        <w:rPr>
          <w:sz w:val="20"/>
          <w:szCs w:val="20"/>
          <w:lang w:val="en-GB"/>
        </w:rPr>
        <w:t>case-by-</w:t>
      </w:r>
      <w:r w:rsidRPr="00B35001">
        <w:rPr>
          <w:sz w:val="20"/>
          <w:szCs w:val="20"/>
          <w:lang w:val="en-GB"/>
        </w:rPr>
        <w:t xml:space="preserve">case manner in </w:t>
      </w:r>
      <w:r w:rsidR="00717F0A" w:rsidRPr="00B35001">
        <w:rPr>
          <w:sz w:val="20"/>
          <w:szCs w:val="20"/>
          <w:lang w:val="en-GB"/>
        </w:rPr>
        <w:t xml:space="preserve">the </w:t>
      </w:r>
      <w:r w:rsidRPr="00B35001">
        <w:rPr>
          <w:sz w:val="20"/>
          <w:szCs w:val="20"/>
          <w:lang w:val="en-GB"/>
        </w:rPr>
        <w:t>following part.</w:t>
      </w:r>
    </w:p>
    <w:p w14:paraId="57288A60" w14:textId="2AADF0B3" w:rsidR="0072543E" w:rsidRPr="00B57BA6" w:rsidRDefault="00730E17" w:rsidP="0072543E">
      <w:pPr>
        <w:pStyle w:val="2"/>
        <w:rPr>
          <w:lang w:val="en-GB"/>
        </w:rPr>
      </w:pPr>
      <w:r w:rsidRPr="00730E17">
        <w:rPr>
          <w:lang w:val="en-GB"/>
        </w:rPr>
        <w:t>Sharing factor between L1 measurement and RRM measurement</w:t>
      </w:r>
    </w:p>
    <w:p w14:paraId="10CBF1F2" w14:textId="6F94CE43" w:rsidR="0072543E" w:rsidRPr="00B35001" w:rsidRDefault="0072543E" w:rsidP="0072543E">
      <w:pPr>
        <w:rPr>
          <w:sz w:val="20"/>
          <w:szCs w:val="20"/>
          <w:lang w:val="en-GB"/>
        </w:rPr>
      </w:pPr>
      <w:r w:rsidRPr="00B35001">
        <w:rPr>
          <w:sz w:val="20"/>
          <w:szCs w:val="20"/>
          <w:lang w:val="en-GB"/>
        </w:rPr>
        <w:t>In the last meeting, companies proposed to discuss the SCell addition/activation mechanism.</w:t>
      </w:r>
    </w:p>
    <w:tbl>
      <w:tblPr>
        <w:tblStyle w:val="af0"/>
        <w:tblW w:w="0" w:type="auto"/>
        <w:tblLook w:val="04A0" w:firstRow="1" w:lastRow="0" w:firstColumn="1" w:lastColumn="0" w:noHBand="0" w:noVBand="1"/>
      </w:tblPr>
      <w:tblGrid>
        <w:gridCol w:w="9560"/>
      </w:tblGrid>
      <w:tr w:rsidR="00077E60" w:rsidRPr="00DF2B92" w14:paraId="116D190A" w14:textId="77777777" w:rsidTr="00077E60">
        <w:tc>
          <w:tcPr>
            <w:tcW w:w="9560" w:type="dxa"/>
          </w:tcPr>
          <w:p w14:paraId="49C5F1CB" w14:textId="77777777" w:rsidR="00DF2B92" w:rsidRPr="00DF2B92" w:rsidRDefault="00DF2B92" w:rsidP="00DF2B92">
            <w:pPr>
              <w:pStyle w:val="af5"/>
              <w:autoSpaceDE/>
              <w:adjustRightInd/>
              <w:spacing w:line="240" w:lineRule="auto"/>
              <w:ind w:firstLineChars="0" w:firstLine="0"/>
              <w:rPr>
                <w:b/>
                <w:snapToGrid/>
                <w:sz w:val="20"/>
                <w:szCs w:val="20"/>
                <w:u w:val="single"/>
                <w:lang w:eastAsia="ko-KR"/>
              </w:rPr>
            </w:pPr>
            <w:r w:rsidRPr="00DF2B92">
              <w:rPr>
                <w:b/>
                <w:sz w:val="20"/>
                <w:szCs w:val="20"/>
                <w:u w:val="single"/>
              </w:rPr>
              <w:t>Issue 1-3-2: Sharing factor between L1 measurement and RRM measurement - effective non-overlapping duration</w:t>
            </w:r>
          </w:p>
          <w:p w14:paraId="49D9D9B4" w14:textId="77777777" w:rsidR="00DF2B92" w:rsidRPr="00DF2B92" w:rsidRDefault="00DF2B92" w:rsidP="00DF2B92">
            <w:pPr>
              <w:pStyle w:val="af5"/>
              <w:widowControl/>
              <w:numPr>
                <w:ilvl w:val="0"/>
                <w:numId w:val="6"/>
              </w:numPr>
              <w:tabs>
                <w:tab w:val="left" w:pos="-420"/>
              </w:tabs>
              <w:autoSpaceDE/>
              <w:adjustRightInd/>
              <w:spacing w:line="240" w:lineRule="auto"/>
              <w:ind w:firstLineChars="0"/>
              <w:jc w:val="left"/>
              <w:rPr>
                <w:b/>
                <w:bCs/>
                <w:sz w:val="20"/>
                <w:szCs w:val="20"/>
                <w:lang w:val="en-GB"/>
              </w:rPr>
            </w:pPr>
            <w:r w:rsidRPr="00DF2B92">
              <w:rPr>
                <w:b/>
                <w:bCs/>
                <w:sz w:val="20"/>
                <w:szCs w:val="20"/>
              </w:rPr>
              <w:t>Proposals</w:t>
            </w:r>
          </w:p>
          <w:p w14:paraId="4581A9E1" w14:textId="77777777" w:rsidR="00DF2B92" w:rsidRPr="00DF2B92" w:rsidRDefault="00DF2B92" w:rsidP="00DF2B92">
            <w:pPr>
              <w:pStyle w:val="af5"/>
              <w:widowControl/>
              <w:numPr>
                <w:ilvl w:val="1"/>
                <w:numId w:val="6"/>
              </w:numPr>
              <w:tabs>
                <w:tab w:val="left" w:pos="-420"/>
              </w:tabs>
              <w:autoSpaceDE/>
              <w:adjustRightInd/>
              <w:spacing w:line="240" w:lineRule="auto"/>
              <w:ind w:firstLineChars="0"/>
              <w:jc w:val="left"/>
              <w:rPr>
                <w:rFonts w:eastAsiaTheme="minorEastAsia"/>
                <w:bCs/>
                <w:sz w:val="20"/>
                <w:szCs w:val="20"/>
                <w:lang w:eastAsia="ko-KR" w:bidi="ar"/>
              </w:rPr>
            </w:pPr>
            <w:r w:rsidRPr="00DF2B92">
              <w:rPr>
                <w:rFonts w:eastAsiaTheme="minorEastAsia"/>
                <w:sz w:val="20"/>
                <w:szCs w:val="20"/>
              </w:rPr>
              <w:t>Proposal 1: For the ‘</w:t>
            </w:r>
            <w:r w:rsidRPr="00DF2B92">
              <w:rPr>
                <w:sz w:val="20"/>
                <w:szCs w:val="20"/>
              </w:rPr>
              <w:t>SSB-</w:t>
            </w:r>
            <w:proofErr w:type="spellStart"/>
            <w:r w:rsidRPr="00DF2B92">
              <w:rPr>
                <w:sz w:val="20"/>
                <w:szCs w:val="20"/>
              </w:rPr>
              <w:t>ToMeasure</w:t>
            </w:r>
            <w:proofErr w:type="spellEnd"/>
            <w:r w:rsidRPr="00DF2B92">
              <w:rPr>
                <w:sz w:val="20"/>
                <w:szCs w:val="20"/>
              </w:rPr>
              <w:t xml:space="preserve"> and SS-RSSI-Measurement are configured</w:t>
            </w:r>
            <w:r w:rsidRPr="00DF2B92">
              <w:rPr>
                <w:rFonts w:eastAsiaTheme="minorEastAsia"/>
                <w:sz w:val="20"/>
                <w:szCs w:val="20"/>
              </w:rPr>
              <w:t>’, use MRTD as the reference when calculate the margin for non-overlapping duration</w:t>
            </w:r>
          </w:p>
          <w:p w14:paraId="1A5EEE43" w14:textId="77777777" w:rsidR="00DF2B92" w:rsidRPr="00DF2B92" w:rsidRDefault="00DF2B92" w:rsidP="00DF2B92">
            <w:pPr>
              <w:pStyle w:val="af5"/>
              <w:widowControl/>
              <w:numPr>
                <w:ilvl w:val="2"/>
                <w:numId w:val="6"/>
              </w:numPr>
              <w:tabs>
                <w:tab w:val="left" w:pos="-420"/>
              </w:tabs>
              <w:autoSpaceDE/>
              <w:adjustRightInd/>
              <w:spacing w:line="240" w:lineRule="auto"/>
              <w:ind w:firstLineChars="0"/>
              <w:jc w:val="left"/>
              <w:rPr>
                <w:rFonts w:eastAsiaTheme="minorEastAsia"/>
                <w:bCs/>
                <w:sz w:val="20"/>
                <w:szCs w:val="20"/>
                <w:lang w:eastAsia="ko-KR" w:bidi="ar"/>
              </w:rPr>
            </w:pPr>
            <w:r w:rsidRPr="00DF2B92">
              <w:rPr>
                <w:rFonts w:eastAsiaTheme="minorEastAsia"/>
                <w:sz w:val="20"/>
                <w:szCs w:val="20"/>
              </w:rPr>
              <w:t>Proposal 1-1:</w:t>
            </w:r>
          </w:p>
          <w:p w14:paraId="46E74BCB" w14:textId="77777777" w:rsidR="00DF2B92" w:rsidRPr="00DF2B92" w:rsidRDefault="00DF2B92" w:rsidP="00DF2B92">
            <w:pPr>
              <w:pStyle w:val="af5"/>
              <w:widowControl/>
              <w:numPr>
                <w:ilvl w:val="3"/>
                <w:numId w:val="6"/>
              </w:numPr>
              <w:tabs>
                <w:tab w:val="left" w:pos="-420"/>
              </w:tabs>
              <w:autoSpaceDE/>
              <w:adjustRightInd/>
              <w:spacing w:line="240" w:lineRule="auto"/>
              <w:ind w:firstLineChars="0"/>
              <w:jc w:val="left"/>
              <w:rPr>
                <w:rFonts w:eastAsiaTheme="minorEastAsia"/>
                <w:bCs/>
                <w:sz w:val="20"/>
                <w:szCs w:val="20"/>
                <w:lang w:eastAsia="ko-KR" w:bidi="ar"/>
              </w:rPr>
            </w:pPr>
            <w:r w:rsidRPr="00DF2B92">
              <w:rPr>
                <w:sz w:val="20"/>
                <w:szCs w:val="20"/>
                <w:lang w:eastAsia="ko-KR"/>
              </w:rPr>
              <w:t xml:space="preserve">Consider impact on </w:t>
            </w:r>
            <w:r w:rsidRPr="00DF2B92">
              <w:rPr>
                <w:sz w:val="20"/>
                <w:szCs w:val="20"/>
              </w:rPr>
              <w:t>K</w:t>
            </w:r>
            <w:r w:rsidRPr="00DF2B92">
              <w:rPr>
                <w:sz w:val="20"/>
                <w:szCs w:val="20"/>
                <w:vertAlign w:val="subscript"/>
              </w:rPr>
              <w:t>layer1_measurement</w:t>
            </w:r>
            <w:r w:rsidRPr="00DF2B92">
              <w:rPr>
                <w:sz w:val="20"/>
                <w:szCs w:val="20"/>
                <w:lang w:eastAsia="ko-KR"/>
              </w:rPr>
              <w:t xml:space="preserve"> due to 33usec MRTD for Case 4 antenna type, e.g., </w:t>
            </w:r>
          </w:p>
          <w:p w14:paraId="32538137" w14:textId="77777777" w:rsidR="00DF2B92" w:rsidRPr="00DF2B92" w:rsidRDefault="00DF2B92" w:rsidP="00DF2B92">
            <w:pPr>
              <w:pStyle w:val="af5"/>
              <w:widowControl/>
              <w:numPr>
                <w:ilvl w:val="4"/>
                <w:numId w:val="6"/>
              </w:numPr>
              <w:tabs>
                <w:tab w:val="left" w:pos="-420"/>
              </w:tabs>
              <w:autoSpaceDE/>
              <w:adjustRightInd/>
              <w:spacing w:line="240" w:lineRule="auto"/>
              <w:ind w:firstLineChars="0"/>
              <w:jc w:val="left"/>
              <w:rPr>
                <w:rFonts w:eastAsiaTheme="minorEastAsia"/>
                <w:bCs/>
                <w:sz w:val="20"/>
                <w:szCs w:val="20"/>
                <w:lang w:eastAsia="ko-KR" w:bidi="ar"/>
              </w:rPr>
            </w:pPr>
            <w:r w:rsidRPr="00DF2B92">
              <w:rPr>
                <w:sz w:val="20"/>
                <w:szCs w:val="20"/>
              </w:rPr>
              <w:t xml:space="preserve">if all of the reference signal configured for RLM, BFD, CBD or L1-RSRP for beam reporting outside measurement gap and fully-overlapped by intra-frequency SMTC occasions are not overlapped with any of the SSB symbols and the RSSI symbols, and </w:t>
            </w:r>
            <w:r w:rsidRPr="00DF2B92">
              <w:rPr>
                <w:sz w:val="20"/>
                <w:szCs w:val="20"/>
                <w:highlight w:val="yellow"/>
                <w:lang w:eastAsia="ko-KR"/>
              </w:rPr>
              <w:t>2</w:t>
            </w:r>
            <w:r w:rsidRPr="00DF2B92">
              <w:rPr>
                <w:sz w:val="20"/>
                <w:szCs w:val="20"/>
                <w:highlight w:val="yellow"/>
              </w:rPr>
              <w:t xml:space="preserve"> symbol</w:t>
            </w:r>
            <w:r w:rsidRPr="00DF2B92">
              <w:rPr>
                <w:sz w:val="20"/>
                <w:szCs w:val="20"/>
              </w:rPr>
              <w:t xml:space="preserve"> before each consecutive SSB symbols and the RSSI symbols, and </w:t>
            </w:r>
            <w:r w:rsidRPr="00DF2B92">
              <w:rPr>
                <w:sz w:val="20"/>
                <w:szCs w:val="20"/>
                <w:highlight w:val="yellow"/>
                <w:lang w:eastAsia="ko-KR"/>
              </w:rPr>
              <w:t>2</w:t>
            </w:r>
            <w:r w:rsidRPr="00DF2B92">
              <w:rPr>
                <w:sz w:val="20"/>
                <w:szCs w:val="20"/>
                <w:highlight w:val="yellow"/>
              </w:rPr>
              <w:t xml:space="preserve"> symbol</w:t>
            </w:r>
            <w:r w:rsidRPr="00DF2B92">
              <w:rPr>
                <w:sz w:val="20"/>
                <w:szCs w:val="20"/>
              </w:rPr>
              <w:t xml:space="preserve"> after each consecutive SSB symbols and the RSSI symbols </w:t>
            </w:r>
            <w:r w:rsidRPr="00DF2B92">
              <w:rPr>
                <w:sz w:val="20"/>
                <w:szCs w:val="20"/>
                <w:highlight w:val="yellow"/>
                <w:lang w:eastAsia="ko-KR"/>
              </w:rPr>
              <w:t>of</w:t>
            </w:r>
            <w:r w:rsidRPr="00DF2B92">
              <w:rPr>
                <w:sz w:val="20"/>
                <w:szCs w:val="20"/>
                <w:highlight w:val="yellow"/>
              </w:rPr>
              <w:t xml:space="preserve"> serving cell</w:t>
            </w:r>
            <w:r w:rsidRPr="00DF2B92">
              <w:rPr>
                <w:sz w:val="20"/>
                <w:szCs w:val="20"/>
                <w:highlight w:val="yellow"/>
                <w:lang w:eastAsia="ko-KR"/>
              </w:rPr>
              <w:t>s</w:t>
            </w:r>
            <w:r w:rsidRPr="00DF2B92">
              <w:rPr>
                <w:sz w:val="20"/>
                <w:szCs w:val="20"/>
                <w:highlight w:val="yellow"/>
              </w:rPr>
              <w:t xml:space="preserve"> when inter-band carrier aggregation within FR1 is configured and UE support</w:t>
            </w:r>
            <w:r w:rsidRPr="00DF2B92">
              <w:rPr>
                <w:sz w:val="20"/>
                <w:szCs w:val="20"/>
                <w:highlight w:val="yellow"/>
                <w:lang w:eastAsia="ko-KR"/>
              </w:rPr>
              <w:t>s</w:t>
            </w:r>
            <w:r w:rsidRPr="00DF2B92">
              <w:rPr>
                <w:sz w:val="20"/>
                <w:szCs w:val="20"/>
                <w:highlight w:val="yellow"/>
              </w:rPr>
              <w:t xml:space="preserve"> </w:t>
            </w:r>
            <w:r w:rsidRPr="00DF2B92">
              <w:rPr>
                <w:sz w:val="20"/>
                <w:szCs w:val="20"/>
                <w:highlight w:val="yellow"/>
                <w:lang w:eastAsia="ko-KR"/>
              </w:rPr>
              <w:t>[</w:t>
            </w:r>
            <w:r w:rsidRPr="00DF2B92">
              <w:rPr>
                <w:sz w:val="20"/>
                <w:szCs w:val="20"/>
                <w:highlight w:val="yellow"/>
              </w:rPr>
              <w:t>capability of case 4]</w:t>
            </w:r>
            <w:r w:rsidRPr="00DF2B92">
              <w:rPr>
                <w:sz w:val="20"/>
                <w:szCs w:val="20"/>
              </w:rPr>
              <w:t>, given that SSB-</w:t>
            </w:r>
            <w:proofErr w:type="spellStart"/>
            <w:r w:rsidRPr="00DF2B92">
              <w:rPr>
                <w:sz w:val="20"/>
                <w:szCs w:val="20"/>
              </w:rPr>
              <w:t>ToMeasure</w:t>
            </w:r>
            <w:proofErr w:type="spellEnd"/>
            <w:r w:rsidRPr="00DF2B92">
              <w:rPr>
                <w:sz w:val="20"/>
                <w:szCs w:val="20"/>
              </w:rPr>
              <w:t xml:space="preserve"> and SS-RSSI-Measurement are configured, where SSB symbols are indicated by the union set of SSB-</w:t>
            </w:r>
            <w:proofErr w:type="spellStart"/>
            <w:r w:rsidRPr="00DF2B92">
              <w:rPr>
                <w:sz w:val="20"/>
                <w:szCs w:val="20"/>
              </w:rPr>
              <w:t>ToMeasure</w:t>
            </w:r>
            <w:proofErr w:type="spellEnd"/>
            <w:r w:rsidRPr="00DF2B92">
              <w:rPr>
                <w:sz w:val="20"/>
                <w:szCs w:val="20"/>
              </w:rPr>
              <w:t> from all the configured measurement objects on the same serving carrier which can be merged. and RSSI symbols are indicated by SS-RSSI-Measurement</w:t>
            </w:r>
          </w:p>
          <w:p w14:paraId="4890E5FC" w14:textId="77777777" w:rsidR="00DF2B92" w:rsidRPr="00DF2B92" w:rsidRDefault="00DF2B92" w:rsidP="00DF2B92">
            <w:pPr>
              <w:pStyle w:val="af5"/>
              <w:widowControl/>
              <w:numPr>
                <w:ilvl w:val="2"/>
                <w:numId w:val="6"/>
              </w:numPr>
              <w:tabs>
                <w:tab w:val="left" w:pos="-420"/>
              </w:tabs>
              <w:autoSpaceDE/>
              <w:adjustRightInd/>
              <w:spacing w:line="240" w:lineRule="auto"/>
              <w:ind w:firstLineChars="0"/>
              <w:jc w:val="left"/>
              <w:rPr>
                <w:rFonts w:eastAsiaTheme="minorEastAsia"/>
                <w:bCs/>
                <w:sz w:val="20"/>
                <w:szCs w:val="20"/>
                <w:lang w:eastAsia="ko-KR" w:bidi="ar"/>
              </w:rPr>
            </w:pPr>
            <w:r w:rsidRPr="00DF2B92">
              <w:rPr>
                <w:rFonts w:eastAsiaTheme="minorEastAsia"/>
                <w:bCs/>
                <w:sz w:val="20"/>
                <w:szCs w:val="20"/>
                <w:lang w:bidi="ar"/>
              </w:rPr>
              <w:lastRenderedPageBreak/>
              <w:t xml:space="preserve">Proposal 1-2: </w:t>
            </w:r>
          </w:p>
          <w:p w14:paraId="79D3C790" w14:textId="77777777" w:rsidR="00DF2B92" w:rsidRPr="00DF2B92" w:rsidRDefault="00DF2B92" w:rsidP="00DF2B92">
            <w:pPr>
              <w:pStyle w:val="af5"/>
              <w:widowControl/>
              <w:numPr>
                <w:ilvl w:val="3"/>
                <w:numId w:val="6"/>
              </w:numPr>
              <w:tabs>
                <w:tab w:val="left" w:pos="-420"/>
              </w:tabs>
              <w:autoSpaceDE/>
              <w:adjustRightInd/>
              <w:spacing w:line="240" w:lineRule="auto"/>
              <w:ind w:firstLineChars="0"/>
              <w:jc w:val="left"/>
              <w:rPr>
                <w:rFonts w:eastAsia="Times New Roman"/>
                <w:sz w:val="20"/>
                <w:szCs w:val="20"/>
              </w:rPr>
            </w:pPr>
            <w:r w:rsidRPr="00DF2B92">
              <w:rPr>
                <w:sz w:val="20"/>
                <w:szCs w:val="20"/>
              </w:rPr>
              <w:t>For UE capable of [</w:t>
            </w:r>
            <w:bookmarkStart w:id="0" w:name="_Hlk205481095"/>
            <w:r w:rsidRPr="00DF2B92">
              <w:rPr>
                <w:sz w:val="20"/>
                <w:szCs w:val="20"/>
              </w:rPr>
              <w:t>antennaArrayType-r18</w:t>
            </w:r>
            <w:bookmarkEnd w:id="0"/>
            <w:r w:rsidRPr="00DF2B92">
              <w:rPr>
                <w:sz w:val="20"/>
                <w:szCs w:val="20"/>
              </w:rPr>
              <w:t>] and [intra-band or inter-band carrier aggregation is configured],</w:t>
            </w:r>
          </w:p>
          <w:p w14:paraId="4C9BE968" w14:textId="77777777" w:rsidR="00DF2B92" w:rsidRPr="00DF2B92" w:rsidRDefault="00DF2B92" w:rsidP="00DF2B92">
            <w:pPr>
              <w:pStyle w:val="af5"/>
              <w:widowControl/>
              <w:numPr>
                <w:ilvl w:val="4"/>
                <w:numId w:val="6"/>
              </w:numPr>
              <w:tabs>
                <w:tab w:val="left" w:pos="-420"/>
              </w:tabs>
              <w:autoSpaceDE/>
              <w:adjustRightInd/>
              <w:spacing w:line="240" w:lineRule="auto"/>
              <w:ind w:firstLineChars="0"/>
              <w:jc w:val="left"/>
              <w:rPr>
                <w:sz w:val="20"/>
                <w:szCs w:val="20"/>
              </w:rPr>
            </w:pPr>
            <w:r w:rsidRPr="00DF2B92">
              <w:rPr>
                <w:sz w:val="20"/>
                <w:szCs w:val="20"/>
              </w:rPr>
              <w:t>K</w:t>
            </w:r>
            <w:r w:rsidRPr="00DF2B92">
              <w:rPr>
                <w:sz w:val="20"/>
                <w:szCs w:val="20"/>
                <w:vertAlign w:val="subscript"/>
              </w:rPr>
              <w:t>layer1_measurement</w:t>
            </w:r>
            <w:r w:rsidRPr="00DF2B92">
              <w:rPr>
                <w:sz w:val="20"/>
                <w:szCs w:val="20"/>
              </w:rPr>
              <w:t xml:space="preserve">=1, </w:t>
            </w:r>
          </w:p>
          <w:p w14:paraId="14560BA2" w14:textId="77777777" w:rsidR="00DF2B92" w:rsidRPr="00DF2B92" w:rsidRDefault="00DF2B92" w:rsidP="00DF2B92">
            <w:pPr>
              <w:pStyle w:val="af5"/>
              <w:widowControl/>
              <w:numPr>
                <w:ilvl w:val="5"/>
                <w:numId w:val="6"/>
              </w:numPr>
              <w:tabs>
                <w:tab w:val="left" w:pos="-420"/>
              </w:tabs>
              <w:autoSpaceDE/>
              <w:adjustRightInd/>
              <w:spacing w:line="240" w:lineRule="auto"/>
              <w:ind w:firstLineChars="0"/>
              <w:jc w:val="left"/>
              <w:rPr>
                <w:sz w:val="20"/>
                <w:szCs w:val="20"/>
                <w:lang w:eastAsia="en-GB"/>
              </w:rPr>
            </w:pPr>
            <w:r w:rsidRPr="00DF2B92">
              <w:rPr>
                <w:sz w:val="20"/>
                <w:szCs w:val="20"/>
              </w:rPr>
              <w:t>-</w:t>
            </w:r>
            <w:r w:rsidRPr="00DF2B92">
              <w:rPr>
                <w:sz w:val="20"/>
                <w:szCs w:val="20"/>
              </w:rPr>
              <w:tab/>
              <w:t xml:space="preserve">if all of the reference signal configured for RLM, BFD, CBD or L1-RSRP for beam reporting </w:t>
            </w:r>
            <w:r w:rsidRPr="00DF2B92">
              <w:rPr>
                <w:sz w:val="20"/>
                <w:szCs w:val="20"/>
                <w:highlight w:val="yellow"/>
              </w:rPr>
              <w:t xml:space="preserve">on any serving frequency in the same band </w:t>
            </w:r>
            <w:r w:rsidRPr="00DF2B92">
              <w:rPr>
                <w:sz w:val="20"/>
                <w:szCs w:val="20"/>
              </w:rPr>
              <w:t xml:space="preserve">outside measurement gap and fully-overlapped by intra-frequency SMTC occasions are not overlapped with any of the SSB symbols and the RSSI symbols, and </w:t>
            </w:r>
            <w:r w:rsidRPr="00DF2B92">
              <w:rPr>
                <w:sz w:val="20"/>
                <w:szCs w:val="20"/>
                <w:highlight w:val="yellow"/>
              </w:rPr>
              <w:t>1</w:t>
            </w:r>
            <w:r w:rsidRPr="00DF2B92">
              <w:rPr>
                <w:sz w:val="20"/>
                <w:szCs w:val="20"/>
              </w:rPr>
              <w:t xml:space="preserve"> symbol before each consecutive SSB symbols and the RSSI symbols, and </w:t>
            </w:r>
            <w:r w:rsidRPr="00DF2B92">
              <w:rPr>
                <w:sz w:val="20"/>
                <w:szCs w:val="20"/>
                <w:highlight w:val="yellow"/>
              </w:rPr>
              <w:t>1</w:t>
            </w:r>
            <w:r w:rsidRPr="00DF2B92">
              <w:rPr>
                <w:sz w:val="20"/>
                <w:szCs w:val="20"/>
              </w:rPr>
              <w:t xml:space="preserve"> symbol after each consecutive SSB symbols and the RSSI symbols, given that SSB-</w:t>
            </w:r>
            <w:proofErr w:type="spellStart"/>
            <w:r w:rsidRPr="00DF2B92">
              <w:rPr>
                <w:sz w:val="20"/>
                <w:szCs w:val="20"/>
              </w:rPr>
              <w:t>ToMeasure</w:t>
            </w:r>
            <w:proofErr w:type="spellEnd"/>
            <w:r w:rsidRPr="00DF2B92">
              <w:rPr>
                <w:sz w:val="20"/>
                <w:szCs w:val="20"/>
              </w:rPr>
              <w:t xml:space="preserve"> and SS-RSSI-Measurement are configured, where SSB symbols are indicated by the union set of SSB-</w:t>
            </w:r>
            <w:proofErr w:type="spellStart"/>
            <w:r w:rsidRPr="00DF2B92">
              <w:rPr>
                <w:sz w:val="20"/>
                <w:szCs w:val="20"/>
              </w:rPr>
              <w:t>ToMeasure</w:t>
            </w:r>
            <w:proofErr w:type="spellEnd"/>
            <w:r w:rsidRPr="00DF2B92">
              <w:rPr>
                <w:sz w:val="20"/>
                <w:szCs w:val="20"/>
              </w:rPr>
              <w:t> from all the configured measurement objects on the same serving carrier which can be merged. and RSSI symbols are indicated by SS-RSSI-Measurement, or;</w:t>
            </w:r>
          </w:p>
          <w:p w14:paraId="4408F8F4" w14:textId="77777777" w:rsidR="00DF2B92" w:rsidRPr="00DF2B92" w:rsidRDefault="00DF2B92" w:rsidP="00DF2B92">
            <w:pPr>
              <w:pStyle w:val="af5"/>
              <w:widowControl/>
              <w:numPr>
                <w:ilvl w:val="5"/>
                <w:numId w:val="6"/>
              </w:numPr>
              <w:tabs>
                <w:tab w:val="left" w:pos="-420"/>
              </w:tabs>
              <w:autoSpaceDE/>
              <w:adjustRightInd/>
              <w:spacing w:line="240" w:lineRule="auto"/>
              <w:ind w:firstLineChars="0"/>
              <w:jc w:val="left"/>
              <w:rPr>
                <w:sz w:val="20"/>
                <w:szCs w:val="20"/>
              </w:rPr>
            </w:pPr>
            <w:r w:rsidRPr="00DF2B92">
              <w:rPr>
                <w:sz w:val="20"/>
                <w:szCs w:val="20"/>
              </w:rPr>
              <w:t>-</w:t>
            </w:r>
            <w:r w:rsidRPr="00DF2B92">
              <w:rPr>
                <w:sz w:val="20"/>
                <w:szCs w:val="20"/>
              </w:rPr>
              <w:tab/>
              <w:t xml:space="preserve">if all of the reference signal configured for RLM, BFD, CBD or L1-RSRP for beam reporting </w:t>
            </w:r>
            <w:r w:rsidRPr="00DF2B92">
              <w:rPr>
                <w:sz w:val="20"/>
                <w:szCs w:val="20"/>
                <w:highlight w:val="yellow"/>
              </w:rPr>
              <w:t xml:space="preserve">on any serving frequency in different band </w:t>
            </w:r>
            <w:r w:rsidRPr="00DF2B92">
              <w:rPr>
                <w:sz w:val="20"/>
                <w:szCs w:val="20"/>
              </w:rPr>
              <w:t xml:space="preserve">outside measurement gap and fully-overlapped by intra-frequency SMTC occasions are not overlapped with any of the SSB symbols and the RSSI symbols, and </w:t>
            </w:r>
            <w:r w:rsidRPr="00DF2B92">
              <w:rPr>
                <w:sz w:val="20"/>
                <w:szCs w:val="20"/>
                <w:highlight w:val="yellow"/>
              </w:rPr>
              <w:t>2</w:t>
            </w:r>
            <w:r w:rsidRPr="00DF2B92">
              <w:rPr>
                <w:sz w:val="20"/>
                <w:szCs w:val="20"/>
              </w:rPr>
              <w:t xml:space="preserve"> symbol</w:t>
            </w:r>
            <w:r w:rsidRPr="00DF2B92">
              <w:rPr>
                <w:sz w:val="20"/>
                <w:szCs w:val="20"/>
                <w:highlight w:val="yellow"/>
              </w:rPr>
              <w:t>s</w:t>
            </w:r>
            <w:r w:rsidRPr="00DF2B92">
              <w:rPr>
                <w:sz w:val="20"/>
                <w:szCs w:val="20"/>
              </w:rPr>
              <w:t xml:space="preserve"> before each consecutive SSB symbols and the RSSI symbols, and </w:t>
            </w:r>
            <w:r w:rsidRPr="00DF2B92">
              <w:rPr>
                <w:sz w:val="20"/>
                <w:szCs w:val="20"/>
                <w:highlight w:val="yellow"/>
              </w:rPr>
              <w:t>2</w:t>
            </w:r>
            <w:r w:rsidRPr="00DF2B92">
              <w:rPr>
                <w:sz w:val="20"/>
                <w:szCs w:val="20"/>
              </w:rPr>
              <w:t xml:space="preserve"> symbol</w:t>
            </w:r>
            <w:r w:rsidRPr="00DF2B92">
              <w:rPr>
                <w:sz w:val="20"/>
                <w:szCs w:val="20"/>
                <w:highlight w:val="yellow"/>
              </w:rPr>
              <w:t>s</w:t>
            </w:r>
            <w:r w:rsidRPr="00DF2B92">
              <w:rPr>
                <w:sz w:val="20"/>
                <w:szCs w:val="20"/>
              </w:rPr>
              <w:t xml:space="preserve"> after each consecutive SSB symbols and the RSSI symbols, given that SSB-</w:t>
            </w:r>
            <w:proofErr w:type="spellStart"/>
            <w:r w:rsidRPr="00DF2B92">
              <w:rPr>
                <w:sz w:val="20"/>
                <w:szCs w:val="20"/>
              </w:rPr>
              <w:t>ToMeasure</w:t>
            </w:r>
            <w:proofErr w:type="spellEnd"/>
            <w:r w:rsidRPr="00DF2B92">
              <w:rPr>
                <w:sz w:val="20"/>
                <w:szCs w:val="20"/>
              </w:rPr>
              <w:t xml:space="preserve"> and SS-RSSI-Measurement are configured </w:t>
            </w:r>
            <w:r w:rsidRPr="00DF2B92">
              <w:rPr>
                <w:sz w:val="20"/>
                <w:szCs w:val="20"/>
                <w:highlight w:val="yellow"/>
              </w:rPr>
              <w:t>and the UE is capable of [common Rx beam between PCC band and SCC band]</w:t>
            </w:r>
            <w:r w:rsidRPr="00DF2B92">
              <w:rPr>
                <w:sz w:val="20"/>
                <w:szCs w:val="20"/>
              </w:rPr>
              <w:t>, where SSB symbols are indicated by the union set of SSB-</w:t>
            </w:r>
            <w:proofErr w:type="spellStart"/>
            <w:r w:rsidRPr="00DF2B92">
              <w:rPr>
                <w:sz w:val="20"/>
                <w:szCs w:val="20"/>
              </w:rPr>
              <w:t>ToMeasure</w:t>
            </w:r>
            <w:proofErr w:type="spellEnd"/>
            <w:r w:rsidRPr="00DF2B92">
              <w:rPr>
                <w:sz w:val="20"/>
                <w:szCs w:val="20"/>
              </w:rPr>
              <w:t> from all the configured measurement objects on the same serving carrier which can be merged. and RSSI symbols are indicated by SS-RSSI-Measurement, or;</w:t>
            </w:r>
          </w:p>
          <w:p w14:paraId="27437DD6" w14:textId="77777777" w:rsidR="00DF2B92" w:rsidRPr="00DF2B92" w:rsidRDefault="00DF2B92" w:rsidP="00DF2B92">
            <w:pPr>
              <w:pStyle w:val="af5"/>
              <w:widowControl/>
              <w:numPr>
                <w:ilvl w:val="1"/>
                <w:numId w:val="6"/>
              </w:numPr>
              <w:tabs>
                <w:tab w:val="left" w:pos="-420"/>
              </w:tabs>
              <w:autoSpaceDE/>
              <w:adjustRightInd/>
              <w:spacing w:line="240" w:lineRule="auto"/>
              <w:ind w:firstLineChars="0"/>
              <w:jc w:val="left"/>
              <w:rPr>
                <w:rFonts w:eastAsiaTheme="minorEastAsia"/>
                <w:bCs/>
                <w:sz w:val="20"/>
                <w:szCs w:val="20"/>
                <w:lang w:eastAsia="ko-KR" w:bidi="ar"/>
              </w:rPr>
            </w:pPr>
            <w:r w:rsidRPr="00DF2B92">
              <w:rPr>
                <w:rFonts w:eastAsiaTheme="minorEastAsia"/>
                <w:sz w:val="20"/>
                <w:szCs w:val="20"/>
              </w:rPr>
              <w:t>Proposal 2:</w:t>
            </w:r>
          </w:p>
          <w:p w14:paraId="633F425F" w14:textId="77777777" w:rsidR="00DF2B92" w:rsidRPr="00DF2B92" w:rsidRDefault="00DF2B92" w:rsidP="00DF2B92">
            <w:pPr>
              <w:pStyle w:val="af5"/>
              <w:widowControl/>
              <w:numPr>
                <w:ilvl w:val="2"/>
                <w:numId w:val="6"/>
              </w:numPr>
              <w:tabs>
                <w:tab w:val="left" w:pos="-420"/>
              </w:tabs>
              <w:autoSpaceDE/>
              <w:adjustRightInd/>
              <w:spacing w:line="240" w:lineRule="auto"/>
              <w:ind w:firstLineChars="0"/>
              <w:jc w:val="left"/>
              <w:rPr>
                <w:sz w:val="20"/>
                <w:szCs w:val="20"/>
              </w:rPr>
            </w:pPr>
            <w:proofErr w:type="gramStart"/>
            <w:r w:rsidRPr="00DF2B92">
              <w:rPr>
                <w:rFonts w:eastAsia="等线"/>
                <w:sz w:val="20"/>
                <w:szCs w:val="20"/>
              </w:rPr>
              <w:t>Firstly</w:t>
            </w:r>
            <w:proofErr w:type="gramEnd"/>
            <w:r w:rsidRPr="00DF2B92">
              <w:rPr>
                <w:rFonts w:eastAsia="等线"/>
                <w:sz w:val="20"/>
                <w:szCs w:val="20"/>
              </w:rPr>
              <w:t xml:space="preserve"> align the understanding about the reference timing of SSB symbols and the RSSI symbols in the definition of </w:t>
            </w:r>
            <w:r w:rsidRPr="00DF2B92">
              <w:rPr>
                <w:sz w:val="20"/>
                <w:szCs w:val="20"/>
              </w:rPr>
              <w:t>K</w:t>
            </w:r>
            <w:r w:rsidRPr="00DF2B92">
              <w:rPr>
                <w:sz w:val="20"/>
                <w:szCs w:val="20"/>
                <w:vertAlign w:val="subscript"/>
              </w:rPr>
              <w:t>layer1_measurement</w:t>
            </w:r>
            <w:r w:rsidRPr="00DF2B92">
              <w:rPr>
                <w:sz w:val="20"/>
                <w:szCs w:val="20"/>
              </w:rPr>
              <w:t>.</w:t>
            </w:r>
          </w:p>
          <w:p w14:paraId="0CE2293B" w14:textId="77777777" w:rsidR="00DF2B92" w:rsidRPr="00DF2B92" w:rsidRDefault="00DF2B92" w:rsidP="00DF2B92">
            <w:pPr>
              <w:pStyle w:val="af5"/>
              <w:widowControl/>
              <w:numPr>
                <w:ilvl w:val="3"/>
                <w:numId w:val="6"/>
              </w:numPr>
              <w:tabs>
                <w:tab w:val="left" w:pos="-420"/>
              </w:tabs>
              <w:autoSpaceDE/>
              <w:adjustRightInd/>
              <w:spacing w:line="240" w:lineRule="auto"/>
              <w:ind w:firstLineChars="0"/>
              <w:jc w:val="left"/>
              <w:rPr>
                <w:rFonts w:eastAsia="等线"/>
                <w:sz w:val="20"/>
                <w:szCs w:val="20"/>
              </w:rPr>
            </w:pPr>
            <w:r w:rsidRPr="00DF2B92">
              <w:rPr>
                <w:rFonts w:eastAsia="等线"/>
                <w:sz w:val="20"/>
                <w:szCs w:val="20"/>
              </w:rPr>
              <w:t xml:space="preserve">If the serving cell timing is used as the reference timing of SSB symbols and the RSSI symbols, then extend the margin considering the maximum propagation delay difference between serving cell and </w:t>
            </w:r>
            <w:proofErr w:type="spellStart"/>
            <w:r w:rsidRPr="00DF2B92">
              <w:rPr>
                <w:rFonts w:eastAsia="等线"/>
                <w:sz w:val="20"/>
                <w:szCs w:val="20"/>
              </w:rPr>
              <w:t>neighbour</w:t>
            </w:r>
            <w:proofErr w:type="spellEnd"/>
            <w:r w:rsidRPr="00DF2B92">
              <w:rPr>
                <w:rFonts w:eastAsia="等线"/>
                <w:sz w:val="20"/>
                <w:szCs w:val="20"/>
              </w:rPr>
              <w:t xml:space="preserve"> cells.</w:t>
            </w:r>
          </w:p>
          <w:p w14:paraId="5B54736E" w14:textId="77777777" w:rsidR="00DF2B92" w:rsidRPr="00DF2B92" w:rsidRDefault="00DF2B92" w:rsidP="00DF2B92">
            <w:pPr>
              <w:pStyle w:val="af5"/>
              <w:widowControl/>
              <w:numPr>
                <w:ilvl w:val="3"/>
                <w:numId w:val="6"/>
              </w:numPr>
              <w:tabs>
                <w:tab w:val="left" w:pos="-420"/>
              </w:tabs>
              <w:autoSpaceDE/>
              <w:adjustRightInd/>
              <w:spacing w:line="240" w:lineRule="auto"/>
              <w:ind w:firstLineChars="0"/>
              <w:jc w:val="left"/>
              <w:rPr>
                <w:rFonts w:eastAsiaTheme="minorEastAsia"/>
                <w:sz w:val="20"/>
                <w:szCs w:val="20"/>
                <w:lang w:val="en-GB" w:eastAsia="ko-KR" w:bidi="ar"/>
              </w:rPr>
            </w:pPr>
            <w:r w:rsidRPr="00DF2B92">
              <w:rPr>
                <w:rFonts w:eastAsia="等线"/>
                <w:sz w:val="20"/>
                <w:szCs w:val="20"/>
              </w:rPr>
              <w:t xml:space="preserve">If the </w:t>
            </w:r>
            <w:proofErr w:type="spellStart"/>
            <w:r w:rsidRPr="00DF2B92">
              <w:rPr>
                <w:rFonts w:eastAsia="等线"/>
                <w:sz w:val="20"/>
                <w:szCs w:val="20"/>
              </w:rPr>
              <w:t>neighbour</w:t>
            </w:r>
            <w:proofErr w:type="spellEnd"/>
            <w:r w:rsidRPr="00DF2B92">
              <w:rPr>
                <w:rFonts w:eastAsia="等线"/>
                <w:sz w:val="20"/>
                <w:szCs w:val="20"/>
              </w:rPr>
              <w:t xml:space="preserve"> cell timing is used as the reference timing of SSB symbols and the RSSI symbols, then reuse the legacy 1 symbol margin</w:t>
            </w:r>
          </w:p>
          <w:p w14:paraId="51DD293D" w14:textId="77777777" w:rsidR="00DF2B92" w:rsidRPr="00DF2B92" w:rsidRDefault="00DF2B92" w:rsidP="00DF2B92">
            <w:pPr>
              <w:pStyle w:val="af5"/>
              <w:widowControl/>
              <w:numPr>
                <w:ilvl w:val="1"/>
                <w:numId w:val="6"/>
              </w:numPr>
              <w:tabs>
                <w:tab w:val="left" w:pos="-420"/>
              </w:tabs>
              <w:autoSpaceDE/>
              <w:adjustRightInd/>
              <w:spacing w:line="240" w:lineRule="auto"/>
              <w:ind w:firstLineChars="0"/>
              <w:jc w:val="left"/>
              <w:rPr>
                <w:rFonts w:eastAsiaTheme="minorEastAsia"/>
                <w:bCs/>
                <w:sz w:val="20"/>
                <w:szCs w:val="20"/>
                <w:lang w:eastAsia="ko-KR" w:bidi="ar"/>
              </w:rPr>
            </w:pPr>
            <w:r w:rsidRPr="00DF2B92">
              <w:rPr>
                <w:rFonts w:eastAsiaTheme="minorEastAsia"/>
                <w:sz w:val="20"/>
                <w:szCs w:val="20"/>
              </w:rPr>
              <w:t>Proposal 3:</w:t>
            </w:r>
          </w:p>
          <w:p w14:paraId="2C83E0AE" w14:textId="77777777" w:rsidR="00DF2B92" w:rsidRPr="00DF2B92" w:rsidRDefault="00DF2B92" w:rsidP="00DF2B92">
            <w:pPr>
              <w:pStyle w:val="af5"/>
              <w:widowControl/>
              <w:numPr>
                <w:ilvl w:val="2"/>
                <w:numId w:val="6"/>
              </w:numPr>
              <w:tabs>
                <w:tab w:val="left" w:pos="-420"/>
              </w:tabs>
              <w:autoSpaceDE/>
              <w:adjustRightInd/>
              <w:spacing w:line="240" w:lineRule="auto"/>
              <w:ind w:firstLineChars="0"/>
              <w:jc w:val="left"/>
              <w:rPr>
                <w:rFonts w:eastAsiaTheme="minorEastAsia"/>
                <w:bCs/>
                <w:sz w:val="20"/>
                <w:szCs w:val="20"/>
                <w:lang w:eastAsia="ko-KR" w:bidi="ar"/>
              </w:rPr>
            </w:pPr>
            <w:bookmarkStart w:id="1" w:name="_Toc197710749"/>
            <w:r w:rsidRPr="00DF2B92">
              <w:rPr>
                <w:sz w:val="20"/>
                <w:szCs w:val="20"/>
              </w:rPr>
              <w:t xml:space="preserve">reuse the legacy specification, i.e.  </w:t>
            </w:r>
          </w:p>
          <w:p w14:paraId="67931A84" w14:textId="59AE04CE" w:rsidR="00077E60" w:rsidRPr="00DF2B92" w:rsidRDefault="00DF2B92" w:rsidP="00DF2B92">
            <w:pPr>
              <w:pStyle w:val="af5"/>
              <w:widowControl/>
              <w:numPr>
                <w:ilvl w:val="3"/>
                <w:numId w:val="6"/>
              </w:numPr>
              <w:tabs>
                <w:tab w:val="left" w:pos="-420"/>
              </w:tabs>
              <w:autoSpaceDE/>
              <w:adjustRightInd/>
              <w:spacing w:line="240" w:lineRule="auto"/>
              <w:ind w:firstLineChars="0"/>
              <w:jc w:val="left"/>
              <w:rPr>
                <w:rFonts w:eastAsiaTheme="minorEastAsia"/>
                <w:bCs/>
                <w:sz w:val="20"/>
                <w:szCs w:val="20"/>
                <w:lang w:eastAsia="ko-KR" w:bidi="ar"/>
              </w:rPr>
            </w:pPr>
            <w:r w:rsidRPr="00DF2B92">
              <w:rPr>
                <w:sz w:val="20"/>
                <w:szCs w:val="20"/>
              </w:rPr>
              <w:t xml:space="preserve">if all of the reference signal configured for RLM, BFD, CBD or L1-RSRP for beam reporting outside measurement gap and fully-overlapped by intra-frequency SMTC </w:t>
            </w:r>
            <w:r w:rsidRPr="00DF2B92">
              <w:rPr>
                <w:sz w:val="20"/>
                <w:szCs w:val="20"/>
              </w:rPr>
              <w:lastRenderedPageBreak/>
              <w:t>occasions are not overlapped with any of the SSB symbols and the RSSI symbols, and 1 symbol before each consecutive SSB symbols and the RSSI symbols, and 1 symbol after each consecutive SSB symbols and the RSSI symbols of serving cells when inter-band carrier aggregation within FR1 is configured and UE supports [capability of case 4], given that SSB-</w:t>
            </w:r>
            <w:proofErr w:type="spellStart"/>
            <w:r w:rsidRPr="00DF2B92">
              <w:rPr>
                <w:sz w:val="20"/>
                <w:szCs w:val="20"/>
              </w:rPr>
              <w:t>ToMeasure</w:t>
            </w:r>
            <w:proofErr w:type="spellEnd"/>
            <w:r w:rsidRPr="00DF2B92">
              <w:rPr>
                <w:sz w:val="20"/>
                <w:szCs w:val="20"/>
              </w:rPr>
              <w:t xml:space="preserve"> and SS-RSSI-Measurement are configured, where SSB symbols are indicated by the union set of SSB-</w:t>
            </w:r>
            <w:proofErr w:type="spellStart"/>
            <w:r w:rsidRPr="00DF2B92">
              <w:rPr>
                <w:sz w:val="20"/>
                <w:szCs w:val="20"/>
              </w:rPr>
              <w:t>ToMeasure</w:t>
            </w:r>
            <w:proofErr w:type="spellEnd"/>
            <w:r w:rsidRPr="00DF2B92">
              <w:rPr>
                <w:sz w:val="20"/>
                <w:szCs w:val="20"/>
              </w:rPr>
              <w:t xml:space="preserve"> from all the configured measurement objects on the same serving carrier which can be merged. and RSSI symbols are indicated by SS-RSSI-Measurement</w:t>
            </w:r>
            <w:bookmarkEnd w:id="1"/>
          </w:p>
        </w:tc>
      </w:tr>
    </w:tbl>
    <w:p w14:paraId="1C6A1F1C" w14:textId="0F028001" w:rsidR="00C84D7C" w:rsidRDefault="00146296" w:rsidP="0072543E">
      <w:pPr>
        <w:rPr>
          <w:sz w:val="20"/>
          <w:szCs w:val="20"/>
          <w:lang w:val="en-GB"/>
        </w:rPr>
      </w:pPr>
      <w:r w:rsidRPr="00B35001">
        <w:rPr>
          <w:sz w:val="20"/>
          <w:szCs w:val="20"/>
          <w:lang w:val="en-GB"/>
        </w:rPr>
        <w:lastRenderedPageBreak/>
        <w:t>When a collision occurs during the L1 and L3 measurements in the inter-</w:t>
      </w:r>
      <w:r w:rsidR="00C84D7C">
        <w:rPr>
          <w:rFonts w:hint="eastAsia"/>
          <w:sz w:val="20"/>
          <w:szCs w:val="20"/>
          <w:lang w:val="en-GB"/>
        </w:rPr>
        <w:t>f</w:t>
      </w:r>
      <w:r w:rsidR="00C84D7C">
        <w:rPr>
          <w:sz w:val="20"/>
          <w:szCs w:val="20"/>
          <w:lang w:val="en-GB"/>
        </w:rPr>
        <w:t xml:space="preserve">requency measurements without measurement gap, the </w:t>
      </w:r>
      <w:r w:rsidR="00C84D7C" w:rsidRPr="00C84D7C">
        <w:rPr>
          <w:sz w:val="20"/>
          <w:szCs w:val="20"/>
          <w:lang w:val="en-GB"/>
        </w:rPr>
        <w:t>Klayer1_measurement</w:t>
      </w:r>
      <w:r w:rsidR="00C84D7C">
        <w:rPr>
          <w:sz w:val="20"/>
          <w:szCs w:val="20"/>
          <w:lang w:val="en-GB"/>
        </w:rPr>
        <w:t xml:space="preserve"> scaling factor is used to deal with the collision. The remaining issue on this factor for Rel-19 ATG is whether 1 symbol tolerance for L3 measurement is sufficient for ATG with 300km ISD and approximately 1200 km per hour speed. The conclusion from our side is that 1 symbol before and after the L3 measurement </w:t>
      </w:r>
      <w:proofErr w:type="spellStart"/>
      <w:r w:rsidR="00C84D7C">
        <w:rPr>
          <w:sz w:val="20"/>
          <w:szCs w:val="20"/>
          <w:lang w:val="en-GB"/>
        </w:rPr>
        <w:t>ossician</w:t>
      </w:r>
      <w:proofErr w:type="spellEnd"/>
      <w:r w:rsidR="00C84D7C">
        <w:rPr>
          <w:sz w:val="20"/>
          <w:szCs w:val="20"/>
          <w:lang w:val="en-GB"/>
        </w:rPr>
        <w:t xml:space="preserve"> is </w:t>
      </w:r>
      <w:r w:rsidR="00C84D7C" w:rsidRPr="00C84D7C">
        <w:rPr>
          <w:sz w:val="20"/>
          <w:szCs w:val="20"/>
          <w:lang w:val="en-GB"/>
        </w:rPr>
        <w:t>adequate</w:t>
      </w:r>
      <w:r w:rsidR="00C84D7C">
        <w:rPr>
          <w:sz w:val="20"/>
          <w:szCs w:val="20"/>
          <w:lang w:val="en-GB"/>
        </w:rPr>
        <w:t>. H</w:t>
      </w:r>
      <w:r w:rsidR="00C84D7C">
        <w:rPr>
          <w:rFonts w:hint="eastAsia"/>
          <w:sz w:val="20"/>
          <w:szCs w:val="20"/>
          <w:lang w:val="en-GB"/>
        </w:rPr>
        <w:t>ere</w:t>
      </w:r>
      <w:r w:rsidR="00C84D7C">
        <w:rPr>
          <w:sz w:val="20"/>
          <w:szCs w:val="20"/>
          <w:lang w:val="en-GB"/>
        </w:rPr>
        <w:t xml:space="preserve"> we would like to provide our analysis.</w:t>
      </w:r>
    </w:p>
    <w:p w14:paraId="51C3D3F8" w14:textId="4455CF88" w:rsidR="00C84D7C" w:rsidRDefault="00C84D7C" w:rsidP="00C84D7C">
      <w:pPr>
        <w:rPr>
          <w:bCs/>
          <w:sz w:val="20"/>
          <w:szCs w:val="20"/>
          <w:lang w:val="en-GB"/>
        </w:rPr>
      </w:pPr>
      <w:r>
        <w:rPr>
          <w:bCs/>
          <w:sz w:val="20"/>
          <w:szCs w:val="20"/>
        </w:rPr>
        <w:t xml:space="preserve">Firstly, the reason for introducing this 1 symbol tolerance is when UE is at the edge of </w:t>
      </w:r>
      <w:r w:rsidR="003917A3">
        <w:rPr>
          <w:bCs/>
          <w:sz w:val="20"/>
          <w:szCs w:val="20"/>
        </w:rPr>
        <w:t xml:space="preserve">the </w:t>
      </w:r>
      <w:r>
        <w:rPr>
          <w:bCs/>
          <w:sz w:val="20"/>
          <w:szCs w:val="20"/>
        </w:rPr>
        <w:t>serving cell</w:t>
      </w:r>
      <w:r w:rsidR="003917A3">
        <w:rPr>
          <w:bCs/>
          <w:sz w:val="20"/>
          <w:szCs w:val="20"/>
        </w:rPr>
        <w:t xml:space="preserve">, UE needs to do the measurement for the </w:t>
      </w:r>
      <w:proofErr w:type="spellStart"/>
      <w:r w:rsidR="003917A3">
        <w:rPr>
          <w:bCs/>
          <w:sz w:val="20"/>
          <w:szCs w:val="20"/>
        </w:rPr>
        <w:t>neighbour</w:t>
      </w:r>
      <w:proofErr w:type="spellEnd"/>
      <w:r w:rsidR="003917A3">
        <w:rPr>
          <w:bCs/>
          <w:sz w:val="20"/>
          <w:szCs w:val="20"/>
        </w:rPr>
        <w:t xml:space="preserve"> cell</w:t>
      </w:r>
      <w:r>
        <w:rPr>
          <w:bCs/>
          <w:sz w:val="20"/>
          <w:szCs w:val="20"/>
        </w:rPr>
        <w:t xml:space="preserve">. Due to the propagation delay difference between the delay from the serving cell to UE and the delay from the </w:t>
      </w:r>
      <w:proofErr w:type="spellStart"/>
      <w:r>
        <w:rPr>
          <w:bCs/>
          <w:sz w:val="20"/>
          <w:szCs w:val="20"/>
        </w:rPr>
        <w:t>neighbour</w:t>
      </w:r>
      <w:proofErr w:type="spellEnd"/>
      <w:r>
        <w:rPr>
          <w:bCs/>
          <w:sz w:val="20"/>
          <w:szCs w:val="20"/>
        </w:rPr>
        <w:t xml:space="preserve"> cell to UE</w:t>
      </w:r>
      <w:r w:rsidR="003917A3">
        <w:rPr>
          <w:bCs/>
          <w:sz w:val="20"/>
          <w:szCs w:val="20"/>
        </w:rPr>
        <w:t xml:space="preserve"> (Figure 1 shows that the L1 and L2 are assuming links for serving cell and </w:t>
      </w:r>
      <w:proofErr w:type="spellStart"/>
      <w:r w:rsidR="003917A3">
        <w:rPr>
          <w:bCs/>
          <w:sz w:val="20"/>
          <w:szCs w:val="20"/>
        </w:rPr>
        <w:t>neighbour</w:t>
      </w:r>
      <w:proofErr w:type="spellEnd"/>
      <w:r w:rsidR="003917A3">
        <w:rPr>
          <w:bCs/>
          <w:sz w:val="20"/>
          <w:szCs w:val="20"/>
        </w:rPr>
        <w:t xml:space="preserve"> cell when UE at the cell edge to do the </w:t>
      </w:r>
      <w:proofErr w:type="spellStart"/>
      <w:r w:rsidR="003917A3">
        <w:rPr>
          <w:bCs/>
          <w:sz w:val="20"/>
          <w:szCs w:val="20"/>
        </w:rPr>
        <w:t>neighbour</w:t>
      </w:r>
      <w:proofErr w:type="spellEnd"/>
      <w:r w:rsidR="003917A3">
        <w:rPr>
          <w:bCs/>
          <w:sz w:val="20"/>
          <w:szCs w:val="20"/>
        </w:rPr>
        <w:t xml:space="preserve"> cell measurement, the link L1 and L2 have a propagation delay difference), the L3 measurement occasion will have a shift</w:t>
      </w:r>
      <w:r w:rsidR="00EB7D59">
        <w:rPr>
          <w:bCs/>
          <w:sz w:val="20"/>
          <w:szCs w:val="20"/>
        </w:rPr>
        <w:t xml:space="preserve"> which means UE </w:t>
      </w:r>
      <w:proofErr w:type="spellStart"/>
      <w:r w:rsidR="00EB7D59">
        <w:rPr>
          <w:bCs/>
          <w:sz w:val="20"/>
          <w:szCs w:val="20"/>
        </w:rPr>
        <w:t>can not</w:t>
      </w:r>
      <w:proofErr w:type="spellEnd"/>
      <w:r w:rsidR="00EB7D59">
        <w:rPr>
          <w:bCs/>
          <w:sz w:val="20"/>
          <w:szCs w:val="20"/>
        </w:rPr>
        <w:t xml:space="preserve"> </w:t>
      </w:r>
      <w:r w:rsidR="00EB7D59" w:rsidRPr="00EB7D59">
        <w:rPr>
          <w:bCs/>
          <w:sz w:val="20"/>
          <w:szCs w:val="20"/>
        </w:rPr>
        <w:t>accurately determine the best time to measure neighboring</w:t>
      </w:r>
      <w:r w:rsidR="00EB7D59">
        <w:rPr>
          <w:bCs/>
          <w:sz w:val="20"/>
          <w:szCs w:val="20"/>
        </w:rPr>
        <w:t>.</w:t>
      </w:r>
      <w:r>
        <w:rPr>
          <w:bCs/>
          <w:sz w:val="20"/>
          <w:szCs w:val="20"/>
        </w:rPr>
        <w:t xml:space="preserve"> </w:t>
      </w:r>
      <w:r w:rsidR="003917A3" w:rsidRPr="003917A3">
        <w:rPr>
          <w:bCs/>
          <w:sz w:val="20"/>
          <w:szCs w:val="20"/>
        </w:rPr>
        <w:t xml:space="preserve">To ensure that this time shift does not result in partial overlapping of the L1 and L3 measurement </w:t>
      </w:r>
      <w:proofErr w:type="spellStart"/>
      <w:r w:rsidR="003917A3" w:rsidRPr="003917A3">
        <w:rPr>
          <w:bCs/>
          <w:sz w:val="20"/>
          <w:szCs w:val="20"/>
        </w:rPr>
        <w:t>ossicians</w:t>
      </w:r>
      <w:proofErr w:type="spellEnd"/>
      <w:r w:rsidR="003917A3" w:rsidRPr="003917A3">
        <w:rPr>
          <w:bCs/>
          <w:sz w:val="20"/>
          <w:szCs w:val="20"/>
        </w:rPr>
        <w:t>, a 1-symbol duration</w:t>
      </w:r>
      <w:r w:rsidR="003917A3">
        <w:rPr>
          <w:bCs/>
          <w:sz w:val="20"/>
          <w:szCs w:val="20"/>
        </w:rPr>
        <w:t xml:space="preserve"> is needed before and after the L3 measurement </w:t>
      </w:r>
      <w:proofErr w:type="spellStart"/>
      <w:r w:rsidR="003917A3">
        <w:rPr>
          <w:bCs/>
          <w:sz w:val="20"/>
          <w:szCs w:val="20"/>
        </w:rPr>
        <w:t>ossician</w:t>
      </w:r>
      <w:proofErr w:type="spellEnd"/>
      <w:r w:rsidR="003917A3">
        <w:rPr>
          <w:bCs/>
          <w:sz w:val="20"/>
          <w:szCs w:val="20"/>
        </w:rPr>
        <w:t>. And the 1-symbol duration</w:t>
      </w:r>
      <w:r w:rsidR="003917A3" w:rsidRPr="003917A3">
        <w:rPr>
          <w:bCs/>
          <w:sz w:val="20"/>
          <w:szCs w:val="20"/>
        </w:rPr>
        <w:t xml:space="preserve"> is sufficient to allow the UE to complete the </w:t>
      </w:r>
      <w:proofErr w:type="spellStart"/>
      <w:r w:rsidR="003917A3" w:rsidRPr="003917A3">
        <w:rPr>
          <w:bCs/>
          <w:sz w:val="20"/>
          <w:szCs w:val="20"/>
        </w:rPr>
        <w:t>neighbour</w:t>
      </w:r>
      <w:proofErr w:type="spellEnd"/>
      <w:r w:rsidR="003917A3" w:rsidRPr="003917A3">
        <w:rPr>
          <w:bCs/>
          <w:sz w:val="20"/>
          <w:szCs w:val="20"/>
        </w:rPr>
        <w:t xml:space="preserve"> cell measurement.</w:t>
      </w:r>
    </w:p>
    <w:p w14:paraId="125C1B3E" w14:textId="77777777" w:rsidR="00C84D7C" w:rsidRPr="00C84D7C" w:rsidRDefault="00C84D7C" w:rsidP="00F85C80">
      <w:pPr>
        <w:jc w:val="center"/>
      </w:pPr>
      <w:r w:rsidRPr="00F85C80">
        <w:rPr>
          <w:noProof/>
        </w:rPr>
        <w:drawing>
          <wp:inline distT="0" distB="0" distL="0" distR="0" wp14:anchorId="1F5922A0" wp14:editId="655CB3D9">
            <wp:extent cx="2112451" cy="1529048"/>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9113" cy="1541109"/>
                    </a:xfrm>
                    <a:prstGeom prst="rect">
                      <a:avLst/>
                    </a:prstGeom>
                    <a:noFill/>
                  </pic:spPr>
                </pic:pic>
              </a:graphicData>
            </a:graphic>
          </wp:inline>
        </w:drawing>
      </w:r>
    </w:p>
    <w:p w14:paraId="4BB9097C" w14:textId="78FB32F2" w:rsidR="00C46647" w:rsidRPr="00C46647" w:rsidRDefault="00C84D7C" w:rsidP="00C46647">
      <w:pPr>
        <w:pStyle w:val="afe"/>
        <w:jc w:val="center"/>
        <w:rPr>
          <w:rFonts w:ascii="Times New Roman" w:hAnsi="Times New Roman" w:cs="Times New Roman"/>
          <w:b/>
          <w:bCs/>
        </w:rPr>
      </w:pPr>
      <w:r w:rsidRPr="00F85C80">
        <w:rPr>
          <w:rFonts w:ascii="Times New Roman" w:hAnsi="Times New Roman" w:cs="Times New Roman"/>
          <w:b/>
          <w:bCs/>
        </w:rPr>
        <w:t xml:space="preserve">Figure </w:t>
      </w:r>
      <w:r w:rsidRPr="00F85C80">
        <w:rPr>
          <w:rFonts w:ascii="Times New Roman" w:hAnsi="Times New Roman" w:cs="Times New Roman"/>
          <w:b/>
          <w:bCs/>
        </w:rPr>
        <w:fldChar w:fldCharType="begin"/>
      </w:r>
      <w:r w:rsidRPr="00F85C80">
        <w:rPr>
          <w:rFonts w:ascii="Times New Roman" w:hAnsi="Times New Roman" w:cs="Times New Roman"/>
          <w:b/>
          <w:bCs/>
        </w:rPr>
        <w:instrText xml:space="preserve"> SEQ Figure \* ARABIC </w:instrText>
      </w:r>
      <w:r w:rsidRPr="00F85C80">
        <w:rPr>
          <w:rFonts w:ascii="Times New Roman" w:hAnsi="Times New Roman" w:cs="Times New Roman"/>
          <w:b/>
          <w:bCs/>
        </w:rPr>
        <w:fldChar w:fldCharType="separate"/>
      </w:r>
      <w:r w:rsidR="00CF3D80">
        <w:rPr>
          <w:rFonts w:ascii="Times New Roman" w:hAnsi="Times New Roman" w:cs="Times New Roman"/>
          <w:b/>
          <w:bCs/>
          <w:noProof/>
        </w:rPr>
        <w:t>1</w:t>
      </w:r>
      <w:r w:rsidRPr="00F85C80">
        <w:rPr>
          <w:rFonts w:ascii="Times New Roman" w:hAnsi="Times New Roman" w:cs="Times New Roman"/>
          <w:b/>
          <w:bCs/>
        </w:rPr>
        <w:fldChar w:fldCharType="end"/>
      </w:r>
      <w:r w:rsidRPr="00F85C80">
        <w:rPr>
          <w:rFonts w:ascii="Times New Roman" w:hAnsi="Times New Roman" w:cs="Times New Roman"/>
          <w:b/>
          <w:bCs/>
        </w:rPr>
        <w:t xml:space="preserve">. Propagation delay difference </w:t>
      </w:r>
    </w:p>
    <w:p w14:paraId="08730669" w14:textId="3FC990F5" w:rsidR="00C46647" w:rsidRDefault="00F85C80" w:rsidP="00C84D7C">
      <w:pPr>
        <w:rPr>
          <w:bCs/>
          <w:sz w:val="20"/>
          <w:szCs w:val="20"/>
        </w:rPr>
      </w:pPr>
      <w:r>
        <w:rPr>
          <w:bCs/>
          <w:sz w:val="20"/>
          <w:szCs w:val="20"/>
        </w:rPr>
        <w:t xml:space="preserve">After that, we would like to provide the analysis on the ATG scenario. There is one critical point we want to make here: 1-symol tolerance is associated with the propagation delay difference instead of the ISD. </w:t>
      </w:r>
    </w:p>
    <w:p w14:paraId="32CAE44A" w14:textId="2BECD3A9" w:rsidR="00C46647" w:rsidRPr="00C46647" w:rsidRDefault="00C46647" w:rsidP="00C84D7C">
      <w:pPr>
        <w:rPr>
          <w:b/>
          <w:sz w:val="20"/>
          <w:szCs w:val="20"/>
        </w:rPr>
      </w:pPr>
      <w:r w:rsidRPr="00C46647">
        <w:rPr>
          <w:rFonts w:hint="eastAsia"/>
          <w:b/>
          <w:sz w:val="20"/>
          <w:szCs w:val="20"/>
        </w:rPr>
        <w:t>O</w:t>
      </w:r>
      <w:r w:rsidRPr="00C46647">
        <w:rPr>
          <w:b/>
          <w:sz w:val="20"/>
          <w:szCs w:val="20"/>
        </w:rPr>
        <w:t>bservation 1: 1-symol tolerance design in Klayer1_measurement=1 is associated with the propagation delay difference instead of the ISD.</w:t>
      </w:r>
    </w:p>
    <w:p w14:paraId="2AA91732" w14:textId="52FED8D1" w:rsidR="00C84D7C" w:rsidRPr="00AE58DF" w:rsidRDefault="00CF3D80" w:rsidP="00C84D7C">
      <w:pPr>
        <w:rPr>
          <w:bCs/>
          <w:sz w:val="20"/>
          <w:szCs w:val="20"/>
          <w:lang w:val="en-GB"/>
        </w:rPr>
      </w:pPr>
      <w:r>
        <w:rPr>
          <w:bCs/>
          <w:sz w:val="20"/>
          <w:szCs w:val="20"/>
        </w:rPr>
        <w:t xml:space="preserve">The 1-symbol tolerance allows the UE to do the </w:t>
      </w:r>
      <w:proofErr w:type="spellStart"/>
      <w:r>
        <w:rPr>
          <w:bCs/>
          <w:sz w:val="20"/>
          <w:szCs w:val="20"/>
        </w:rPr>
        <w:t>neighbour</w:t>
      </w:r>
      <w:proofErr w:type="spellEnd"/>
      <w:r>
        <w:rPr>
          <w:bCs/>
          <w:sz w:val="20"/>
          <w:szCs w:val="20"/>
        </w:rPr>
        <w:t xml:space="preserve"> cell L3 measurement in a location that is </w:t>
      </w:r>
      <w:r>
        <w:rPr>
          <w:rFonts w:hint="eastAsia"/>
          <w:bCs/>
          <w:sz w:val="20"/>
          <w:szCs w:val="20"/>
        </w:rPr>
        <w:t>w</w:t>
      </w:r>
      <w:r w:rsidRPr="00CF3D80">
        <w:rPr>
          <w:bCs/>
          <w:sz w:val="20"/>
          <w:szCs w:val="20"/>
        </w:rPr>
        <w:t xml:space="preserve">ithin 4.5 </w:t>
      </w:r>
      <w:r>
        <w:rPr>
          <w:bCs/>
          <w:sz w:val="20"/>
          <w:szCs w:val="20"/>
        </w:rPr>
        <w:t>km</w:t>
      </w:r>
      <w:r w:rsidRPr="00CF3D80">
        <w:rPr>
          <w:bCs/>
          <w:sz w:val="20"/>
          <w:szCs w:val="20"/>
        </w:rPr>
        <w:t xml:space="preserve"> from the edge of the </w:t>
      </w:r>
      <w:r>
        <w:rPr>
          <w:bCs/>
          <w:sz w:val="20"/>
          <w:szCs w:val="20"/>
        </w:rPr>
        <w:t>cell</w:t>
      </w:r>
      <w:r w:rsidR="00AE58DF">
        <w:rPr>
          <w:bCs/>
          <w:sz w:val="20"/>
          <w:szCs w:val="20"/>
        </w:rPr>
        <w:t>,</w:t>
      </w:r>
      <w:r w:rsidR="00257E27">
        <w:rPr>
          <w:bCs/>
          <w:sz w:val="20"/>
          <w:szCs w:val="20"/>
        </w:rPr>
        <w:t xml:space="preserve"> a</w:t>
      </w:r>
      <w:r w:rsidR="00AE58DF">
        <w:rPr>
          <w:bCs/>
          <w:sz w:val="20"/>
          <w:szCs w:val="20"/>
        </w:rPr>
        <w:t>s</w:t>
      </w:r>
      <w:r w:rsidR="00257E27">
        <w:rPr>
          <w:bCs/>
          <w:sz w:val="20"/>
          <w:szCs w:val="20"/>
        </w:rPr>
        <w:t xml:space="preserve"> show</w:t>
      </w:r>
      <w:r w:rsidR="00AE58DF">
        <w:rPr>
          <w:bCs/>
          <w:sz w:val="20"/>
          <w:szCs w:val="20"/>
        </w:rPr>
        <w:t>n</w:t>
      </w:r>
      <w:r w:rsidR="00257E27">
        <w:rPr>
          <w:bCs/>
          <w:sz w:val="20"/>
          <w:szCs w:val="20"/>
        </w:rPr>
        <w:t xml:space="preserve"> in </w:t>
      </w:r>
      <w:r w:rsidR="0032646C">
        <w:rPr>
          <w:bCs/>
          <w:sz w:val="20"/>
          <w:szCs w:val="20"/>
        </w:rPr>
        <w:t>F</w:t>
      </w:r>
      <w:r w:rsidR="00257E27">
        <w:rPr>
          <w:bCs/>
          <w:sz w:val="20"/>
          <w:szCs w:val="20"/>
        </w:rPr>
        <w:t>igure 2</w:t>
      </w:r>
      <w:r>
        <w:rPr>
          <w:bCs/>
          <w:sz w:val="20"/>
          <w:szCs w:val="20"/>
        </w:rPr>
        <w:t>. Assuming the ATG</w:t>
      </w:r>
      <w:r w:rsidR="00AE58DF">
        <w:rPr>
          <w:bCs/>
          <w:sz w:val="20"/>
          <w:szCs w:val="20"/>
        </w:rPr>
        <w:t xml:space="preserve"> with </w:t>
      </w:r>
      <w:r w:rsidR="00727857">
        <w:rPr>
          <w:bCs/>
          <w:sz w:val="20"/>
          <w:szCs w:val="20"/>
        </w:rPr>
        <w:t xml:space="preserve">a </w:t>
      </w:r>
      <w:r w:rsidR="00AE58DF">
        <w:rPr>
          <w:bCs/>
          <w:sz w:val="20"/>
          <w:szCs w:val="20"/>
        </w:rPr>
        <w:t>1200 km per hour speed</w:t>
      </w:r>
      <w:r>
        <w:rPr>
          <w:bCs/>
          <w:sz w:val="20"/>
          <w:szCs w:val="20"/>
        </w:rPr>
        <w:t xml:space="preserve"> </w:t>
      </w:r>
      <w:r w:rsidR="00AE58DF">
        <w:rPr>
          <w:bCs/>
          <w:sz w:val="20"/>
          <w:szCs w:val="20"/>
        </w:rPr>
        <w:t>begins with</w:t>
      </w:r>
      <w:r>
        <w:rPr>
          <w:bCs/>
          <w:sz w:val="20"/>
          <w:szCs w:val="20"/>
        </w:rPr>
        <w:t xml:space="preserve"> </w:t>
      </w:r>
      <w:proofErr w:type="spellStart"/>
      <w:r>
        <w:rPr>
          <w:bCs/>
          <w:sz w:val="20"/>
          <w:szCs w:val="20"/>
        </w:rPr>
        <w:t>neighbour</w:t>
      </w:r>
      <w:proofErr w:type="spellEnd"/>
      <w:r>
        <w:rPr>
          <w:bCs/>
          <w:sz w:val="20"/>
          <w:szCs w:val="20"/>
        </w:rPr>
        <w:t xml:space="preserve"> cell measurement at the edge of both </w:t>
      </w:r>
      <w:r w:rsidR="00AE58DF">
        <w:rPr>
          <w:bCs/>
          <w:sz w:val="20"/>
          <w:szCs w:val="20"/>
        </w:rPr>
        <w:t xml:space="preserve">the </w:t>
      </w:r>
      <w:r>
        <w:rPr>
          <w:bCs/>
          <w:sz w:val="20"/>
          <w:szCs w:val="20"/>
        </w:rPr>
        <w:t xml:space="preserve">serving cell and </w:t>
      </w:r>
      <w:r w:rsidR="00AE58DF">
        <w:rPr>
          <w:bCs/>
          <w:sz w:val="20"/>
          <w:szCs w:val="20"/>
        </w:rPr>
        <w:t xml:space="preserve">the </w:t>
      </w:r>
      <w:proofErr w:type="spellStart"/>
      <w:r>
        <w:rPr>
          <w:bCs/>
          <w:sz w:val="20"/>
          <w:szCs w:val="20"/>
        </w:rPr>
        <w:t>neighbour</w:t>
      </w:r>
      <w:proofErr w:type="spellEnd"/>
      <w:r w:rsidR="00AE58DF">
        <w:rPr>
          <w:bCs/>
          <w:sz w:val="20"/>
          <w:szCs w:val="20"/>
        </w:rPr>
        <w:t xml:space="preserve"> cell. There are 13.5s for ATG to do the </w:t>
      </w:r>
      <w:proofErr w:type="spellStart"/>
      <w:r w:rsidR="00AE58DF">
        <w:rPr>
          <w:bCs/>
          <w:sz w:val="20"/>
          <w:szCs w:val="20"/>
        </w:rPr>
        <w:t>neighbour</w:t>
      </w:r>
      <w:proofErr w:type="spellEnd"/>
      <w:r w:rsidR="00AE58DF">
        <w:rPr>
          <w:bCs/>
          <w:sz w:val="20"/>
          <w:szCs w:val="20"/>
        </w:rPr>
        <w:t xml:space="preserve"> measurement. Obviously, this is sufficient to </w:t>
      </w:r>
      <w:r w:rsidR="00AE58DF">
        <w:rPr>
          <w:bCs/>
          <w:sz w:val="20"/>
          <w:szCs w:val="20"/>
          <w:lang w:val="en-GB"/>
        </w:rPr>
        <w:t>finish the neighbour cell measurement</w:t>
      </w:r>
      <w:r w:rsidR="00727857">
        <w:rPr>
          <w:bCs/>
          <w:sz w:val="20"/>
          <w:szCs w:val="20"/>
          <w:lang w:val="en-GB"/>
        </w:rPr>
        <w:t xml:space="preserve"> for ATG</w:t>
      </w:r>
      <w:r w:rsidR="00AE58DF">
        <w:rPr>
          <w:bCs/>
          <w:sz w:val="20"/>
          <w:szCs w:val="20"/>
          <w:lang w:val="en-GB"/>
        </w:rPr>
        <w:t>.</w:t>
      </w:r>
    </w:p>
    <w:p w14:paraId="3385D5D1" w14:textId="77777777" w:rsidR="00CF3D80" w:rsidRDefault="00F85C80" w:rsidP="00744F2F">
      <w:pPr>
        <w:jc w:val="center"/>
      </w:pPr>
      <w:r w:rsidRPr="00AE58DF">
        <w:rPr>
          <w:noProof/>
        </w:rPr>
        <w:lastRenderedPageBreak/>
        <w:drawing>
          <wp:inline distT="0" distB="0" distL="0" distR="0" wp14:anchorId="58319E5B" wp14:editId="3EDB55BC">
            <wp:extent cx="4172650" cy="949109"/>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18525" cy="959544"/>
                    </a:xfrm>
                    <a:prstGeom prst="rect">
                      <a:avLst/>
                    </a:prstGeom>
                    <a:noFill/>
                  </pic:spPr>
                </pic:pic>
              </a:graphicData>
            </a:graphic>
          </wp:inline>
        </w:drawing>
      </w:r>
    </w:p>
    <w:p w14:paraId="70AC75A4" w14:textId="3573227F" w:rsidR="00F85C80" w:rsidRPr="00CF3D80" w:rsidRDefault="00CF3D80" w:rsidP="00CF3D80">
      <w:pPr>
        <w:pStyle w:val="afe"/>
        <w:jc w:val="center"/>
        <w:rPr>
          <w:rFonts w:ascii="Times New Roman" w:hAnsi="Times New Roman" w:cs="Times New Roman"/>
          <w:b/>
          <w:bCs/>
        </w:rPr>
      </w:pPr>
      <w:r w:rsidRPr="00CF3D80">
        <w:rPr>
          <w:rFonts w:ascii="Times New Roman" w:hAnsi="Times New Roman" w:cs="Times New Roman"/>
          <w:b/>
          <w:bCs/>
        </w:rPr>
        <w:t xml:space="preserve">Figure </w:t>
      </w:r>
      <w:r w:rsidRPr="00CF3D80">
        <w:rPr>
          <w:rFonts w:ascii="Times New Roman" w:hAnsi="Times New Roman" w:cs="Times New Roman"/>
          <w:b/>
          <w:bCs/>
        </w:rPr>
        <w:fldChar w:fldCharType="begin"/>
      </w:r>
      <w:r w:rsidRPr="00CF3D80">
        <w:rPr>
          <w:rFonts w:ascii="Times New Roman" w:hAnsi="Times New Roman" w:cs="Times New Roman"/>
          <w:b/>
          <w:bCs/>
        </w:rPr>
        <w:instrText xml:space="preserve"> SEQ Figure \* ARABIC </w:instrText>
      </w:r>
      <w:r w:rsidRPr="00CF3D80">
        <w:rPr>
          <w:rFonts w:ascii="Times New Roman" w:hAnsi="Times New Roman" w:cs="Times New Roman"/>
          <w:b/>
          <w:bCs/>
        </w:rPr>
        <w:fldChar w:fldCharType="separate"/>
      </w:r>
      <w:r w:rsidRPr="00CF3D80">
        <w:rPr>
          <w:rFonts w:ascii="Times New Roman" w:hAnsi="Times New Roman" w:cs="Times New Roman"/>
          <w:b/>
          <w:bCs/>
          <w:noProof/>
        </w:rPr>
        <w:t>2</w:t>
      </w:r>
      <w:r w:rsidRPr="00CF3D80">
        <w:rPr>
          <w:rFonts w:ascii="Times New Roman" w:hAnsi="Times New Roman" w:cs="Times New Roman"/>
          <w:b/>
          <w:bCs/>
        </w:rPr>
        <w:fldChar w:fldCharType="end"/>
      </w:r>
      <w:r w:rsidRPr="00CF3D80">
        <w:rPr>
          <w:rFonts w:ascii="Times New Roman" w:hAnsi="Times New Roman" w:cs="Times New Roman"/>
          <w:b/>
          <w:bCs/>
        </w:rPr>
        <w:t xml:space="preserve">. </w:t>
      </w:r>
      <w:r w:rsidR="00727857">
        <w:rPr>
          <w:rFonts w:ascii="Times New Roman" w:hAnsi="Times New Roman" w:cs="Times New Roman"/>
          <w:b/>
          <w:bCs/>
        </w:rPr>
        <w:t>P</w:t>
      </w:r>
      <w:r w:rsidRPr="00CF3D80">
        <w:rPr>
          <w:rFonts w:ascii="Times New Roman" w:hAnsi="Times New Roman" w:cs="Times New Roman"/>
          <w:b/>
          <w:bCs/>
        </w:rPr>
        <w:t>ropagation delay difference</w:t>
      </w:r>
      <w:r w:rsidR="00506248">
        <w:rPr>
          <w:rFonts w:ascii="Times New Roman" w:hAnsi="Times New Roman" w:cs="Times New Roman"/>
          <w:b/>
          <w:bCs/>
        </w:rPr>
        <w:t xml:space="preserve"> </w:t>
      </w:r>
      <w:r w:rsidR="00506248">
        <w:rPr>
          <w:rFonts w:ascii="Times New Roman" w:hAnsi="Times New Roman" w:cs="Times New Roman" w:hint="eastAsia"/>
          <w:b/>
          <w:bCs/>
        </w:rPr>
        <w:t>of</w:t>
      </w:r>
      <w:r w:rsidR="00506248" w:rsidRPr="00506248">
        <w:rPr>
          <w:rFonts w:ascii="Times New Roman" w:hAnsi="Times New Roman" w:cs="Times New Roman"/>
          <w:b/>
          <w:bCs/>
        </w:rPr>
        <w:t xml:space="preserve"> </w:t>
      </w:r>
      <w:r w:rsidR="00727857">
        <w:rPr>
          <w:rFonts w:ascii="Times New Roman" w:hAnsi="Times New Roman" w:cs="Times New Roman"/>
          <w:b/>
          <w:bCs/>
        </w:rPr>
        <w:t xml:space="preserve">the </w:t>
      </w:r>
      <w:r w:rsidR="00506248" w:rsidRPr="00CF3D80">
        <w:rPr>
          <w:rFonts w:ascii="Times New Roman" w:hAnsi="Times New Roman" w:cs="Times New Roman"/>
          <w:b/>
          <w:bCs/>
        </w:rPr>
        <w:t>ATG scena</w:t>
      </w:r>
      <w:r w:rsidR="00943ADC">
        <w:rPr>
          <w:rFonts w:ascii="Times New Roman" w:hAnsi="Times New Roman" w:cs="Times New Roman"/>
          <w:b/>
          <w:bCs/>
        </w:rPr>
        <w:t>r</w:t>
      </w:r>
      <w:r w:rsidR="00506248" w:rsidRPr="00CF3D80">
        <w:rPr>
          <w:rFonts w:ascii="Times New Roman" w:hAnsi="Times New Roman" w:cs="Times New Roman"/>
          <w:b/>
          <w:bCs/>
        </w:rPr>
        <w:t>io</w:t>
      </w:r>
    </w:p>
    <w:p w14:paraId="4CDFA1C1" w14:textId="1CBF58CD" w:rsidR="00F85C80" w:rsidRPr="00C84D7C" w:rsidRDefault="00AE58DF" w:rsidP="00C84D7C">
      <w:pPr>
        <w:rPr>
          <w:bCs/>
          <w:sz w:val="20"/>
          <w:szCs w:val="20"/>
        </w:rPr>
      </w:pPr>
      <w:r>
        <w:rPr>
          <w:rFonts w:hint="eastAsia"/>
          <w:bCs/>
          <w:sz w:val="20"/>
          <w:szCs w:val="20"/>
        </w:rPr>
        <w:t>T</w:t>
      </w:r>
      <w:r>
        <w:rPr>
          <w:bCs/>
          <w:sz w:val="20"/>
          <w:szCs w:val="20"/>
        </w:rPr>
        <w:t xml:space="preserve">herefore, the legacy requirement for </w:t>
      </w:r>
      <w:r w:rsidRPr="00AE58DF">
        <w:rPr>
          <w:bCs/>
          <w:sz w:val="20"/>
          <w:szCs w:val="20"/>
        </w:rPr>
        <w:t>Klayer1_measurement</w:t>
      </w:r>
      <w:r w:rsidR="00E87D2F">
        <w:rPr>
          <w:bCs/>
          <w:sz w:val="20"/>
          <w:szCs w:val="20"/>
        </w:rPr>
        <w:t xml:space="preserve"> </w:t>
      </w:r>
      <w:r w:rsidRPr="00AE58DF">
        <w:rPr>
          <w:bCs/>
          <w:sz w:val="20"/>
          <w:szCs w:val="20"/>
        </w:rPr>
        <w:t>=</w:t>
      </w:r>
      <w:r w:rsidR="00E87D2F">
        <w:rPr>
          <w:bCs/>
          <w:sz w:val="20"/>
          <w:szCs w:val="20"/>
        </w:rPr>
        <w:t xml:space="preserve"> </w:t>
      </w:r>
      <w:r w:rsidRPr="00AE58DF">
        <w:rPr>
          <w:bCs/>
          <w:sz w:val="20"/>
          <w:szCs w:val="20"/>
        </w:rPr>
        <w:t>1</w:t>
      </w:r>
      <w:r>
        <w:rPr>
          <w:bCs/>
          <w:sz w:val="20"/>
          <w:szCs w:val="20"/>
        </w:rPr>
        <w:t xml:space="preserve"> is able to be reused </w:t>
      </w:r>
      <w:r w:rsidR="00FF70C6">
        <w:rPr>
          <w:bCs/>
          <w:sz w:val="20"/>
          <w:szCs w:val="20"/>
        </w:rPr>
        <w:t>for</w:t>
      </w:r>
      <w:r>
        <w:rPr>
          <w:bCs/>
          <w:sz w:val="20"/>
          <w:szCs w:val="20"/>
        </w:rPr>
        <w:t xml:space="preserve"> Rel-19 AT</w:t>
      </w:r>
      <w:r w:rsidR="00974FB5">
        <w:rPr>
          <w:bCs/>
          <w:sz w:val="20"/>
          <w:szCs w:val="20"/>
        </w:rPr>
        <w:t>G</w:t>
      </w:r>
      <w:r w:rsidR="00974FB5" w:rsidRPr="00974FB5">
        <w:rPr>
          <w:bCs/>
          <w:sz w:val="20"/>
          <w:szCs w:val="20"/>
        </w:rPr>
        <w:t xml:space="preserve"> support antennaArrayType-r18 in FR1.</w:t>
      </w:r>
    </w:p>
    <w:p w14:paraId="7191EA68" w14:textId="1CFDD781" w:rsidR="008E4712" w:rsidRDefault="008E4712" w:rsidP="00C84D7C">
      <w:pPr>
        <w:rPr>
          <w:b/>
          <w:sz w:val="20"/>
          <w:szCs w:val="20"/>
        </w:rPr>
      </w:pPr>
      <w:r w:rsidRPr="0080369A">
        <w:rPr>
          <w:b/>
          <w:sz w:val="20"/>
          <w:szCs w:val="20"/>
        </w:rPr>
        <w:t xml:space="preserve">Proposal </w:t>
      </w:r>
      <w:r w:rsidR="00C46647">
        <w:rPr>
          <w:b/>
          <w:sz w:val="20"/>
          <w:szCs w:val="20"/>
        </w:rPr>
        <w:t>1</w:t>
      </w:r>
      <w:r w:rsidRPr="0080369A">
        <w:rPr>
          <w:b/>
          <w:sz w:val="20"/>
          <w:szCs w:val="20"/>
        </w:rPr>
        <w:t xml:space="preserve">: </w:t>
      </w:r>
      <w:r w:rsidR="00AE58DF">
        <w:rPr>
          <w:b/>
          <w:sz w:val="20"/>
          <w:szCs w:val="20"/>
        </w:rPr>
        <w:t>T</w:t>
      </w:r>
      <w:r w:rsidR="00AE58DF" w:rsidRPr="00AE58DF">
        <w:rPr>
          <w:b/>
          <w:sz w:val="20"/>
          <w:szCs w:val="20"/>
        </w:rPr>
        <w:t>he legacy requirement for Klayer1_measurement</w:t>
      </w:r>
      <w:r w:rsidR="00744F2F">
        <w:rPr>
          <w:b/>
          <w:sz w:val="20"/>
          <w:szCs w:val="20"/>
        </w:rPr>
        <w:t xml:space="preserve"> </w:t>
      </w:r>
      <w:r w:rsidR="00AE58DF" w:rsidRPr="00AE58DF">
        <w:rPr>
          <w:b/>
          <w:sz w:val="20"/>
          <w:szCs w:val="20"/>
        </w:rPr>
        <w:t>=</w:t>
      </w:r>
      <w:r w:rsidR="00744F2F">
        <w:rPr>
          <w:b/>
          <w:sz w:val="20"/>
          <w:szCs w:val="20"/>
        </w:rPr>
        <w:t xml:space="preserve"> </w:t>
      </w:r>
      <w:r w:rsidR="00AE58DF" w:rsidRPr="00AE58DF">
        <w:rPr>
          <w:b/>
          <w:sz w:val="20"/>
          <w:szCs w:val="20"/>
        </w:rPr>
        <w:t xml:space="preserve">1 is able to be reused </w:t>
      </w:r>
      <w:r w:rsidR="000841B0">
        <w:rPr>
          <w:b/>
          <w:sz w:val="20"/>
          <w:szCs w:val="20"/>
        </w:rPr>
        <w:t>for</w:t>
      </w:r>
      <w:r w:rsidR="00AE58DF" w:rsidRPr="00AE58DF">
        <w:rPr>
          <w:b/>
          <w:sz w:val="20"/>
          <w:szCs w:val="20"/>
        </w:rPr>
        <w:t xml:space="preserve"> Rel-19 ATG</w:t>
      </w:r>
      <w:r w:rsidR="00744F2F">
        <w:rPr>
          <w:b/>
          <w:sz w:val="20"/>
          <w:szCs w:val="20"/>
        </w:rPr>
        <w:t xml:space="preserve"> support</w:t>
      </w:r>
      <w:r w:rsidR="00E87D2F">
        <w:rPr>
          <w:b/>
          <w:sz w:val="20"/>
          <w:szCs w:val="20"/>
        </w:rPr>
        <w:t>s</w:t>
      </w:r>
      <w:r w:rsidR="00744F2F">
        <w:rPr>
          <w:b/>
          <w:sz w:val="20"/>
          <w:szCs w:val="20"/>
        </w:rPr>
        <w:t xml:space="preserve"> </w:t>
      </w:r>
      <w:r w:rsidR="00744F2F" w:rsidRPr="00744F2F">
        <w:rPr>
          <w:b/>
          <w:sz w:val="20"/>
          <w:szCs w:val="20"/>
        </w:rPr>
        <w:t>antennaArrayType-r18</w:t>
      </w:r>
      <w:r w:rsidR="009C53EF">
        <w:rPr>
          <w:b/>
          <w:sz w:val="20"/>
          <w:szCs w:val="20"/>
        </w:rPr>
        <w:t xml:space="preserve"> and </w:t>
      </w:r>
      <w:r w:rsidR="00E87D2F">
        <w:rPr>
          <w:b/>
          <w:sz w:val="20"/>
          <w:szCs w:val="20"/>
        </w:rPr>
        <w:t xml:space="preserve">does </w:t>
      </w:r>
      <w:r w:rsidR="009C53EF">
        <w:rPr>
          <w:b/>
          <w:sz w:val="20"/>
          <w:szCs w:val="20"/>
        </w:rPr>
        <w:t>not support [case 4 capability]</w:t>
      </w:r>
      <w:r w:rsidR="00744F2F">
        <w:rPr>
          <w:b/>
          <w:sz w:val="20"/>
          <w:szCs w:val="20"/>
        </w:rPr>
        <w:t xml:space="preserve"> </w:t>
      </w:r>
      <w:r w:rsidR="00744F2F">
        <w:rPr>
          <w:rFonts w:hint="eastAsia"/>
          <w:b/>
          <w:sz w:val="20"/>
          <w:szCs w:val="20"/>
        </w:rPr>
        <w:t>in</w:t>
      </w:r>
      <w:r w:rsidR="00744F2F">
        <w:rPr>
          <w:b/>
          <w:sz w:val="20"/>
          <w:szCs w:val="20"/>
        </w:rPr>
        <w:t xml:space="preserve"> </w:t>
      </w:r>
      <w:r w:rsidR="00744F2F">
        <w:rPr>
          <w:rFonts w:hint="eastAsia"/>
          <w:b/>
          <w:sz w:val="20"/>
          <w:szCs w:val="20"/>
        </w:rPr>
        <w:t>FR1</w:t>
      </w:r>
      <w:r w:rsidR="00AE58DF" w:rsidRPr="00AE58DF">
        <w:rPr>
          <w:b/>
          <w:sz w:val="20"/>
          <w:szCs w:val="20"/>
        </w:rPr>
        <w:t>.</w:t>
      </w:r>
    </w:p>
    <w:p w14:paraId="4C3E0107" w14:textId="462CD7A5" w:rsidR="00E87D2F" w:rsidRDefault="009C53EF" w:rsidP="00C84D7C">
      <w:pPr>
        <w:rPr>
          <w:bCs/>
          <w:sz w:val="20"/>
          <w:szCs w:val="20"/>
        </w:rPr>
      </w:pPr>
      <w:r w:rsidRPr="00E87D2F">
        <w:rPr>
          <w:rFonts w:hint="eastAsia"/>
          <w:bCs/>
          <w:sz w:val="20"/>
          <w:szCs w:val="20"/>
        </w:rPr>
        <w:t>F</w:t>
      </w:r>
      <w:r w:rsidRPr="00E87D2F">
        <w:rPr>
          <w:bCs/>
          <w:sz w:val="20"/>
          <w:szCs w:val="20"/>
        </w:rPr>
        <w:t xml:space="preserve">or </w:t>
      </w:r>
      <w:r w:rsidR="00E87D2F">
        <w:rPr>
          <w:bCs/>
          <w:sz w:val="20"/>
          <w:szCs w:val="20"/>
        </w:rPr>
        <w:t xml:space="preserve">ATG </w:t>
      </w:r>
      <w:r w:rsidRPr="00E87D2F">
        <w:rPr>
          <w:bCs/>
          <w:sz w:val="20"/>
          <w:szCs w:val="20"/>
        </w:rPr>
        <w:t>UE support</w:t>
      </w:r>
      <w:r w:rsidR="00E87D2F">
        <w:rPr>
          <w:bCs/>
          <w:sz w:val="20"/>
          <w:szCs w:val="20"/>
        </w:rPr>
        <w:t>s</w:t>
      </w:r>
      <w:r w:rsidRPr="00E87D2F">
        <w:rPr>
          <w:bCs/>
          <w:sz w:val="20"/>
          <w:szCs w:val="20"/>
        </w:rPr>
        <w:t xml:space="preserve"> </w:t>
      </w:r>
      <w:r w:rsidR="00E87D2F" w:rsidRPr="00E87D2F">
        <w:rPr>
          <w:bCs/>
          <w:sz w:val="20"/>
          <w:szCs w:val="20"/>
        </w:rPr>
        <w:t>antennaArrayType-r18 and support</w:t>
      </w:r>
      <w:r w:rsidR="00E87D2F">
        <w:rPr>
          <w:bCs/>
          <w:sz w:val="20"/>
          <w:szCs w:val="20"/>
        </w:rPr>
        <w:t xml:space="preserve">s common Rx beam, the requirement of </w:t>
      </w:r>
      <w:r w:rsidR="00E87D2F" w:rsidRPr="00E87D2F">
        <w:rPr>
          <w:bCs/>
          <w:sz w:val="20"/>
          <w:szCs w:val="20"/>
        </w:rPr>
        <w:t>Klayer1_measurement = 1</w:t>
      </w:r>
      <w:r w:rsidR="00E87D2F">
        <w:rPr>
          <w:bCs/>
          <w:sz w:val="20"/>
          <w:szCs w:val="20"/>
        </w:rPr>
        <w:t xml:space="preserve"> needs an update. The updated version shows as follows:</w:t>
      </w:r>
    </w:p>
    <w:p w14:paraId="41599DB2" w14:textId="4D373812" w:rsidR="00720BB7" w:rsidRPr="00720BB7" w:rsidRDefault="00720BB7" w:rsidP="00C84D7C">
      <w:pPr>
        <w:rPr>
          <w:bCs/>
          <w:color w:val="FF0000"/>
          <w:sz w:val="20"/>
          <w:szCs w:val="20"/>
        </w:rPr>
      </w:pPr>
      <w:r w:rsidRPr="00720BB7">
        <w:rPr>
          <w:rFonts w:hint="eastAsia"/>
          <w:bCs/>
          <w:color w:val="FF0000"/>
          <w:sz w:val="20"/>
          <w:szCs w:val="20"/>
        </w:rPr>
        <w:t>-</w:t>
      </w:r>
      <w:r w:rsidRPr="00720BB7">
        <w:rPr>
          <w:bCs/>
          <w:color w:val="FF0000"/>
          <w:sz w:val="20"/>
          <w:szCs w:val="20"/>
        </w:rPr>
        <w:t>-----------------------------------------------------------</w:t>
      </w:r>
      <w:r w:rsidR="000075C0">
        <w:rPr>
          <w:bCs/>
          <w:color w:val="FF0000"/>
          <w:sz w:val="20"/>
          <w:szCs w:val="20"/>
        </w:rPr>
        <w:t>T</w:t>
      </w:r>
      <w:r w:rsidRPr="00720BB7">
        <w:rPr>
          <w:bCs/>
          <w:color w:val="FF0000"/>
          <w:sz w:val="20"/>
          <w:szCs w:val="20"/>
        </w:rPr>
        <w:t>ext proposal-------------------------------------------------------------------</w:t>
      </w:r>
    </w:p>
    <w:p w14:paraId="38D230B0" w14:textId="47DA8671" w:rsidR="00E87D2F" w:rsidRPr="00E87D2F" w:rsidRDefault="00E87D2F" w:rsidP="00E87D2F">
      <w:pPr>
        <w:ind w:left="851" w:hanging="284"/>
        <w:rPr>
          <w:snapToGrid/>
          <w:sz w:val="20"/>
          <w:szCs w:val="20"/>
        </w:rPr>
      </w:pPr>
      <w:r w:rsidRPr="00B35001">
        <w:rPr>
          <w:sz w:val="20"/>
          <w:szCs w:val="20"/>
          <w:lang w:eastAsia="en-GB"/>
        </w:rPr>
        <w:t>K</w:t>
      </w:r>
      <w:r w:rsidRPr="00B35001">
        <w:rPr>
          <w:sz w:val="20"/>
          <w:szCs w:val="20"/>
          <w:vertAlign w:val="subscript"/>
          <w:lang w:eastAsia="en-GB"/>
        </w:rPr>
        <w:t>layer1_measurement</w:t>
      </w:r>
      <w:r w:rsidRPr="00B35001">
        <w:rPr>
          <w:sz w:val="20"/>
          <w:szCs w:val="20"/>
          <w:lang w:eastAsia="en-GB"/>
        </w:rPr>
        <w:t xml:space="preserve">=1, </w:t>
      </w:r>
    </w:p>
    <w:p w14:paraId="456DF9E5" w14:textId="08AEA30B" w:rsidR="00E87D2F" w:rsidRDefault="00E87D2F" w:rsidP="00E87D2F">
      <w:pPr>
        <w:ind w:left="1135" w:hanging="284"/>
        <w:rPr>
          <w:sz w:val="20"/>
          <w:szCs w:val="20"/>
          <w:lang w:eastAsia="en-GB"/>
        </w:rPr>
      </w:pPr>
      <w:r w:rsidRPr="00B35001">
        <w:rPr>
          <w:sz w:val="20"/>
          <w:szCs w:val="20"/>
          <w:lang w:eastAsia="en-GB"/>
        </w:rPr>
        <w:t>-</w:t>
      </w:r>
      <w:r w:rsidRPr="00B35001">
        <w:rPr>
          <w:sz w:val="20"/>
          <w:szCs w:val="20"/>
          <w:lang w:eastAsia="en-GB"/>
        </w:rPr>
        <w:tab/>
        <w:t xml:space="preserve">if all of the reference signal configured for RLM, BFD, CBD or L1-RSRP for beam reporting </w:t>
      </w:r>
      <w:r w:rsidRPr="00B35001">
        <w:rPr>
          <w:sz w:val="20"/>
          <w:szCs w:val="20"/>
          <w:highlight w:val="yellow"/>
          <w:lang w:eastAsia="en-GB"/>
        </w:rPr>
        <w:t xml:space="preserve">on serving frequency </w:t>
      </w:r>
      <w:r w:rsidRPr="00B35001">
        <w:rPr>
          <w:sz w:val="20"/>
          <w:szCs w:val="20"/>
          <w:highlight w:val="yellow"/>
        </w:rPr>
        <w:t>of</w:t>
      </w:r>
      <w:r w:rsidRPr="00B35001">
        <w:rPr>
          <w:sz w:val="20"/>
          <w:szCs w:val="20"/>
          <w:highlight w:val="yellow"/>
          <w:lang w:val="en-GB" w:eastAsia="en-GB"/>
        </w:rPr>
        <w:t xml:space="preserve"> PCC or SCC that [UE support the case 4 capability] </w:t>
      </w:r>
      <w:r w:rsidRPr="00B35001">
        <w:rPr>
          <w:sz w:val="20"/>
          <w:szCs w:val="20"/>
          <w:lang w:eastAsia="en-GB"/>
        </w:rPr>
        <w:t>outside measurement gap and fully-overlapped by intra-frequency SMTC occasions</w:t>
      </w:r>
      <w:r w:rsidRPr="00B35001">
        <w:rPr>
          <w:sz w:val="20"/>
          <w:szCs w:val="20"/>
          <w:highlight w:val="yellow"/>
          <w:lang w:eastAsia="en-GB"/>
        </w:rPr>
        <w:t xml:space="preserve"> of PCC or SCC</w:t>
      </w:r>
      <w:r w:rsidRPr="00B35001">
        <w:rPr>
          <w:sz w:val="20"/>
          <w:szCs w:val="20"/>
          <w:lang w:eastAsia="en-GB"/>
        </w:rPr>
        <w:t xml:space="preserve"> are not overlapped with any of the SSB symbols and the RSSI symbols, and 1 symbol before each consecutive SSB symbols and the RSSI symbols, and 1 symbol after each consecutive SSB symbols and the RSSI symbols, given that </w:t>
      </w:r>
      <w:r w:rsidRPr="00B35001">
        <w:rPr>
          <w:i/>
          <w:sz w:val="20"/>
          <w:szCs w:val="20"/>
          <w:lang w:eastAsia="en-GB"/>
        </w:rPr>
        <w:t>SSB-</w:t>
      </w:r>
      <w:proofErr w:type="spellStart"/>
      <w:r w:rsidRPr="00B35001">
        <w:rPr>
          <w:i/>
          <w:sz w:val="20"/>
          <w:szCs w:val="20"/>
          <w:lang w:eastAsia="en-GB"/>
        </w:rPr>
        <w:t>ToMeasure</w:t>
      </w:r>
      <w:proofErr w:type="spellEnd"/>
      <w:r w:rsidRPr="00B35001">
        <w:rPr>
          <w:i/>
          <w:sz w:val="20"/>
          <w:szCs w:val="20"/>
          <w:lang w:eastAsia="en-GB"/>
        </w:rPr>
        <w:t xml:space="preserve"> </w:t>
      </w:r>
      <w:r w:rsidRPr="00B35001">
        <w:rPr>
          <w:sz w:val="20"/>
          <w:szCs w:val="20"/>
          <w:lang w:eastAsia="en-GB"/>
        </w:rPr>
        <w:t>and</w:t>
      </w:r>
      <w:r w:rsidRPr="00B35001">
        <w:rPr>
          <w:i/>
          <w:sz w:val="20"/>
          <w:szCs w:val="20"/>
          <w:lang w:eastAsia="en-GB"/>
        </w:rPr>
        <w:t xml:space="preserve"> SS-RSSI-Measurement </w:t>
      </w:r>
      <w:r w:rsidRPr="00B35001">
        <w:rPr>
          <w:sz w:val="20"/>
          <w:szCs w:val="20"/>
          <w:lang w:eastAsia="en-GB"/>
        </w:rPr>
        <w:t>are configured, where SSB symbols are indicated by the union</w:t>
      </w:r>
      <w:r w:rsidRPr="00B35001">
        <w:rPr>
          <w:color w:val="00B050"/>
          <w:sz w:val="20"/>
          <w:szCs w:val="20"/>
          <w:lang w:eastAsia="en-GB"/>
        </w:rPr>
        <w:t xml:space="preserve"> </w:t>
      </w:r>
      <w:r w:rsidRPr="00B35001">
        <w:rPr>
          <w:sz w:val="20"/>
          <w:szCs w:val="20"/>
          <w:lang w:eastAsia="en-GB"/>
        </w:rPr>
        <w:t>set of </w:t>
      </w:r>
      <w:r w:rsidRPr="00B35001">
        <w:rPr>
          <w:i/>
          <w:iCs/>
          <w:sz w:val="20"/>
          <w:szCs w:val="20"/>
          <w:lang w:eastAsia="en-GB"/>
        </w:rPr>
        <w:t>SSB-</w:t>
      </w:r>
      <w:proofErr w:type="spellStart"/>
      <w:r w:rsidRPr="00B35001">
        <w:rPr>
          <w:i/>
          <w:iCs/>
          <w:sz w:val="20"/>
          <w:szCs w:val="20"/>
          <w:lang w:eastAsia="en-GB"/>
        </w:rPr>
        <w:t>ToMeasure</w:t>
      </w:r>
      <w:proofErr w:type="spellEnd"/>
      <w:r w:rsidRPr="00B35001">
        <w:rPr>
          <w:sz w:val="20"/>
          <w:szCs w:val="20"/>
          <w:lang w:eastAsia="en-GB"/>
        </w:rPr>
        <w:t> from all the configured</w:t>
      </w:r>
      <w:r w:rsidRPr="00B35001">
        <w:rPr>
          <w:color w:val="00B050"/>
          <w:sz w:val="20"/>
          <w:szCs w:val="20"/>
          <w:lang w:eastAsia="en-GB"/>
        </w:rPr>
        <w:t xml:space="preserve"> </w:t>
      </w:r>
      <w:r w:rsidRPr="00B35001">
        <w:rPr>
          <w:sz w:val="20"/>
          <w:szCs w:val="20"/>
          <w:lang w:eastAsia="en-GB"/>
        </w:rPr>
        <w:t>measurement objects on the same serving carrier</w:t>
      </w:r>
      <w:r w:rsidRPr="00B35001">
        <w:rPr>
          <w:color w:val="00B050"/>
          <w:sz w:val="20"/>
          <w:szCs w:val="20"/>
          <w:lang w:eastAsia="en-GB"/>
        </w:rPr>
        <w:t xml:space="preserve"> </w:t>
      </w:r>
      <w:r w:rsidRPr="00B35001">
        <w:rPr>
          <w:sz w:val="20"/>
          <w:szCs w:val="20"/>
          <w:lang w:eastAsia="en-GB"/>
        </w:rPr>
        <w:t>which can be merged.</w:t>
      </w:r>
      <w:r w:rsidRPr="00B35001">
        <w:rPr>
          <w:i/>
          <w:sz w:val="20"/>
          <w:szCs w:val="20"/>
          <w:lang w:eastAsia="en-GB"/>
        </w:rPr>
        <w:t xml:space="preserve"> </w:t>
      </w:r>
      <w:r w:rsidRPr="00B35001">
        <w:rPr>
          <w:sz w:val="20"/>
          <w:szCs w:val="20"/>
          <w:lang w:eastAsia="en-GB"/>
        </w:rPr>
        <w:t xml:space="preserve">and RSSI symbols are indicated by </w:t>
      </w:r>
      <w:r w:rsidRPr="00B35001">
        <w:rPr>
          <w:i/>
          <w:sz w:val="20"/>
          <w:szCs w:val="20"/>
          <w:lang w:eastAsia="en-GB"/>
        </w:rPr>
        <w:t>SS-RSSI-Measurement</w:t>
      </w:r>
      <w:r w:rsidRPr="00B35001">
        <w:rPr>
          <w:sz w:val="20"/>
          <w:szCs w:val="20"/>
          <w:lang w:eastAsia="en-GB"/>
        </w:rPr>
        <w:t>;</w:t>
      </w:r>
    </w:p>
    <w:p w14:paraId="2EB197F7" w14:textId="05EE3791" w:rsidR="00720BB7" w:rsidRPr="00CA0E12" w:rsidRDefault="00720BB7" w:rsidP="00CA0E12">
      <w:pPr>
        <w:rPr>
          <w:bCs/>
          <w:color w:val="FF0000"/>
          <w:sz w:val="20"/>
          <w:szCs w:val="20"/>
        </w:rPr>
      </w:pPr>
      <w:r w:rsidRPr="00720BB7">
        <w:rPr>
          <w:rFonts w:hint="eastAsia"/>
          <w:bCs/>
          <w:color w:val="FF0000"/>
          <w:sz w:val="20"/>
          <w:szCs w:val="20"/>
        </w:rPr>
        <w:t>-</w:t>
      </w:r>
      <w:r w:rsidRPr="00720BB7">
        <w:rPr>
          <w:bCs/>
          <w:color w:val="FF0000"/>
          <w:sz w:val="20"/>
          <w:szCs w:val="20"/>
        </w:rPr>
        <w:t>-----------------------------------------------------------</w:t>
      </w:r>
      <w:r w:rsidR="000075C0">
        <w:rPr>
          <w:bCs/>
          <w:color w:val="FF0000"/>
          <w:sz w:val="20"/>
          <w:szCs w:val="20"/>
        </w:rPr>
        <w:t>T</w:t>
      </w:r>
      <w:r w:rsidRPr="00720BB7">
        <w:rPr>
          <w:bCs/>
          <w:color w:val="FF0000"/>
          <w:sz w:val="20"/>
          <w:szCs w:val="20"/>
        </w:rPr>
        <w:t>ext proposal-------------------------------------------------------------------</w:t>
      </w:r>
    </w:p>
    <w:p w14:paraId="1606187A" w14:textId="17DBC420" w:rsidR="00E87D2F" w:rsidRDefault="00E87D2F" w:rsidP="00C84D7C">
      <w:pPr>
        <w:rPr>
          <w:b/>
          <w:sz w:val="20"/>
          <w:szCs w:val="20"/>
        </w:rPr>
      </w:pPr>
      <w:r w:rsidRPr="00E87D2F">
        <w:rPr>
          <w:rFonts w:hint="eastAsia"/>
          <w:b/>
          <w:sz w:val="20"/>
          <w:szCs w:val="20"/>
        </w:rPr>
        <w:t>P</w:t>
      </w:r>
      <w:r w:rsidRPr="00E87D2F">
        <w:rPr>
          <w:b/>
          <w:sz w:val="20"/>
          <w:szCs w:val="20"/>
        </w:rPr>
        <w:t xml:space="preserve">roposal </w:t>
      </w:r>
      <w:r w:rsidR="00C46647">
        <w:rPr>
          <w:b/>
          <w:sz w:val="20"/>
          <w:szCs w:val="20"/>
        </w:rPr>
        <w:t>2</w:t>
      </w:r>
      <w:r w:rsidRPr="00E87D2F">
        <w:rPr>
          <w:b/>
          <w:sz w:val="20"/>
          <w:szCs w:val="20"/>
        </w:rPr>
        <w:t xml:space="preserve">: The legacy requirement for Klayer1_measurement = 1 </w:t>
      </w:r>
      <w:r w:rsidR="000841B0">
        <w:rPr>
          <w:b/>
          <w:sz w:val="20"/>
          <w:szCs w:val="20"/>
        </w:rPr>
        <w:t>for</w:t>
      </w:r>
      <w:r w:rsidRPr="00E87D2F">
        <w:rPr>
          <w:b/>
          <w:sz w:val="20"/>
          <w:szCs w:val="20"/>
        </w:rPr>
        <w:t xml:space="preserve"> Rel-19 ATG supports antennaArrayType-r18 and [case 4 capability] in FR1 is needed to be update as:</w:t>
      </w:r>
    </w:p>
    <w:p w14:paraId="6747BD0F" w14:textId="3E083CC2" w:rsidR="00720BB7" w:rsidRPr="00720BB7" w:rsidRDefault="00720BB7" w:rsidP="00C84D7C">
      <w:pPr>
        <w:rPr>
          <w:bCs/>
          <w:color w:val="FF0000"/>
          <w:sz w:val="20"/>
          <w:szCs w:val="20"/>
        </w:rPr>
      </w:pPr>
      <w:r w:rsidRPr="00720BB7">
        <w:rPr>
          <w:rFonts w:hint="eastAsia"/>
          <w:bCs/>
          <w:color w:val="FF0000"/>
          <w:sz w:val="20"/>
          <w:szCs w:val="20"/>
        </w:rPr>
        <w:t>-</w:t>
      </w:r>
      <w:r w:rsidRPr="00720BB7">
        <w:rPr>
          <w:bCs/>
          <w:color w:val="FF0000"/>
          <w:sz w:val="20"/>
          <w:szCs w:val="20"/>
        </w:rPr>
        <w:t>-----------------------------------------------------------</w:t>
      </w:r>
      <w:r w:rsidR="000075C0">
        <w:rPr>
          <w:bCs/>
          <w:color w:val="FF0000"/>
          <w:sz w:val="20"/>
          <w:szCs w:val="20"/>
        </w:rPr>
        <w:t>T</w:t>
      </w:r>
      <w:r w:rsidRPr="00720BB7">
        <w:rPr>
          <w:bCs/>
          <w:color w:val="FF0000"/>
          <w:sz w:val="20"/>
          <w:szCs w:val="20"/>
        </w:rPr>
        <w:t>ext proposal-------------------------------------------------------------------</w:t>
      </w:r>
    </w:p>
    <w:p w14:paraId="0AA7497A" w14:textId="77777777" w:rsidR="00E87D2F" w:rsidRPr="00E87D2F" w:rsidRDefault="00E87D2F" w:rsidP="00E87D2F">
      <w:pPr>
        <w:ind w:left="851" w:hanging="284"/>
        <w:rPr>
          <w:b/>
          <w:snapToGrid/>
          <w:sz w:val="20"/>
          <w:szCs w:val="20"/>
        </w:rPr>
      </w:pPr>
      <w:r w:rsidRPr="00E87D2F">
        <w:rPr>
          <w:b/>
          <w:sz w:val="20"/>
          <w:szCs w:val="20"/>
        </w:rPr>
        <w:tab/>
      </w:r>
      <w:r w:rsidRPr="00E87D2F">
        <w:rPr>
          <w:b/>
          <w:sz w:val="20"/>
          <w:szCs w:val="20"/>
          <w:lang w:eastAsia="en-GB"/>
        </w:rPr>
        <w:t>K</w:t>
      </w:r>
      <w:r w:rsidRPr="00E87D2F">
        <w:rPr>
          <w:b/>
          <w:sz w:val="20"/>
          <w:szCs w:val="20"/>
          <w:vertAlign w:val="subscript"/>
          <w:lang w:eastAsia="en-GB"/>
        </w:rPr>
        <w:t>layer1_measurement</w:t>
      </w:r>
      <w:r w:rsidRPr="00E87D2F">
        <w:rPr>
          <w:b/>
          <w:sz w:val="20"/>
          <w:szCs w:val="20"/>
          <w:lang w:eastAsia="en-GB"/>
        </w:rPr>
        <w:t xml:space="preserve">=1, </w:t>
      </w:r>
    </w:p>
    <w:p w14:paraId="4EBA9361" w14:textId="5D250EA0" w:rsidR="00E87D2F" w:rsidRDefault="00E87D2F" w:rsidP="00E87D2F">
      <w:pPr>
        <w:ind w:left="1135" w:hanging="284"/>
        <w:rPr>
          <w:b/>
          <w:sz w:val="20"/>
          <w:szCs w:val="20"/>
          <w:lang w:eastAsia="en-GB"/>
        </w:rPr>
      </w:pPr>
      <w:r w:rsidRPr="00E87D2F">
        <w:rPr>
          <w:b/>
          <w:sz w:val="20"/>
          <w:szCs w:val="20"/>
          <w:lang w:eastAsia="en-GB"/>
        </w:rPr>
        <w:t>-</w:t>
      </w:r>
      <w:r w:rsidRPr="00E87D2F">
        <w:rPr>
          <w:b/>
          <w:sz w:val="20"/>
          <w:szCs w:val="20"/>
          <w:lang w:eastAsia="en-GB"/>
        </w:rPr>
        <w:tab/>
        <w:t xml:space="preserve">if all of the reference signal configured for RLM, BFD, CBD or L1-RSRP for beam reporting </w:t>
      </w:r>
      <w:r w:rsidRPr="00E87D2F">
        <w:rPr>
          <w:b/>
          <w:sz w:val="20"/>
          <w:szCs w:val="20"/>
          <w:highlight w:val="yellow"/>
          <w:lang w:eastAsia="en-GB"/>
        </w:rPr>
        <w:t xml:space="preserve">on serving frequency </w:t>
      </w:r>
      <w:r w:rsidRPr="00E87D2F">
        <w:rPr>
          <w:b/>
          <w:sz w:val="20"/>
          <w:szCs w:val="20"/>
          <w:highlight w:val="yellow"/>
        </w:rPr>
        <w:t>of</w:t>
      </w:r>
      <w:r w:rsidRPr="00E87D2F">
        <w:rPr>
          <w:b/>
          <w:sz w:val="20"/>
          <w:szCs w:val="20"/>
          <w:highlight w:val="yellow"/>
          <w:lang w:val="en-GB" w:eastAsia="en-GB"/>
        </w:rPr>
        <w:t xml:space="preserve"> PCC or SCC that [UE support the case 4 capability] </w:t>
      </w:r>
      <w:r w:rsidRPr="00E87D2F">
        <w:rPr>
          <w:b/>
          <w:sz w:val="20"/>
          <w:szCs w:val="20"/>
          <w:lang w:eastAsia="en-GB"/>
        </w:rPr>
        <w:t>outside measurement gap and fully-overlapped by intra-frequency SMTC occasions</w:t>
      </w:r>
      <w:r w:rsidRPr="00E87D2F">
        <w:rPr>
          <w:b/>
          <w:sz w:val="20"/>
          <w:szCs w:val="20"/>
          <w:highlight w:val="yellow"/>
          <w:lang w:eastAsia="en-GB"/>
        </w:rPr>
        <w:t xml:space="preserve"> of PCC or SCC</w:t>
      </w:r>
      <w:r w:rsidRPr="00E87D2F">
        <w:rPr>
          <w:b/>
          <w:sz w:val="20"/>
          <w:szCs w:val="20"/>
          <w:lang w:eastAsia="en-GB"/>
        </w:rPr>
        <w:t xml:space="preserve"> are not overlapped with any of the SSB symbols and the RSSI symbols, and 1 symbol before each consecutive SSB symbols and the RSSI symbols, and 1 symbol after each consecutive SSB symbols and the RSSI symbols, given that </w:t>
      </w:r>
      <w:r w:rsidRPr="00E87D2F">
        <w:rPr>
          <w:b/>
          <w:i/>
          <w:sz w:val="20"/>
          <w:szCs w:val="20"/>
          <w:lang w:eastAsia="en-GB"/>
        </w:rPr>
        <w:t>SSB-</w:t>
      </w:r>
      <w:proofErr w:type="spellStart"/>
      <w:r w:rsidRPr="00E87D2F">
        <w:rPr>
          <w:b/>
          <w:i/>
          <w:sz w:val="20"/>
          <w:szCs w:val="20"/>
          <w:lang w:eastAsia="en-GB"/>
        </w:rPr>
        <w:t>ToMeasure</w:t>
      </w:r>
      <w:proofErr w:type="spellEnd"/>
      <w:r w:rsidRPr="00E87D2F">
        <w:rPr>
          <w:b/>
          <w:i/>
          <w:sz w:val="20"/>
          <w:szCs w:val="20"/>
          <w:lang w:eastAsia="en-GB"/>
        </w:rPr>
        <w:t xml:space="preserve"> </w:t>
      </w:r>
      <w:r w:rsidRPr="00E87D2F">
        <w:rPr>
          <w:b/>
          <w:sz w:val="20"/>
          <w:szCs w:val="20"/>
          <w:lang w:eastAsia="en-GB"/>
        </w:rPr>
        <w:t>and</w:t>
      </w:r>
      <w:r w:rsidRPr="00E87D2F">
        <w:rPr>
          <w:b/>
          <w:i/>
          <w:sz w:val="20"/>
          <w:szCs w:val="20"/>
          <w:lang w:eastAsia="en-GB"/>
        </w:rPr>
        <w:t xml:space="preserve"> SS-RSSI-Measurement </w:t>
      </w:r>
      <w:r w:rsidRPr="00E87D2F">
        <w:rPr>
          <w:b/>
          <w:sz w:val="20"/>
          <w:szCs w:val="20"/>
          <w:lang w:eastAsia="en-GB"/>
        </w:rPr>
        <w:t>are configured, where SSB symbols are indicated by the union</w:t>
      </w:r>
      <w:r w:rsidRPr="00E87D2F">
        <w:rPr>
          <w:b/>
          <w:color w:val="00B050"/>
          <w:sz w:val="20"/>
          <w:szCs w:val="20"/>
          <w:lang w:eastAsia="en-GB"/>
        </w:rPr>
        <w:t xml:space="preserve"> </w:t>
      </w:r>
      <w:r w:rsidRPr="00E87D2F">
        <w:rPr>
          <w:b/>
          <w:sz w:val="20"/>
          <w:szCs w:val="20"/>
          <w:lang w:eastAsia="en-GB"/>
        </w:rPr>
        <w:t>set of </w:t>
      </w:r>
      <w:r w:rsidRPr="00E87D2F">
        <w:rPr>
          <w:b/>
          <w:i/>
          <w:iCs/>
          <w:sz w:val="20"/>
          <w:szCs w:val="20"/>
          <w:lang w:eastAsia="en-GB"/>
        </w:rPr>
        <w:t>SSB-</w:t>
      </w:r>
      <w:proofErr w:type="spellStart"/>
      <w:r w:rsidRPr="00E87D2F">
        <w:rPr>
          <w:b/>
          <w:i/>
          <w:iCs/>
          <w:sz w:val="20"/>
          <w:szCs w:val="20"/>
          <w:lang w:eastAsia="en-GB"/>
        </w:rPr>
        <w:t>ToMeasure</w:t>
      </w:r>
      <w:proofErr w:type="spellEnd"/>
      <w:r w:rsidRPr="00E87D2F">
        <w:rPr>
          <w:b/>
          <w:sz w:val="20"/>
          <w:szCs w:val="20"/>
          <w:lang w:eastAsia="en-GB"/>
        </w:rPr>
        <w:t> from all the configured</w:t>
      </w:r>
      <w:r w:rsidRPr="00E87D2F">
        <w:rPr>
          <w:b/>
          <w:color w:val="00B050"/>
          <w:sz w:val="20"/>
          <w:szCs w:val="20"/>
          <w:lang w:eastAsia="en-GB"/>
        </w:rPr>
        <w:t xml:space="preserve"> </w:t>
      </w:r>
      <w:r w:rsidRPr="00E87D2F">
        <w:rPr>
          <w:b/>
          <w:sz w:val="20"/>
          <w:szCs w:val="20"/>
          <w:lang w:eastAsia="en-GB"/>
        </w:rPr>
        <w:t>measurement objects on the same serving carrier</w:t>
      </w:r>
      <w:r w:rsidRPr="00E87D2F">
        <w:rPr>
          <w:b/>
          <w:color w:val="00B050"/>
          <w:sz w:val="20"/>
          <w:szCs w:val="20"/>
          <w:lang w:eastAsia="en-GB"/>
        </w:rPr>
        <w:t xml:space="preserve"> </w:t>
      </w:r>
      <w:r w:rsidRPr="00E87D2F">
        <w:rPr>
          <w:b/>
          <w:sz w:val="20"/>
          <w:szCs w:val="20"/>
          <w:lang w:eastAsia="en-GB"/>
        </w:rPr>
        <w:t>which can be merged.</w:t>
      </w:r>
      <w:r w:rsidRPr="00E87D2F">
        <w:rPr>
          <w:b/>
          <w:i/>
          <w:sz w:val="20"/>
          <w:szCs w:val="20"/>
          <w:lang w:eastAsia="en-GB"/>
        </w:rPr>
        <w:t xml:space="preserve"> </w:t>
      </w:r>
      <w:r w:rsidRPr="00E87D2F">
        <w:rPr>
          <w:b/>
          <w:sz w:val="20"/>
          <w:szCs w:val="20"/>
          <w:lang w:eastAsia="en-GB"/>
        </w:rPr>
        <w:t xml:space="preserve">and RSSI symbols are indicated by </w:t>
      </w:r>
      <w:r w:rsidRPr="00E87D2F">
        <w:rPr>
          <w:b/>
          <w:i/>
          <w:sz w:val="20"/>
          <w:szCs w:val="20"/>
          <w:lang w:eastAsia="en-GB"/>
        </w:rPr>
        <w:t>SS-RSSI-Measurement</w:t>
      </w:r>
      <w:r w:rsidRPr="00E87D2F">
        <w:rPr>
          <w:b/>
          <w:sz w:val="20"/>
          <w:szCs w:val="20"/>
          <w:lang w:eastAsia="en-GB"/>
        </w:rPr>
        <w:t>;</w:t>
      </w:r>
    </w:p>
    <w:p w14:paraId="6112BAB7" w14:textId="3EA052CA" w:rsidR="00720BB7" w:rsidRPr="00720BB7" w:rsidRDefault="00720BB7" w:rsidP="00720BB7">
      <w:pPr>
        <w:rPr>
          <w:bCs/>
          <w:color w:val="FF0000"/>
          <w:sz w:val="20"/>
          <w:szCs w:val="20"/>
        </w:rPr>
      </w:pPr>
      <w:r w:rsidRPr="00720BB7">
        <w:rPr>
          <w:rFonts w:hint="eastAsia"/>
          <w:bCs/>
          <w:color w:val="FF0000"/>
          <w:sz w:val="20"/>
          <w:szCs w:val="20"/>
        </w:rPr>
        <w:t>-</w:t>
      </w:r>
      <w:r w:rsidRPr="00720BB7">
        <w:rPr>
          <w:bCs/>
          <w:color w:val="FF0000"/>
          <w:sz w:val="20"/>
          <w:szCs w:val="20"/>
        </w:rPr>
        <w:t>-----------------------------------------------------------</w:t>
      </w:r>
      <w:r w:rsidR="000075C0">
        <w:rPr>
          <w:bCs/>
          <w:color w:val="FF0000"/>
          <w:sz w:val="20"/>
          <w:szCs w:val="20"/>
        </w:rPr>
        <w:t>T</w:t>
      </w:r>
      <w:r w:rsidRPr="00720BB7">
        <w:rPr>
          <w:bCs/>
          <w:color w:val="FF0000"/>
          <w:sz w:val="20"/>
          <w:szCs w:val="20"/>
        </w:rPr>
        <w:t>ext proposal-------------------------------------------------------------------</w:t>
      </w:r>
    </w:p>
    <w:p w14:paraId="71AEFC52" w14:textId="77777777" w:rsidR="00720BB7" w:rsidRPr="00E87D2F" w:rsidRDefault="00720BB7" w:rsidP="00720BB7">
      <w:pPr>
        <w:rPr>
          <w:rFonts w:eastAsia="等线"/>
          <w:b/>
          <w:sz w:val="20"/>
          <w:szCs w:val="20"/>
          <w:lang w:val="en-GB"/>
        </w:rPr>
      </w:pPr>
    </w:p>
    <w:p w14:paraId="26D86A16" w14:textId="64D67A51" w:rsidR="0093726F" w:rsidRPr="00B26955" w:rsidRDefault="0093726F" w:rsidP="00FD1206">
      <w:pPr>
        <w:pStyle w:val="1"/>
      </w:pPr>
      <w:r w:rsidRPr="00B26955">
        <w:lastRenderedPageBreak/>
        <w:t>Conclusion</w:t>
      </w:r>
    </w:p>
    <w:p w14:paraId="61E26FEB" w14:textId="77777777" w:rsidR="00C46647" w:rsidRPr="00C46647" w:rsidRDefault="00C46647" w:rsidP="00C46647">
      <w:pPr>
        <w:rPr>
          <w:b/>
          <w:sz w:val="20"/>
          <w:szCs w:val="20"/>
        </w:rPr>
      </w:pPr>
      <w:r w:rsidRPr="00C46647">
        <w:rPr>
          <w:rFonts w:hint="eastAsia"/>
          <w:b/>
          <w:sz w:val="20"/>
          <w:szCs w:val="20"/>
        </w:rPr>
        <w:t>O</w:t>
      </w:r>
      <w:r w:rsidRPr="00C46647">
        <w:rPr>
          <w:b/>
          <w:sz w:val="20"/>
          <w:szCs w:val="20"/>
        </w:rPr>
        <w:t>bservation 1: 1-symol tolerance design in Klayer1_measurement=1 is associated with the propagation delay difference instead of the ISD.</w:t>
      </w:r>
    </w:p>
    <w:p w14:paraId="77FCADD5" w14:textId="5A547F4A" w:rsidR="00720BB7" w:rsidRDefault="0080369A" w:rsidP="00720BB7">
      <w:pPr>
        <w:rPr>
          <w:b/>
          <w:sz w:val="20"/>
          <w:szCs w:val="20"/>
          <w:lang w:val="en-GB"/>
        </w:rPr>
      </w:pPr>
      <w:r w:rsidRPr="0080369A">
        <w:rPr>
          <w:b/>
          <w:sz w:val="20"/>
          <w:szCs w:val="20"/>
        </w:rPr>
        <w:t xml:space="preserve">Proposal </w:t>
      </w:r>
      <w:r w:rsidR="00C46647">
        <w:rPr>
          <w:b/>
          <w:sz w:val="20"/>
          <w:szCs w:val="20"/>
        </w:rPr>
        <w:t>1</w:t>
      </w:r>
      <w:r w:rsidRPr="0080369A">
        <w:rPr>
          <w:b/>
          <w:sz w:val="20"/>
          <w:szCs w:val="20"/>
        </w:rPr>
        <w:t>:</w:t>
      </w:r>
      <w:r w:rsidRPr="00B35001">
        <w:rPr>
          <w:b/>
          <w:sz w:val="20"/>
          <w:szCs w:val="20"/>
        </w:rPr>
        <w:t xml:space="preserve"> </w:t>
      </w:r>
      <w:r w:rsidR="00720BB7" w:rsidRPr="00720BB7">
        <w:rPr>
          <w:b/>
          <w:sz w:val="20"/>
          <w:szCs w:val="20"/>
          <w:lang w:val="en-GB"/>
        </w:rPr>
        <w:t>The legacy requirement for Klayer1_measurement = 1 is able to be reused for Rel-19 ATG supports antennaArrayType-r18 and does not support [case 4 capability] in FR1.</w:t>
      </w:r>
    </w:p>
    <w:p w14:paraId="59DF5944" w14:textId="1307EA2E" w:rsidR="003B1CC9" w:rsidRPr="003B1CC9" w:rsidRDefault="0080369A" w:rsidP="003B1CC9">
      <w:pPr>
        <w:rPr>
          <w:b/>
          <w:sz w:val="20"/>
          <w:szCs w:val="20"/>
          <w:lang w:val="en-GB"/>
        </w:rPr>
      </w:pPr>
      <w:r w:rsidRPr="0003334B">
        <w:rPr>
          <w:rFonts w:hint="eastAsia"/>
          <w:b/>
          <w:sz w:val="20"/>
          <w:szCs w:val="20"/>
          <w:lang w:val="en-GB"/>
        </w:rPr>
        <w:t>P</w:t>
      </w:r>
      <w:r w:rsidRPr="0003334B">
        <w:rPr>
          <w:b/>
          <w:sz w:val="20"/>
          <w:szCs w:val="20"/>
          <w:lang w:val="en-GB"/>
        </w:rPr>
        <w:t xml:space="preserve">roposal </w:t>
      </w:r>
      <w:r w:rsidR="00C46647">
        <w:rPr>
          <w:b/>
          <w:sz w:val="20"/>
          <w:szCs w:val="20"/>
          <w:lang w:val="en-GB"/>
        </w:rPr>
        <w:t>2</w:t>
      </w:r>
      <w:r w:rsidRPr="0003334B">
        <w:rPr>
          <w:b/>
          <w:sz w:val="20"/>
          <w:szCs w:val="20"/>
          <w:lang w:val="en-GB"/>
        </w:rPr>
        <w:t xml:space="preserve">: </w:t>
      </w:r>
      <w:r w:rsidR="003B1CC9" w:rsidRPr="003B1CC9">
        <w:rPr>
          <w:b/>
          <w:sz w:val="20"/>
          <w:szCs w:val="20"/>
          <w:lang w:val="en-GB"/>
        </w:rPr>
        <w:t>The legacy requirement for Klayer1_measurement = 1 for Rel-19 ATG supports antennaArrayType-r18 and [case 4 capability] in FR1 is needed to be update as:</w:t>
      </w:r>
    </w:p>
    <w:p w14:paraId="68705D11" w14:textId="35F79EBA" w:rsidR="003B1CC9" w:rsidRPr="003B1CC9" w:rsidRDefault="003B1CC9" w:rsidP="003B1CC9">
      <w:pPr>
        <w:rPr>
          <w:bCs/>
          <w:color w:val="FF0000"/>
          <w:sz w:val="20"/>
          <w:szCs w:val="20"/>
          <w:lang w:val="en-GB"/>
        </w:rPr>
      </w:pPr>
      <w:r w:rsidRPr="003B1CC9">
        <w:rPr>
          <w:bCs/>
          <w:color w:val="FF0000"/>
          <w:sz w:val="20"/>
          <w:szCs w:val="20"/>
          <w:lang w:val="en-GB"/>
        </w:rPr>
        <w:t>------------------------------------------------------------Text proposal------------------------------------------------------------------</w:t>
      </w:r>
    </w:p>
    <w:p w14:paraId="39AF4D70" w14:textId="14B5E2FD" w:rsidR="003B1CC9" w:rsidRPr="003B1CC9" w:rsidRDefault="003B1CC9" w:rsidP="001B7CD0">
      <w:pPr>
        <w:ind w:firstLine="420"/>
        <w:rPr>
          <w:b/>
          <w:sz w:val="20"/>
          <w:szCs w:val="20"/>
          <w:lang w:val="en-GB"/>
        </w:rPr>
      </w:pPr>
      <w:r w:rsidRPr="003B1CC9">
        <w:rPr>
          <w:b/>
          <w:sz w:val="20"/>
          <w:szCs w:val="20"/>
          <w:lang w:val="en-GB"/>
        </w:rPr>
        <w:t xml:space="preserve">Klayer1_measurement=1, </w:t>
      </w:r>
    </w:p>
    <w:p w14:paraId="153A899F" w14:textId="77777777" w:rsidR="003B1CC9" w:rsidRPr="003B1CC9" w:rsidRDefault="003B1CC9" w:rsidP="000E1927">
      <w:pPr>
        <w:ind w:left="840" w:hanging="420"/>
        <w:rPr>
          <w:b/>
          <w:sz w:val="20"/>
          <w:szCs w:val="20"/>
          <w:lang w:val="en-GB"/>
        </w:rPr>
      </w:pPr>
      <w:r w:rsidRPr="003B1CC9">
        <w:rPr>
          <w:b/>
          <w:sz w:val="20"/>
          <w:szCs w:val="20"/>
          <w:lang w:val="en-GB"/>
        </w:rPr>
        <w:t>-</w:t>
      </w:r>
      <w:r w:rsidRPr="003B1CC9">
        <w:rPr>
          <w:b/>
          <w:sz w:val="20"/>
          <w:szCs w:val="20"/>
          <w:lang w:val="en-GB"/>
        </w:rPr>
        <w:tab/>
        <w:t>if all of the reference signal configured for RLM, BFD, CBD or L1-RSRP for beam reporting on serving frequency of PCC or SCC that [UE support the case 4 capability] outside measurement gap and fully-overlapped by intra-frequency SMTC occasions of PCC or SCC are not overlapped with any of the SSB symbols and the RSSI symbols, and 1 symbol before each consecutive SSB symbols and the RSSI symbols, and 1 symbol after each consecutive SSB symbols and the RSSI symbols, given that SSB-</w:t>
      </w:r>
      <w:proofErr w:type="spellStart"/>
      <w:r w:rsidRPr="003B1CC9">
        <w:rPr>
          <w:b/>
          <w:sz w:val="20"/>
          <w:szCs w:val="20"/>
          <w:lang w:val="en-GB"/>
        </w:rPr>
        <w:t>ToMeasure</w:t>
      </w:r>
      <w:proofErr w:type="spellEnd"/>
      <w:r w:rsidRPr="003B1CC9">
        <w:rPr>
          <w:b/>
          <w:sz w:val="20"/>
          <w:szCs w:val="20"/>
          <w:lang w:val="en-GB"/>
        </w:rPr>
        <w:t xml:space="preserve"> and SS-RSSI-Measurement are configured, where SSB symbols are indicated by the union set of SSB-</w:t>
      </w:r>
      <w:proofErr w:type="spellStart"/>
      <w:r w:rsidRPr="003B1CC9">
        <w:rPr>
          <w:b/>
          <w:sz w:val="20"/>
          <w:szCs w:val="20"/>
          <w:lang w:val="en-GB"/>
        </w:rPr>
        <w:t>ToMeasure</w:t>
      </w:r>
      <w:proofErr w:type="spellEnd"/>
      <w:r w:rsidRPr="003B1CC9">
        <w:rPr>
          <w:b/>
          <w:sz w:val="20"/>
          <w:szCs w:val="20"/>
          <w:lang w:val="en-GB"/>
        </w:rPr>
        <w:t xml:space="preserve"> from all the configured measurement objects on the same serving carrier which can be merged. and RSSI symbols are indicated by SS-RSSI-Measurement;</w:t>
      </w:r>
    </w:p>
    <w:p w14:paraId="390892AE" w14:textId="79D9DCC6" w:rsidR="0080369A" w:rsidRPr="003B1CC9" w:rsidRDefault="003B1CC9" w:rsidP="003B1CC9">
      <w:pPr>
        <w:rPr>
          <w:bCs/>
          <w:color w:val="FF0000"/>
          <w:sz w:val="20"/>
          <w:szCs w:val="20"/>
          <w:lang w:val="en-GB"/>
        </w:rPr>
      </w:pPr>
      <w:r w:rsidRPr="003B1CC9">
        <w:rPr>
          <w:bCs/>
          <w:color w:val="FF0000"/>
          <w:sz w:val="20"/>
          <w:szCs w:val="20"/>
          <w:lang w:val="en-GB"/>
        </w:rPr>
        <w:t>------------------------------------------------------------Text proposal------------------------------------------------------------------</w:t>
      </w:r>
    </w:p>
    <w:p w14:paraId="551D5B1A" w14:textId="77777777" w:rsidR="0093726F" w:rsidRPr="00F82993" w:rsidRDefault="0093726F" w:rsidP="00FD1206">
      <w:pPr>
        <w:pStyle w:val="1"/>
      </w:pPr>
      <w:r w:rsidRPr="00B26955">
        <w:t>Reference</w:t>
      </w:r>
      <w:r w:rsidRPr="00F82993">
        <w:t>s</w:t>
      </w:r>
    </w:p>
    <w:p w14:paraId="629EFD05" w14:textId="3117B181" w:rsidR="00D33331" w:rsidRPr="0080369A" w:rsidRDefault="00303BA9" w:rsidP="00DF2B92">
      <w:pPr>
        <w:tabs>
          <w:tab w:val="left" w:pos="1985"/>
        </w:tabs>
        <w:rPr>
          <w:sz w:val="20"/>
          <w:szCs w:val="20"/>
        </w:rPr>
      </w:pPr>
      <w:bookmarkStart w:id="2" w:name="_Ref174151459"/>
      <w:bookmarkStart w:id="3" w:name="_Ref189809556"/>
      <w:bookmarkStart w:id="4" w:name="_Ref110778841"/>
      <w:r w:rsidRPr="0080369A">
        <w:rPr>
          <w:sz w:val="20"/>
          <w:szCs w:val="20"/>
        </w:rPr>
        <w:t xml:space="preserve">[1] </w:t>
      </w:r>
      <w:r w:rsidR="00763B82" w:rsidRPr="0080369A">
        <w:rPr>
          <w:sz w:val="20"/>
          <w:szCs w:val="20"/>
        </w:rPr>
        <w:t>R4-</w:t>
      </w:r>
      <w:r w:rsidR="00173559" w:rsidRPr="0080369A">
        <w:rPr>
          <w:sz w:val="20"/>
          <w:szCs w:val="20"/>
        </w:rPr>
        <w:t>250</w:t>
      </w:r>
      <w:r w:rsidR="00DF2B92">
        <w:rPr>
          <w:sz w:val="20"/>
          <w:szCs w:val="20"/>
        </w:rPr>
        <w:t>8263</w:t>
      </w:r>
      <w:r w:rsidR="00763B82" w:rsidRPr="0080369A">
        <w:rPr>
          <w:sz w:val="20"/>
          <w:szCs w:val="20"/>
        </w:rPr>
        <w:t xml:space="preserve"> WF on RRM requirements for </w:t>
      </w:r>
      <w:proofErr w:type="spellStart"/>
      <w:r w:rsidR="00763B82" w:rsidRPr="0080369A">
        <w:rPr>
          <w:sz w:val="20"/>
          <w:szCs w:val="20"/>
        </w:rPr>
        <w:t>NR_ATG_enh</w:t>
      </w:r>
      <w:bookmarkEnd w:id="2"/>
      <w:bookmarkEnd w:id="3"/>
      <w:bookmarkEnd w:id="4"/>
      <w:proofErr w:type="spellEnd"/>
    </w:p>
    <w:sectPr w:rsidR="00D33331" w:rsidRPr="0080369A" w:rsidSect="00A52F6E">
      <w:headerReference w:type="even" r:id="rId10"/>
      <w:footerReference w:type="even" r:id="rId11"/>
      <w:footerReference w:type="default" r:id="rId12"/>
      <w:headerReference w:type="first" r:id="rId13"/>
      <w:footerReference w:type="first" r:id="rId14"/>
      <w:pgSz w:w="11906" w:h="16838"/>
      <w:pgMar w:top="1412" w:right="1196" w:bottom="1140" w:left="1140" w:header="850" w:footer="346"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1E535" w14:textId="77777777" w:rsidR="0005659D" w:rsidRDefault="0005659D">
      <w:r>
        <w:separator/>
      </w:r>
    </w:p>
  </w:endnote>
  <w:endnote w:type="continuationSeparator" w:id="0">
    <w:p w14:paraId="18DFA171" w14:textId="77777777" w:rsidR="0005659D" w:rsidRDefault="0005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55E" w14:textId="77777777" w:rsidR="005B71F0" w:rsidRDefault="005B71F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5776" w14:textId="098A1BAD" w:rsidR="005B71F0" w:rsidRPr="00515F71" w:rsidRDefault="00515F71" w:rsidP="00515F71">
    <w:pPr>
      <w:autoSpaceDE/>
      <w:autoSpaceDN/>
      <w:adjustRightInd/>
      <w:jc w:val="center"/>
      <w:rPr>
        <w:rFonts w:ascii="Arial" w:eastAsia="MS Mincho" w:hAnsi="Arial"/>
        <w:b/>
        <w:i/>
        <w:noProof/>
        <w:snapToGrid/>
        <w:sz w:val="18"/>
        <w:szCs w:val="20"/>
        <w:lang w:eastAsia="en-US"/>
      </w:rPr>
    </w:pPr>
    <w:r w:rsidRPr="00515F71">
      <w:rPr>
        <w:rFonts w:ascii="Arial" w:eastAsia="MS Mincho" w:hAnsi="Arial"/>
        <w:b/>
        <w:i/>
        <w:noProof/>
        <w:snapToGrid/>
        <w:sz w:val="18"/>
        <w:szCs w:val="20"/>
        <w:lang w:eastAsia="en-US"/>
      </w:rPr>
      <w:fldChar w:fldCharType="begin"/>
    </w:r>
    <w:r w:rsidRPr="00515F71">
      <w:rPr>
        <w:rFonts w:ascii="Arial" w:eastAsia="MS Mincho" w:hAnsi="Arial"/>
        <w:b/>
        <w:i/>
        <w:noProof/>
        <w:snapToGrid/>
        <w:sz w:val="18"/>
        <w:szCs w:val="20"/>
        <w:lang w:eastAsia="en-US"/>
      </w:rPr>
      <w:instrText xml:space="preserve">PAGE  </w:instrText>
    </w:r>
    <w:r w:rsidRPr="00515F71">
      <w:rPr>
        <w:rFonts w:ascii="Arial" w:eastAsia="MS Mincho" w:hAnsi="Arial"/>
        <w:b/>
        <w:i/>
        <w:noProof/>
        <w:snapToGrid/>
        <w:sz w:val="18"/>
        <w:szCs w:val="20"/>
        <w:lang w:eastAsia="en-US"/>
      </w:rPr>
      <w:fldChar w:fldCharType="separate"/>
    </w:r>
    <w:r w:rsidRPr="00515F71">
      <w:rPr>
        <w:rFonts w:ascii="Arial" w:eastAsia="MS Mincho" w:hAnsi="Arial"/>
        <w:b/>
        <w:i/>
        <w:noProof/>
        <w:snapToGrid/>
        <w:sz w:val="18"/>
        <w:szCs w:val="20"/>
        <w:lang w:eastAsia="en-US"/>
      </w:rPr>
      <w:t>1</w:t>
    </w:r>
    <w:r w:rsidRPr="00515F71">
      <w:rPr>
        <w:rFonts w:ascii="Arial" w:eastAsia="MS Mincho" w:hAnsi="Arial"/>
        <w:b/>
        <w:i/>
        <w:noProof/>
        <w:snapToGrid/>
        <w:sz w:val="18"/>
        <w:szCs w:val="20"/>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298B" w14:textId="77777777" w:rsidR="005B71F0" w:rsidRDefault="005B71F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64D93" w14:textId="77777777" w:rsidR="0005659D" w:rsidRDefault="0005659D">
      <w:r>
        <w:separator/>
      </w:r>
    </w:p>
  </w:footnote>
  <w:footnote w:type="continuationSeparator" w:id="0">
    <w:p w14:paraId="5AF04F1E" w14:textId="77777777" w:rsidR="0005659D" w:rsidRDefault="00056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04A5" w14:textId="77777777" w:rsidR="005B71F0" w:rsidRDefault="005B71F0">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5AAA" w14:textId="77777777" w:rsidR="005B71F0" w:rsidRDefault="005B71F0">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3546429"/>
    <w:multiLevelType w:val="multilevel"/>
    <w:tmpl w:val="2B6AEED6"/>
    <w:lvl w:ilvl="0">
      <w:start w:val="1"/>
      <w:numFmt w:val="decimal"/>
      <w:pStyle w:val="1"/>
      <w:lvlText w:val="%1"/>
      <w:lvlJc w:val="left"/>
      <w:pPr>
        <w:tabs>
          <w:tab w:val="num" w:pos="432"/>
        </w:tabs>
        <w:ind w:left="432" w:hanging="432"/>
      </w:pPr>
      <w:rPr>
        <w:rFonts w:hint="eastAsia"/>
        <w:lang w:val="en-GB"/>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num>
  <w:num w:numId="4">
    <w:abstractNumId w:val="1"/>
  </w:num>
  <w:num w:numId="5">
    <w:abstractNumId w:val="2"/>
  </w:num>
  <w:num w:numId="6">
    <w:abstractNumId w:val="1"/>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MLMwNbU0MjM2NzBR0lEKTi0uzszPAykwtqgFAG4aZY4tAAAA"/>
  </w:docVars>
  <w:rsids>
    <w:rsidRoot w:val="00D738D3"/>
    <w:rsid w:val="00005D7E"/>
    <w:rsid w:val="000075C0"/>
    <w:rsid w:val="00022C05"/>
    <w:rsid w:val="00023604"/>
    <w:rsid w:val="000309F3"/>
    <w:rsid w:val="00030C71"/>
    <w:rsid w:val="0003334B"/>
    <w:rsid w:val="00033727"/>
    <w:rsid w:val="00034CF2"/>
    <w:rsid w:val="00035469"/>
    <w:rsid w:val="00053895"/>
    <w:rsid w:val="0005659D"/>
    <w:rsid w:val="00071DD2"/>
    <w:rsid w:val="00077E60"/>
    <w:rsid w:val="000841B0"/>
    <w:rsid w:val="00091077"/>
    <w:rsid w:val="00093405"/>
    <w:rsid w:val="000A3359"/>
    <w:rsid w:val="000A69BC"/>
    <w:rsid w:val="000A7AE3"/>
    <w:rsid w:val="000A7DD7"/>
    <w:rsid w:val="000B27CF"/>
    <w:rsid w:val="000B3817"/>
    <w:rsid w:val="000C3C5E"/>
    <w:rsid w:val="000D22BD"/>
    <w:rsid w:val="000D38AE"/>
    <w:rsid w:val="000D6D0A"/>
    <w:rsid w:val="000E1927"/>
    <w:rsid w:val="000E26B2"/>
    <w:rsid w:val="000E26F1"/>
    <w:rsid w:val="000E5691"/>
    <w:rsid w:val="000E5708"/>
    <w:rsid w:val="000E62F3"/>
    <w:rsid w:val="000E7448"/>
    <w:rsid w:val="000E7671"/>
    <w:rsid w:val="000F4470"/>
    <w:rsid w:val="000F44FE"/>
    <w:rsid w:val="000F6E73"/>
    <w:rsid w:val="00103483"/>
    <w:rsid w:val="00103ECD"/>
    <w:rsid w:val="001114C1"/>
    <w:rsid w:val="00114CE9"/>
    <w:rsid w:val="0011679E"/>
    <w:rsid w:val="00120D09"/>
    <w:rsid w:val="001227CC"/>
    <w:rsid w:val="00142750"/>
    <w:rsid w:val="00145837"/>
    <w:rsid w:val="00146296"/>
    <w:rsid w:val="001524FF"/>
    <w:rsid w:val="00152B8F"/>
    <w:rsid w:val="00153043"/>
    <w:rsid w:val="0016015C"/>
    <w:rsid w:val="001629E5"/>
    <w:rsid w:val="00172D86"/>
    <w:rsid w:val="00173559"/>
    <w:rsid w:val="00174492"/>
    <w:rsid w:val="0018248A"/>
    <w:rsid w:val="00182E0C"/>
    <w:rsid w:val="001915D8"/>
    <w:rsid w:val="001942DC"/>
    <w:rsid w:val="001968BB"/>
    <w:rsid w:val="001B08A6"/>
    <w:rsid w:val="001B0EC7"/>
    <w:rsid w:val="001B279F"/>
    <w:rsid w:val="001B7CD0"/>
    <w:rsid w:val="001C3A06"/>
    <w:rsid w:val="001C683D"/>
    <w:rsid w:val="001E1FB7"/>
    <w:rsid w:val="001F6009"/>
    <w:rsid w:val="00201844"/>
    <w:rsid w:val="0020372D"/>
    <w:rsid w:val="002076CA"/>
    <w:rsid w:val="00226DFD"/>
    <w:rsid w:val="002275EF"/>
    <w:rsid w:val="002352E9"/>
    <w:rsid w:val="002576A6"/>
    <w:rsid w:val="00257E27"/>
    <w:rsid w:val="002612DA"/>
    <w:rsid w:val="00264CCF"/>
    <w:rsid w:val="00272999"/>
    <w:rsid w:val="00274DD3"/>
    <w:rsid w:val="002836FB"/>
    <w:rsid w:val="00285179"/>
    <w:rsid w:val="00295986"/>
    <w:rsid w:val="0029746F"/>
    <w:rsid w:val="002A6E69"/>
    <w:rsid w:val="002A73F2"/>
    <w:rsid w:val="002A7604"/>
    <w:rsid w:val="002B1EE8"/>
    <w:rsid w:val="002B2539"/>
    <w:rsid w:val="002C0B13"/>
    <w:rsid w:val="002C5444"/>
    <w:rsid w:val="002C7CE6"/>
    <w:rsid w:val="002D1FA4"/>
    <w:rsid w:val="002D486C"/>
    <w:rsid w:val="002D5C37"/>
    <w:rsid w:val="002D613C"/>
    <w:rsid w:val="002D6EAF"/>
    <w:rsid w:val="002D7291"/>
    <w:rsid w:val="002E21DF"/>
    <w:rsid w:val="002E6ADB"/>
    <w:rsid w:val="002F057B"/>
    <w:rsid w:val="002F0B14"/>
    <w:rsid w:val="002F5A8F"/>
    <w:rsid w:val="002F7653"/>
    <w:rsid w:val="0030102B"/>
    <w:rsid w:val="0030198F"/>
    <w:rsid w:val="00302ED1"/>
    <w:rsid w:val="00302F60"/>
    <w:rsid w:val="00303BA9"/>
    <w:rsid w:val="00304C1A"/>
    <w:rsid w:val="003055E4"/>
    <w:rsid w:val="00307760"/>
    <w:rsid w:val="00310E4A"/>
    <w:rsid w:val="00322726"/>
    <w:rsid w:val="0032430B"/>
    <w:rsid w:val="00325D2E"/>
    <w:rsid w:val="0032646C"/>
    <w:rsid w:val="003307FC"/>
    <w:rsid w:val="00333653"/>
    <w:rsid w:val="00340531"/>
    <w:rsid w:val="0034114A"/>
    <w:rsid w:val="003416E3"/>
    <w:rsid w:val="0034428F"/>
    <w:rsid w:val="00345DAF"/>
    <w:rsid w:val="00346654"/>
    <w:rsid w:val="003508E5"/>
    <w:rsid w:val="00351AAD"/>
    <w:rsid w:val="00353759"/>
    <w:rsid w:val="00360944"/>
    <w:rsid w:val="00366B24"/>
    <w:rsid w:val="00380B22"/>
    <w:rsid w:val="00381BB4"/>
    <w:rsid w:val="003825A0"/>
    <w:rsid w:val="00383073"/>
    <w:rsid w:val="00386811"/>
    <w:rsid w:val="00386D11"/>
    <w:rsid w:val="00386DA0"/>
    <w:rsid w:val="0039049C"/>
    <w:rsid w:val="003905A9"/>
    <w:rsid w:val="003917A3"/>
    <w:rsid w:val="00393E0A"/>
    <w:rsid w:val="003A06CE"/>
    <w:rsid w:val="003B1A6F"/>
    <w:rsid w:val="003B1CC9"/>
    <w:rsid w:val="003B535F"/>
    <w:rsid w:val="003C06A3"/>
    <w:rsid w:val="003C6C19"/>
    <w:rsid w:val="003D4B4A"/>
    <w:rsid w:val="003F0655"/>
    <w:rsid w:val="003F1C59"/>
    <w:rsid w:val="0040525C"/>
    <w:rsid w:val="0040730A"/>
    <w:rsid w:val="00412D04"/>
    <w:rsid w:val="00413920"/>
    <w:rsid w:val="00417C9D"/>
    <w:rsid w:val="00425F62"/>
    <w:rsid w:val="004306E5"/>
    <w:rsid w:val="004369D2"/>
    <w:rsid w:val="00437CCB"/>
    <w:rsid w:val="00441374"/>
    <w:rsid w:val="00454A13"/>
    <w:rsid w:val="00454FE9"/>
    <w:rsid w:val="00455606"/>
    <w:rsid w:val="00456EBF"/>
    <w:rsid w:val="0045724C"/>
    <w:rsid w:val="00467E00"/>
    <w:rsid w:val="004731C1"/>
    <w:rsid w:val="00473C90"/>
    <w:rsid w:val="004744D5"/>
    <w:rsid w:val="004749E1"/>
    <w:rsid w:val="004865DF"/>
    <w:rsid w:val="00487CBA"/>
    <w:rsid w:val="004939D0"/>
    <w:rsid w:val="00496B38"/>
    <w:rsid w:val="00497674"/>
    <w:rsid w:val="004A1659"/>
    <w:rsid w:val="004A5E97"/>
    <w:rsid w:val="004B10C9"/>
    <w:rsid w:val="004C588C"/>
    <w:rsid w:val="004C7ABF"/>
    <w:rsid w:val="004D3166"/>
    <w:rsid w:val="004D6F16"/>
    <w:rsid w:val="004D7D81"/>
    <w:rsid w:val="004E5E5B"/>
    <w:rsid w:val="004E6BC9"/>
    <w:rsid w:val="004F0725"/>
    <w:rsid w:val="004F4CC5"/>
    <w:rsid w:val="004F4D07"/>
    <w:rsid w:val="0050076A"/>
    <w:rsid w:val="00500DBB"/>
    <w:rsid w:val="005015FA"/>
    <w:rsid w:val="0050197F"/>
    <w:rsid w:val="00502010"/>
    <w:rsid w:val="00504A7F"/>
    <w:rsid w:val="005056D1"/>
    <w:rsid w:val="00506248"/>
    <w:rsid w:val="00511D2F"/>
    <w:rsid w:val="00512093"/>
    <w:rsid w:val="00515F71"/>
    <w:rsid w:val="00516454"/>
    <w:rsid w:val="005312F7"/>
    <w:rsid w:val="005449EE"/>
    <w:rsid w:val="00544DB0"/>
    <w:rsid w:val="0055195E"/>
    <w:rsid w:val="00557D5D"/>
    <w:rsid w:val="0056363B"/>
    <w:rsid w:val="00566196"/>
    <w:rsid w:val="00566A37"/>
    <w:rsid w:val="00571BBD"/>
    <w:rsid w:val="00571C43"/>
    <w:rsid w:val="00577411"/>
    <w:rsid w:val="0058138B"/>
    <w:rsid w:val="00581512"/>
    <w:rsid w:val="00597504"/>
    <w:rsid w:val="005A07B0"/>
    <w:rsid w:val="005A195E"/>
    <w:rsid w:val="005A7FF9"/>
    <w:rsid w:val="005B71F0"/>
    <w:rsid w:val="005C1BDB"/>
    <w:rsid w:val="005C4FCC"/>
    <w:rsid w:val="005D4522"/>
    <w:rsid w:val="005E0C71"/>
    <w:rsid w:val="005E0E8B"/>
    <w:rsid w:val="005E6A66"/>
    <w:rsid w:val="005F3258"/>
    <w:rsid w:val="005F6B63"/>
    <w:rsid w:val="0060221D"/>
    <w:rsid w:val="00602DA5"/>
    <w:rsid w:val="00603964"/>
    <w:rsid w:val="006058DE"/>
    <w:rsid w:val="00610248"/>
    <w:rsid w:val="00613B6A"/>
    <w:rsid w:val="00617138"/>
    <w:rsid w:val="006172AA"/>
    <w:rsid w:val="00634265"/>
    <w:rsid w:val="00634BF0"/>
    <w:rsid w:val="006353FC"/>
    <w:rsid w:val="00637644"/>
    <w:rsid w:val="00640D0E"/>
    <w:rsid w:val="006426E6"/>
    <w:rsid w:val="006514B8"/>
    <w:rsid w:val="00653043"/>
    <w:rsid w:val="00655A20"/>
    <w:rsid w:val="006611A1"/>
    <w:rsid w:val="00670109"/>
    <w:rsid w:val="0067202A"/>
    <w:rsid w:val="00681671"/>
    <w:rsid w:val="00685031"/>
    <w:rsid w:val="00685E95"/>
    <w:rsid w:val="006876A2"/>
    <w:rsid w:val="006876C8"/>
    <w:rsid w:val="00693EBC"/>
    <w:rsid w:val="0069459F"/>
    <w:rsid w:val="006947BE"/>
    <w:rsid w:val="006B104E"/>
    <w:rsid w:val="006B4867"/>
    <w:rsid w:val="006B799E"/>
    <w:rsid w:val="006C0DB0"/>
    <w:rsid w:val="006C6B86"/>
    <w:rsid w:val="006D7239"/>
    <w:rsid w:val="006E3040"/>
    <w:rsid w:val="006F0545"/>
    <w:rsid w:val="006F0D09"/>
    <w:rsid w:val="006F3DD7"/>
    <w:rsid w:val="00701B0D"/>
    <w:rsid w:val="0070764E"/>
    <w:rsid w:val="0071472E"/>
    <w:rsid w:val="00717F0A"/>
    <w:rsid w:val="00720BB7"/>
    <w:rsid w:val="0072543E"/>
    <w:rsid w:val="00727857"/>
    <w:rsid w:val="00730E17"/>
    <w:rsid w:val="007354CA"/>
    <w:rsid w:val="00744F2F"/>
    <w:rsid w:val="0075012D"/>
    <w:rsid w:val="007567DD"/>
    <w:rsid w:val="00757F00"/>
    <w:rsid w:val="00763536"/>
    <w:rsid w:val="00763B82"/>
    <w:rsid w:val="00764D1B"/>
    <w:rsid w:val="00767CBB"/>
    <w:rsid w:val="00775BB5"/>
    <w:rsid w:val="00780144"/>
    <w:rsid w:val="007903B7"/>
    <w:rsid w:val="007A6E3F"/>
    <w:rsid w:val="007B12E7"/>
    <w:rsid w:val="007B7623"/>
    <w:rsid w:val="007C3794"/>
    <w:rsid w:val="007D19F3"/>
    <w:rsid w:val="007D3C10"/>
    <w:rsid w:val="007D5521"/>
    <w:rsid w:val="007E07AD"/>
    <w:rsid w:val="007E584E"/>
    <w:rsid w:val="007F1857"/>
    <w:rsid w:val="00802617"/>
    <w:rsid w:val="00802AD0"/>
    <w:rsid w:val="00803047"/>
    <w:rsid w:val="0080369A"/>
    <w:rsid w:val="0080509D"/>
    <w:rsid w:val="008060AD"/>
    <w:rsid w:val="00816146"/>
    <w:rsid w:val="0082145F"/>
    <w:rsid w:val="0082330E"/>
    <w:rsid w:val="00825B41"/>
    <w:rsid w:val="00826288"/>
    <w:rsid w:val="00826510"/>
    <w:rsid w:val="00830A77"/>
    <w:rsid w:val="00837F01"/>
    <w:rsid w:val="00842C68"/>
    <w:rsid w:val="00852519"/>
    <w:rsid w:val="00853838"/>
    <w:rsid w:val="00853E0B"/>
    <w:rsid w:val="00854E7A"/>
    <w:rsid w:val="00865891"/>
    <w:rsid w:val="00867ECB"/>
    <w:rsid w:val="00872413"/>
    <w:rsid w:val="00882C26"/>
    <w:rsid w:val="008870C2"/>
    <w:rsid w:val="00891E30"/>
    <w:rsid w:val="008A3E48"/>
    <w:rsid w:val="008B6C01"/>
    <w:rsid w:val="008C1DBE"/>
    <w:rsid w:val="008C2373"/>
    <w:rsid w:val="008C281E"/>
    <w:rsid w:val="008C2A82"/>
    <w:rsid w:val="008C2C16"/>
    <w:rsid w:val="008C770B"/>
    <w:rsid w:val="008C7782"/>
    <w:rsid w:val="008D2B1F"/>
    <w:rsid w:val="008E0D27"/>
    <w:rsid w:val="008E1DA0"/>
    <w:rsid w:val="008E4712"/>
    <w:rsid w:val="008E522D"/>
    <w:rsid w:val="008E71CC"/>
    <w:rsid w:val="008E75B9"/>
    <w:rsid w:val="008F0402"/>
    <w:rsid w:val="008F3648"/>
    <w:rsid w:val="008F5015"/>
    <w:rsid w:val="008F5DE0"/>
    <w:rsid w:val="00911660"/>
    <w:rsid w:val="00914B64"/>
    <w:rsid w:val="0091597A"/>
    <w:rsid w:val="00916510"/>
    <w:rsid w:val="0092536A"/>
    <w:rsid w:val="0092719C"/>
    <w:rsid w:val="00927864"/>
    <w:rsid w:val="00933AD2"/>
    <w:rsid w:val="0093726F"/>
    <w:rsid w:val="00943ADC"/>
    <w:rsid w:val="009452DE"/>
    <w:rsid w:val="00945653"/>
    <w:rsid w:val="009547A8"/>
    <w:rsid w:val="009677DC"/>
    <w:rsid w:val="00974FB5"/>
    <w:rsid w:val="00976F6D"/>
    <w:rsid w:val="00982818"/>
    <w:rsid w:val="009873BE"/>
    <w:rsid w:val="00991ADA"/>
    <w:rsid w:val="00994DDD"/>
    <w:rsid w:val="00997AF0"/>
    <w:rsid w:val="00997C42"/>
    <w:rsid w:val="009A5675"/>
    <w:rsid w:val="009B3B6F"/>
    <w:rsid w:val="009B6E2A"/>
    <w:rsid w:val="009B6EB6"/>
    <w:rsid w:val="009B7487"/>
    <w:rsid w:val="009C1A82"/>
    <w:rsid w:val="009C53EF"/>
    <w:rsid w:val="009C5B7B"/>
    <w:rsid w:val="009D4475"/>
    <w:rsid w:val="009D7A54"/>
    <w:rsid w:val="009E1042"/>
    <w:rsid w:val="00A016A6"/>
    <w:rsid w:val="00A036C7"/>
    <w:rsid w:val="00A03803"/>
    <w:rsid w:val="00A06DA2"/>
    <w:rsid w:val="00A10A64"/>
    <w:rsid w:val="00A1117D"/>
    <w:rsid w:val="00A11300"/>
    <w:rsid w:val="00A131C6"/>
    <w:rsid w:val="00A139DE"/>
    <w:rsid w:val="00A13F53"/>
    <w:rsid w:val="00A318A5"/>
    <w:rsid w:val="00A45CCD"/>
    <w:rsid w:val="00A52F6E"/>
    <w:rsid w:val="00A70602"/>
    <w:rsid w:val="00A71296"/>
    <w:rsid w:val="00A778AE"/>
    <w:rsid w:val="00A84702"/>
    <w:rsid w:val="00A84B46"/>
    <w:rsid w:val="00A910EB"/>
    <w:rsid w:val="00A921F7"/>
    <w:rsid w:val="00AA0A3B"/>
    <w:rsid w:val="00AA6AC6"/>
    <w:rsid w:val="00AC589E"/>
    <w:rsid w:val="00AD3BCF"/>
    <w:rsid w:val="00AD797A"/>
    <w:rsid w:val="00AE021F"/>
    <w:rsid w:val="00AE58DF"/>
    <w:rsid w:val="00AE710D"/>
    <w:rsid w:val="00B00A93"/>
    <w:rsid w:val="00B0665B"/>
    <w:rsid w:val="00B17CCA"/>
    <w:rsid w:val="00B2549C"/>
    <w:rsid w:val="00B26955"/>
    <w:rsid w:val="00B26A35"/>
    <w:rsid w:val="00B333EC"/>
    <w:rsid w:val="00B339FE"/>
    <w:rsid w:val="00B35001"/>
    <w:rsid w:val="00B35E65"/>
    <w:rsid w:val="00B401BD"/>
    <w:rsid w:val="00B41E79"/>
    <w:rsid w:val="00B431D7"/>
    <w:rsid w:val="00B4386F"/>
    <w:rsid w:val="00B50ECE"/>
    <w:rsid w:val="00B54C1F"/>
    <w:rsid w:val="00B57BA6"/>
    <w:rsid w:val="00B6046D"/>
    <w:rsid w:val="00B620F4"/>
    <w:rsid w:val="00B6360C"/>
    <w:rsid w:val="00B65C7C"/>
    <w:rsid w:val="00B67479"/>
    <w:rsid w:val="00B74BA6"/>
    <w:rsid w:val="00B82F33"/>
    <w:rsid w:val="00B83414"/>
    <w:rsid w:val="00B83AD1"/>
    <w:rsid w:val="00B84F89"/>
    <w:rsid w:val="00B85918"/>
    <w:rsid w:val="00B90991"/>
    <w:rsid w:val="00B977EC"/>
    <w:rsid w:val="00BA05F6"/>
    <w:rsid w:val="00BA46B0"/>
    <w:rsid w:val="00BA4895"/>
    <w:rsid w:val="00BA6906"/>
    <w:rsid w:val="00BB170C"/>
    <w:rsid w:val="00BB431E"/>
    <w:rsid w:val="00BB501E"/>
    <w:rsid w:val="00BC13D8"/>
    <w:rsid w:val="00BC3C4A"/>
    <w:rsid w:val="00BC449E"/>
    <w:rsid w:val="00BC4D08"/>
    <w:rsid w:val="00BC6B4B"/>
    <w:rsid w:val="00BD4EE1"/>
    <w:rsid w:val="00BD612D"/>
    <w:rsid w:val="00BE11C7"/>
    <w:rsid w:val="00BE22D8"/>
    <w:rsid w:val="00BE3A73"/>
    <w:rsid w:val="00BE4FC4"/>
    <w:rsid w:val="00BF17CC"/>
    <w:rsid w:val="00C0313B"/>
    <w:rsid w:val="00C1017D"/>
    <w:rsid w:val="00C10868"/>
    <w:rsid w:val="00C14768"/>
    <w:rsid w:val="00C160E5"/>
    <w:rsid w:val="00C216AC"/>
    <w:rsid w:val="00C24C5B"/>
    <w:rsid w:val="00C27AF6"/>
    <w:rsid w:val="00C31AAE"/>
    <w:rsid w:val="00C331B3"/>
    <w:rsid w:val="00C36548"/>
    <w:rsid w:val="00C42465"/>
    <w:rsid w:val="00C46647"/>
    <w:rsid w:val="00C500F1"/>
    <w:rsid w:val="00C53AFA"/>
    <w:rsid w:val="00C545AC"/>
    <w:rsid w:val="00C56887"/>
    <w:rsid w:val="00C72F07"/>
    <w:rsid w:val="00C73DFA"/>
    <w:rsid w:val="00C7691E"/>
    <w:rsid w:val="00C776A7"/>
    <w:rsid w:val="00C83C3B"/>
    <w:rsid w:val="00C84D7C"/>
    <w:rsid w:val="00C911EF"/>
    <w:rsid w:val="00C94CF7"/>
    <w:rsid w:val="00CA0E12"/>
    <w:rsid w:val="00CA1FC8"/>
    <w:rsid w:val="00CA4E25"/>
    <w:rsid w:val="00CA7310"/>
    <w:rsid w:val="00CB7D60"/>
    <w:rsid w:val="00CC2A75"/>
    <w:rsid w:val="00CD1906"/>
    <w:rsid w:val="00CD1C80"/>
    <w:rsid w:val="00CE04B2"/>
    <w:rsid w:val="00CE31E1"/>
    <w:rsid w:val="00CE4774"/>
    <w:rsid w:val="00CE5B0F"/>
    <w:rsid w:val="00CF3D80"/>
    <w:rsid w:val="00CF3E40"/>
    <w:rsid w:val="00CF7063"/>
    <w:rsid w:val="00D0059A"/>
    <w:rsid w:val="00D00658"/>
    <w:rsid w:val="00D0149D"/>
    <w:rsid w:val="00D054AC"/>
    <w:rsid w:val="00D14EBB"/>
    <w:rsid w:val="00D15F06"/>
    <w:rsid w:val="00D16C4C"/>
    <w:rsid w:val="00D20760"/>
    <w:rsid w:val="00D2713D"/>
    <w:rsid w:val="00D33331"/>
    <w:rsid w:val="00D33B4A"/>
    <w:rsid w:val="00D34032"/>
    <w:rsid w:val="00D63AA3"/>
    <w:rsid w:val="00D738D3"/>
    <w:rsid w:val="00D73E21"/>
    <w:rsid w:val="00D7695E"/>
    <w:rsid w:val="00D81E05"/>
    <w:rsid w:val="00D84009"/>
    <w:rsid w:val="00D87114"/>
    <w:rsid w:val="00DA08AD"/>
    <w:rsid w:val="00DA2D2B"/>
    <w:rsid w:val="00DA7B5D"/>
    <w:rsid w:val="00DB22AB"/>
    <w:rsid w:val="00DB50A7"/>
    <w:rsid w:val="00DB5C2C"/>
    <w:rsid w:val="00DB7DDC"/>
    <w:rsid w:val="00DC56EB"/>
    <w:rsid w:val="00DC58A6"/>
    <w:rsid w:val="00DD268A"/>
    <w:rsid w:val="00DD5666"/>
    <w:rsid w:val="00DD6C54"/>
    <w:rsid w:val="00DE713D"/>
    <w:rsid w:val="00DF1542"/>
    <w:rsid w:val="00DF2B92"/>
    <w:rsid w:val="00E03651"/>
    <w:rsid w:val="00E10135"/>
    <w:rsid w:val="00E12495"/>
    <w:rsid w:val="00E16574"/>
    <w:rsid w:val="00E25673"/>
    <w:rsid w:val="00E306C8"/>
    <w:rsid w:val="00E323F0"/>
    <w:rsid w:val="00E33AC5"/>
    <w:rsid w:val="00E45C77"/>
    <w:rsid w:val="00E52650"/>
    <w:rsid w:val="00E5797D"/>
    <w:rsid w:val="00E6027F"/>
    <w:rsid w:val="00E64649"/>
    <w:rsid w:val="00E6506F"/>
    <w:rsid w:val="00E668E3"/>
    <w:rsid w:val="00E6709C"/>
    <w:rsid w:val="00E720E3"/>
    <w:rsid w:val="00E721E8"/>
    <w:rsid w:val="00E7459E"/>
    <w:rsid w:val="00E81660"/>
    <w:rsid w:val="00E81B65"/>
    <w:rsid w:val="00E85F2A"/>
    <w:rsid w:val="00E87D2F"/>
    <w:rsid w:val="00E87D6C"/>
    <w:rsid w:val="00E9153B"/>
    <w:rsid w:val="00EA0DD2"/>
    <w:rsid w:val="00EA14FE"/>
    <w:rsid w:val="00EA4EA7"/>
    <w:rsid w:val="00EA6160"/>
    <w:rsid w:val="00EB0D99"/>
    <w:rsid w:val="00EB12A6"/>
    <w:rsid w:val="00EB3359"/>
    <w:rsid w:val="00EB7D59"/>
    <w:rsid w:val="00EC2BE9"/>
    <w:rsid w:val="00EC35A6"/>
    <w:rsid w:val="00EC5E3B"/>
    <w:rsid w:val="00EC6864"/>
    <w:rsid w:val="00EC6936"/>
    <w:rsid w:val="00ED23B4"/>
    <w:rsid w:val="00ED2E53"/>
    <w:rsid w:val="00ED3F2D"/>
    <w:rsid w:val="00ED4ABF"/>
    <w:rsid w:val="00EE0755"/>
    <w:rsid w:val="00EE2438"/>
    <w:rsid w:val="00EE58DB"/>
    <w:rsid w:val="00EF27BB"/>
    <w:rsid w:val="00EF5258"/>
    <w:rsid w:val="00EF672A"/>
    <w:rsid w:val="00F10902"/>
    <w:rsid w:val="00F152DC"/>
    <w:rsid w:val="00F1684B"/>
    <w:rsid w:val="00F22AAE"/>
    <w:rsid w:val="00F35605"/>
    <w:rsid w:val="00F378F4"/>
    <w:rsid w:val="00F41B0D"/>
    <w:rsid w:val="00F5258D"/>
    <w:rsid w:val="00F60D1A"/>
    <w:rsid w:val="00F6735A"/>
    <w:rsid w:val="00F707A5"/>
    <w:rsid w:val="00F72A96"/>
    <w:rsid w:val="00F732EC"/>
    <w:rsid w:val="00F82993"/>
    <w:rsid w:val="00F8313D"/>
    <w:rsid w:val="00F8335F"/>
    <w:rsid w:val="00F836DA"/>
    <w:rsid w:val="00F839F8"/>
    <w:rsid w:val="00F85C80"/>
    <w:rsid w:val="00F863F4"/>
    <w:rsid w:val="00F87C29"/>
    <w:rsid w:val="00F90315"/>
    <w:rsid w:val="00F933E1"/>
    <w:rsid w:val="00F94BFA"/>
    <w:rsid w:val="00F96DFA"/>
    <w:rsid w:val="00FA1734"/>
    <w:rsid w:val="00FA2880"/>
    <w:rsid w:val="00FA35ED"/>
    <w:rsid w:val="00FB35D8"/>
    <w:rsid w:val="00FB603E"/>
    <w:rsid w:val="00FB79A4"/>
    <w:rsid w:val="00FC40D6"/>
    <w:rsid w:val="00FC5175"/>
    <w:rsid w:val="00FC6AE8"/>
    <w:rsid w:val="00FC7591"/>
    <w:rsid w:val="00FD1206"/>
    <w:rsid w:val="00FD6634"/>
    <w:rsid w:val="00FE32C1"/>
    <w:rsid w:val="00FF4D8B"/>
    <w:rsid w:val="00FF70C6"/>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BB819"/>
  <w15:chartTrackingRefBased/>
  <w15:docId w15:val="{970AB990-A097-4974-865A-4F1D869B0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46647"/>
    <w:pPr>
      <w:widowControl w:val="0"/>
      <w:autoSpaceDE w:val="0"/>
      <w:autoSpaceDN w:val="0"/>
      <w:adjustRightInd w:val="0"/>
      <w:spacing w:after="120"/>
      <w:jc w:val="both"/>
    </w:pPr>
    <w:rPr>
      <w:snapToGrid w:val="0"/>
      <w:sz w:val="24"/>
      <w:szCs w:val="21"/>
    </w:rPr>
  </w:style>
  <w:style w:type="paragraph" w:styleId="1">
    <w:name w:val="heading 1"/>
    <w:next w:val="2"/>
    <w:link w:val="10"/>
    <w:qFormat/>
    <w:rsid w:val="00FD1206"/>
    <w:pPr>
      <w:keepNext/>
      <w:numPr>
        <w:numId w:val="2"/>
      </w:numPr>
      <w:pBdr>
        <w:top w:val="single" w:sz="12" w:space="1" w:color="auto"/>
      </w:pBdr>
      <w:spacing w:before="120" w:after="120"/>
      <w:jc w:val="both"/>
      <w:outlineLvl w:val="0"/>
    </w:pPr>
    <w:rPr>
      <w:rFonts w:ascii="Arial" w:eastAsia="黑体" w:hAnsi="Arial"/>
      <w:b/>
      <w:sz w:val="32"/>
      <w:szCs w:val="32"/>
    </w:rPr>
  </w:style>
  <w:style w:type="paragraph" w:styleId="2">
    <w:name w:val="heading 2"/>
    <w:next w:val="a1"/>
    <w:qFormat/>
    <w:pPr>
      <w:keepNext/>
      <w:numPr>
        <w:ilvl w:val="1"/>
        <w:numId w:val="3"/>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
      </w:numPr>
      <w:autoSpaceDE/>
      <w:autoSpaceDN/>
      <w:adjustRightInd/>
      <w:spacing w:before="260" w:after="260" w:line="416" w:lineRule="auto"/>
      <w:outlineLvl w:val="2"/>
    </w:pPr>
    <w:rPr>
      <w:rFonts w:eastAsia="黑体"/>
      <w:bCs/>
      <w:kern w:val="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basedOn w:val="a1"/>
    <w:link w:val="af6"/>
    <w:uiPriority w:val="34"/>
    <w:qFormat/>
    <w:rsid w:val="0075012D"/>
    <w:pPr>
      <w:ind w:firstLineChars="200" w:firstLine="420"/>
    </w:pPr>
  </w:style>
  <w:style w:type="paragraph" w:customStyle="1" w:styleId="3GPPHeader">
    <w:name w:val="3GPP_Header"/>
    <w:basedOn w:val="a1"/>
    <w:rsid w:val="00D738D3"/>
    <w:pPr>
      <w:tabs>
        <w:tab w:val="left" w:pos="1701"/>
        <w:tab w:val="right" w:pos="9639"/>
      </w:tabs>
      <w:spacing w:after="240"/>
    </w:pPr>
    <w:rPr>
      <w:b/>
    </w:rPr>
  </w:style>
  <w:style w:type="character" w:customStyle="1" w:styleId="10">
    <w:name w:val="标题 1 字符"/>
    <w:link w:val="1"/>
    <w:rsid w:val="00FD1206"/>
    <w:rPr>
      <w:rFonts w:ascii="Arial" w:eastAsia="黑体" w:hAnsi="Arial"/>
      <w:b/>
      <w:sz w:val="32"/>
      <w:szCs w:val="32"/>
    </w:rPr>
  </w:style>
  <w:style w:type="character" w:styleId="af7">
    <w:name w:val="annotation reference"/>
    <w:basedOn w:val="a2"/>
    <w:uiPriority w:val="99"/>
    <w:semiHidden/>
    <w:unhideWhenUsed/>
    <w:rsid w:val="001915D8"/>
    <w:rPr>
      <w:sz w:val="21"/>
      <w:szCs w:val="21"/>
    </w:rPr>
  </w:style>
  <w:style w:type="paragraph" w:styleId="af8">
    <w:name w:val="annotation text"/>
    <w:basedOn w:val="a1"/>
    <w:link w:val="af9"/>
    <w:uiPriority w:val="99"/>
    <w:semiHidden/>
    <w:unhideWhenUsed/>
    <w:rsid w:val="001915D8"/>
    <w:pPr>
      <w:jc w:val="left"/>
    </w:pPr>
  </w:style>
  <w:style w:type="character" w:customStyle="1" w:styleId="af9">
    <w:name w:val="批注文字 字符"/>
    <w:basedOn w:val="a2"/>
    <w:link w:val="af8"/>
    <w:uiPriority w:val="99"/>
    <w:semiHidden/>
    <w:rsid w:val="001915D8"/>
    <w:rPr>
      <w:snapToGrid w:val="0"/>
      <w:sz w:val="21"/>
      <w:szCs w:val="21"/>
    </w:rPr>
  </w:style>
  <w:style w:type="paragraph" w:styleId="afa">
    <w:name w:val="annotation subject"/>
    <w:basedOn w:val="af8"/>
    <w:next w:val="af8"/>
    <w:link w:val="afb"/>
    <w:semiHidden/>
    <w:unhideWhenUsed/>
    <w:rsid w:val="001915D8"/>
    <w:rPr>
      <w:b/>
      <w:bCs/>
    </w:rPr>
  </w:style>
  <w:style w:type="character" w:customStyle="1" w:styleId="afb">
    <w:name w:val="批注主题 字符"/>
    <w:basedOn w:val="af9"/>
    <w:link w:val="afa"/>
    <w:semiHidden/>
    <w:rsid w:val="001915D8"/>
    <w:rPr>
      <w:b/>
      <w:bCs/>
      <w:snapToGrid w:val="0"/>
      <w:sz w:val="21"/>
      <w:szCs w:val="21"/>
    </w:rPr>
  </w:style>
  <w:style w:type="paragraph" w:styleId="afc">
    <w:name w:val="No Spacing"/>
    <w:uiPriority w:val="1"/>
    <w:qFormat/>
    <w:rsid w:val="008E1DA0"/>
    <w:pPr>
      <w:widowControl w:val="0"/>
      <w:autoSpaceDE w:val="0"/>
      <w:autoSpaceDN w:val="0"/>
      <w:adjustRightInd w:val="0"/>
      <w:jc w:val="both"/>
    </w:pPr>
    <w:rPr>
      <w:snapToGrid w:val="0"/>
      <w:sz w:val="21"/>
      <w:szCs w:val="21"/>
    </w:rPr>
  </w:style>
  <w:style w:type="character" w:customStyle="1" w:styleId="af6">
    <w:name w:val="列表段落 字符"/>
    <w:link w:val="af5"/>
    <w:uiPriority w:val="34"/>
    <w:qFormat/>
    <w:locked/>
    <w:rsid w:val="00F863F4"/>
    <w:rPr>
      <w:snapToGrid w:val="0"/>
      <w:sz w:val="21"/>
      <w:szCs w:val="21"/>
    </w:rPr>
  </w:style>
  <w:style w:type="paragraph" w:customStyle="1" w:styleId="B1">
    <w:name w:val="B1"/>
    <w:basedOn w:val="afd"/>
    <w:link w:val="B1Char"/>
    <w:rsid w:val="00DB7DDC"/>
    <w:pPr>
      <w:widowControl/>
      <w:overflowPunct w:val="0"/>
      <w:spacing w:after="180"/>
      <w:ind w:left="568" w:firstLineChars="0" w:hanging="284"/>
      <w:contextualSpacing w:val="0"/>
      <w:jc w:val="left"/>
      <w:textAlignment w:val="baseline"/>
    </w:pPr>
    <w:rPr>
      <w:rFonts w:eastAsia="Times New Roman"/>
      <w:snapToGrid/>
      <w:sz w:val="20"/>
      <w:szCs w:val="20"/>
      <w:lang w:val="en-GB" w:eastAsia="en-GB"/>
    </w:rPr>
  </w:style>
  <w:style w:type="character" w:customStyle="1" w:styleId="B1Char">
    <w:name w:val="B1 Char"/>
    <w:link w:val="B1"/>
    <w:qFormat/>
    <w:rsid w:val="00DB7DDC"/>
    <w:rPr>
      <w:rFonts w:eastAsia="Times New Roman"/>
      <w:lang w:val="en-GB" w:eastAsia="en-GB"/>
    </w:rPr>
  </w:style>
  <w:style w:type="paragraph" w:styleId="afd">
    <w:name w:val="List"/>
    <w:basedOn w:val="a1"/>
    <w:semiHidden/>
    <w:unhideWhenUsed/>
    <w:rsid w:val="00DB7DDC"/>
    <w:pPr>
      <w:ind w:left="200" w:hangingChars="200" w:hanging="200"/>
      <w:contextualSpacing/>
    </w:pPr>
  </w:style>
  <w:style w:type="character" w:customStyle="1" w:styleId="TACChar">
    <w:name w:val="TAC Char"/>
    <w:link w:val="TAC"/>
    <w:qFormat/>
    <w:locked/>
    <w:rsid w:val="00455606"/>
    <w:rPr>
      <w:rFonts w:ascii="Arial" w:eastAsia="Times New Roman" w:hAnsi="Arial" w:cs="Arial"/>
      <w:sz w:val="18"/>
      <w:lang w:eastAsia="en-GB"/>
    </w:rPr>
  </w:style>
  <w:style w:type="paragraph" w:customStyle="1" w:styleId="TAC">
    <w:name w:val="TAC"/>
    <w:basedOn w:val="a1"/>
    <w:link w:val="TACChar"/>
    <w:rsid w:val="00455606"/>
    <w:pPr>
      <w:keepNext/>
      <w:keepLines/>
      <w:widowControl/>
      <w:overflowPunct w:val="0"/>
      <w:spacing w:after="0"/>
      <w:jc w:val="center"/>
    </w:pPr>
    <w:rPr>
      <w:rFonts w:ascii="Arial" w:eastAsia="Times New Roman" w:hAnsi="Arial" w:cs="Arial"/>
      <w:snapToGrid/>
      <w:sz w:val="18"/>
      <w:szCs w:val="20"/>
      <w:lang w:eastAsia="en-GB"/>
    </w:rPr>
  </w:style>
  <w:style w:type="character" w:customStyle="1" w:styleId="TANChar">
    <w:name w:val="TAN Char"/>
    <w:link w:val="TAN"/>
    <w:qFormat/>
    <w:locked/>
    <w:rsid w:val="00455606"/>
    <w:rPr>
      <w:rFonts w:ascii="Arial" w:eastAsia="Times New Roman" w:hAnsi="Arial" w:cs="Arial"/>
      <w:sz w:val="18"/>
      <w:lang w:eastAsia="en-GB"/>
    </w:rPr>
  </w:style>
  <w:style w:type="paragraph" w:customStyle="1" w:styleId="TAN">
    <w:name w:val="TAN"/>
    <w:basedOn w:val="a1"/>
    <w:link w:val="TANChar"/>
    <w:rsid w:val="00455606"/>
    <w:pPr>
      <w:keepNext/>
      <w:keepLines/>
      <w:widowControl/>
      <w:overflowPunct w:val="0"/>
      <w:spacing w:after="0"/>
      <w:ind w:left="851" w:hanging="851"/>
      <w:jc w:val="left"/>
    </w:pPr>
    <w:rPr>
      <w:rFonts w:ascii="Arial" w:eastAsia="Times New Roman" w:hAnsi="Arial" w:cs="Arial"/>
      <w:snapToGrid/>
      <w:sz w:val="18"/>
      <w:szCs w:val="20"/>
      <w:lang w:eastAsia="en-GB"/>
    </w:rPr>
  </w:style>
  <w:style w:type="paragraph" w:customStyle="1" w:styleId="TAH">
    <w:name w:val="TAH"/>
    <w:basedOn w:val="TAC"/>
    <w:link w:val="TAHCar"/>
    <w:rsid w:val="00455606"/>
    <w:rPr>
      <w:b/>
    </w:rPr>
  </w:style>
  <w:style w:type="character" w:customStyle="1" w:styleId="TAHCar">
    <w:name w:val="TAH Car"/>
    <w:link w:val="TAH"/>
    <w:qFormat/>
    <w:locked/>
    <w:rsid w:val="00455606"/>
    <w:rPr>
      <w:rFonts w:ascii="Arial" w:eastAsia="Times New Roman" w:hAnsi="Arial" w:cs="Arial"/>
      <w:b/>
      <w:sz w:val="18"/>
      <w:lang w:eastAsia="en-GB"/>
    </w:rPr>
  </w:style>
  <w:style w:type="character" w:customStyle="1" w:styleId="katex-mathml">
    <w:name w:val="katex-mathml"/>
    <w:basedOn w:val="a2"/>
    <w:rsid w:val="005A195E"/>
  </w:style>
  <w:style w:type="character" w:customStyle="1" w:styleId="mord">
    <w:name w:val="mord"/>
    <w:basedOn w:val="a2"/>
    <w:rsid w:val="005A195E"/>
  </w:style>
  <w:style w:type="paragraph" w:styleId="afe">
    <w:name w:val="caption"/>
    <w:basedOn w:val="a1"/>
    <w:next w:val="a1"/>
    <w:unhideWhenUsed/>
    <w:qFormat/>
    <w:rsid w:val="00C84D7C"/>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51771">
      <w:bodyDiv w:val="1"/>
      <w:marLeft w:val="0"/>
      <w:marRight w:val="0"/>
      <w:marTop w:val="0"/>
      <w:marBottom w:val="0"/>
      <w:divBdr>
        <w:top w:val="none" w:sz="0" w:space="0" w:color="auto"/>
        <w:left w:val="none" w:sz="0" w:space="0" w:color="auto"/>
        <w:bottom w:val="none" w:sz="0" w:space="0" w:color="auto"/>
        <w:right w:val="none" w:sz="0" w:space="0" w:color="auto"/>
      </w:divBdr>
    </w:div>
    <w:div w:id="82069328">
      <w:bodyDiv w:val="1"/>
      <w:marLeft w:val="0"/>
      <w:marRight w:val="0"/>
      <w:marTop w:val="0"/>
      <w:marBottom w:val="0"/>
      <w:divBdr>
        <w:top w:val="none" w:sz="0" w:space="0" w:color="auto"/>
        <w:left w:val="none" w:sz="0" w:space="0" w:color="auto"/>
        <w:bottom w:val="none" w:sz="0" w:space="0" w:color="auto"/>
        <w:right w:val="none" w:sz="0" w:space="0" w:color="auto"/>
      </w:divBdr>
    </w:div>
    <w:div w:id="99301371">
      <w:bodyDiv w:val="1"/>
      <w:marLeft w:val="0"/>
      <w:marRight w:val="0"/>
      <w:marTop w:val="0"/>
      <w:marBottom w:val="0"/>
      <w:divBdr>
        <w:top w:val="none" w:sz="0" w:space="0" w:color="auto"/>
        <w:left w:val="none" w:sz="0" w:space="0" w:color="auto"/>
        <w:bottom w:val="none" w:sz="0" w:space="0" w:color="auto"/>
        <w:right w:val="none" w:sz="0" w:space="0" w:color="auto"/>
      </w:divBdr>
    </w:div>
    <w:div w:id="187135984">
      <w:bodyDiv w:val="1"/>
      <w:marLeft w:val="0"/>
      <w:marRight w:val="0"/>
      <w:marTop w:val="0"/>
      <w:marBottom w:val="0"/>
      <w:divBdr>
        <w:top w:val="none" w:sz="0" w:space="0" w:color="auto"/>
        <w:left w:val="none" w:sz="0" w:space="0" w:color="auto"/>
        <w:bottom w:val="none" w:sz="0" w:space="0" w:color="auto"/>
        <w:right w:val="none" w:sz="0" w:space="0" w:color="auto"/>
      </w:divBdr>
    </w:div>
    <w:div w:id="195773718">
      <w:bodyDiv w:val="1"/>
      <w:marLeft w:val="0"/>
      <w:marRight w:val="0"/>
      <w:marTop w:val="0"/>
      <w:marBottom w:val="0"/>
      <w:divBdr>
        <w:top w:val="none" w:sz="0" w:space="0" w:color="auto"/>
        <w:left w:val="none" w:sz="0" w:space="0" w:color="auto"/>
        <w:bottom w:val="none" w:sz="0" w:space="0" w:color="auto"/>
        <w:right w:val="none" w:sz="0" w:space="0" w:color="auto"/>
      </w:divBdr>
    </w:div>
    <w:div w:id="205266557">
      <w:bodyDiv w:val="1"/>
      <w:marLeft w:val="0"/>
      <w:marRight w:val="0"/>
      <w:marTop w:val="0"/>
      <w:marBottom w:val="0"/>
      <w:divBdr>
        <w:top w:val="none" w:sz="0" w:space="0" w:color="auto"/>
        <w:left w:val="none" w:sz="0" w:space="0" w:color="auto"/>
        <w:bottom w:val="none" w:sz="0" w:space="0" w:color="auto"/>
        <w:right w:val="none" w:sz="0" w:space="0" w:color="auto"/>
      </w:divBdr>
    </w:div>
    <w:div w:id="272590438">
      <w:bodyDiv w:val="1"/>
      <w:marLeft w:val="0"/>
      <w:marRight w:val="0"/>
      <w:marTop w:val="0"/>
      <w:marBottom w:val="0"/>
      <w:divBdr>
        <w:top w:val="none" w:sz="0" w:space="0" w:color="auto"/>
        <w:left w:val="none" w:sz="0" w:space="0" w:color="auto"/>
        <w:bottom w:val="none" w:sz="0" w:space="0" w:color="auto"/>
        <w:right w:val="none" w:sz="0" w:space="0" w:color="auto"/>
      </w:divBdr>
    </w:div>
    <w:div w:id="422069313">
      <w:bodyDiv w:val="1"/>
      <w:marLeft w:val="0"/>
      <w:marRight w:val="0"/>
      <w:marTop w:val="0"/>
      <w:marBottom w:val="0"/>
      <w:divBdr>
        <w:top w:val="none" w:sz="0" w:space="0" w:color="auto"/>
        <w:left w:val="none" w:sz="0" w:space="0" w:color="auto"/>
        <w:bottom w:val="none" w:sz="0" w:space="0" w:color="auto"/>
        <w:right w:val="none" w:sz="0" w:space="0" w:color="auto"/>
      </w:divBdr>
    </w:div>
    <w:div w:id="432480145">
      <w:bodyDiv w:val="1"/>
      <w:marLeft w:val="0"/>
      <w:marRight w:val="0"/>
      <w:marTop w:val="0"/>
      <w:marBottom w:val="0"/>
      <w:divBdr>
        <w:top w:val="none" w:sz="0" w:space="0" w:color="auto"/>
        <w:left w:val="none" w:sz="0" w:space="0" w:color="auto"/>
        <w:bottom w:val="none" w:sz="0" w:space="0" w:color="auto"/>
        <w:right w:val="none" w:sz="0" w:space="0" w:color="auto"/>
      </w:divBdr>
    </w:div>
    <w:div w:id="543106360">
      <w:bodyDiv w:val="1"/>
      <w:marLeft w:val="0"/>
      <w:marRight w:val="0"/>
      <w:marTop w:val="0"/>
      <w:marBottom w:val="0"/>
      <w:divBdr>
        <w:top w:val="none" w:sz="0" w:space="0" w:color="auto"/>
        <w:left w:val="none" w:sz="0" w:space="0" w:color="auto"/>
        <w:bottom w:val="none" w:sz="0" w:space="0" w:color="auto"/>
        <w:right w:val="none" w:sz="0" w:space="0" w:color="auto"/>
      </w:divBdr>
    </w:div>
    <w:div w:id="693113559">
      <w:bodyDiv w:val="1"/>
      <w:marLeft w:val="0"/>
      <w:marRight w:val="0"/>
      <w:marTop w:val="0"/>
      <w:marBottom w:val="0"/>
      <w:divBdr>
        <w:top w:val="none" w:sz="0" w:space="0" w:color="auto"/>
        <w:left w:val="none" w:sz="0" w:space="0" w:color="auto"/>
        <w:bottom w:val="none" w:sz="0" w:space="0" w:color="auto"/>
        <w:right w:val="none" w:sz="0" w:space="0" w:color="auto"/>
      </w:divBdr>
    </w:div>
    <w:div w:id="860556006">
      <w:bodyDiv w:val="1"/>
      <w:marLeft w:val="0"/>
      <w:marRight w:val="0"/>
      <w:marTop w:val="0"/>
      <w:marBottom w:val="0"/>
      <w:divBdr>
        <w:top w:val="none" w:sz="0" w:space="0" w:color="auto"/>
        <w:left w:val="none" w:sz="0" w:space="0" w:color="auto"/>
        <w:bottom w:val="none" w:sz="0" w:space="0" w:color="auto"/>
        <w:right w:val="none" w:sz="0" w:space="0" w:color="auto"/>
      </w:divBdr>
    </w:div>
    <w:div w:id="873620140">
      <w:bodyDiv w:val="1"/>
      <w:marLeft w:val="0"/>
      <w:marRight w:val="0"/>
      <w:marTop w:val="0"/>
      <w:marBottom w:val="0"/>
      <w:divBdr>
        <w:top w:val="none" w:sz="0" w:space="0" w:color="auto"/>
        <w:left w:val="none" w:sz="0" w:space="0" w:color="auto"/>
        <w:bottom w:val="none" w:sz="0" w:space="0" w:color="auto"/>
        <w:right w:val="none" w:sz="0" w:space="0" w:color="auto"/>
      </w:divBdr>
      <w:divsChild>
        <w:div w:id="1546483615">
          <w:marLeft w:val="0"/>
          <w:marRight w:val="0"/>
          <w:marTop w:val="0"/>
          <w:marBottom w:val="0"/>
          <w:divBdr>
            <w:top w:val="none" w:sz="0" w:space="0" w:color="auto"/>
            <w:left w:val="none" w:sz="0" w:space="0" w:color="auto"/>
            <w:bottom w:val="none" w:sz="0" w:space="0" w:color="auto"/>
            <w:right w:val="none" w:sz="0" w:space="0" w:color="auto"/>
          </w:divBdr>
          <w:divsChild>
            <w:div w:id="389815901">
              <w:marLeft w:val="0"/>
              <w:marRight w:val="0"/>
              <w:marTop w:val="0"/>
              <w:marBottom w:val="0"/>
              <w:divBdr>
                <w:top w:val="none" w:sz="0" w:space="0" w:color="auto"/>
                <w:left w:val="none" w:sz="0" w:space="0" w:color="auto"/>
                <w:bottom w:val="none" w:sz="0" w:space="0" w:color="auto"/>
                <w:right w:val="none" w:sz="0" w:space="0" w:color="auto"/>
              </w:divBdr>
              <w:divsChild>
                <w:div w:id="1530610126">
                  <w:marLeft w:val="0"/>
                  <w:marRight w:val="0"/>
                  <w:marTop w:val="0"/>
                  <w:marBottom w:val="0"/>
                  <w:divBdr>
                    <w:top w:val="none" w:sz="0" w:space="0" w:color="auto"/>
                    <w:left w:val="none" w:sz="0" w:space="0" w:color="auto"/>
                    <w:bottom w:val="none" w:sz="0" w:space="0" w:color="auto"/>
                    <w:right w:val="none" w:sz="0" w:space="0" w:color="auto"/>
                  </w:divBdr>
                  <w:divsChild>
                    <w:div w:id="86195153">
                      <w:marLeft w:val="0"/>
                      <w:marRight w:val="0"/>
                      <w:marTop w:val="0"/>
                      <w:marBottom w:val="0"/>
                      <w:divBdr>
                        <w:top w:val="none" w:sz="0" w:space="0" w:color="auto"/>
                        <w:left w:val="none" w:sz="0" w:space="0" w:color="auto"/>
                        <w:bottom w:val="none" w:sz="0" w:space="0" w:color="auto"/>
                        <w:right w:val="none" w:sz="0" w:space="0" w:color="auto"/>
                      </w:divBdr>
                      <w:divsChild>
                        <w:div w:id="1366979949">
                          <w:marLeft w:val="0"/>
                          <w:marRight w:val="0"/>
                          <w:marTop w:val="0"/>
                          <w:marBottom w:val="0"/>
                          <w:divBdr>
                            <w:top w:val="none" w:sz="0" w:space="0" w:color="auto"/>
                            <w:left w:val="none" w:sz="0" w:space="0" w:color="auto"/>
                            <w:bottom w:val="none" w:sz="0" w:space="0" w:color="auto"/>
                            <w:right w:val="none" w:sz="0" w:space="0" w:color="auto"/>
                          </w:divBdr>
                          <w:divsChild>
                            <w:div w:id="155323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677563">
      <w:bodyDiv w:val="1"/>
      <w:marLeft w:val="0"/>
      <w:marRight w:val="0"/>
      <w:marTop w:val="0"/>
      <w:marBottom w:val="0"/>
      <w:divBdr>
        <w:top w:val="none" w:sz="0" w:space="0" w:color="auto"/>
        <w:left w:val="none" w:sz="0" w:space="0" w:color="auto"/>
        <w:bottom w:val="none" w:sz="0" w:space="0" w:color="auto"/>
        <w:right w:val="none" w:sz="0" w:space="0" w:color="auto"/>
      </w:divBdr>
    </w:div>
    <w:div w:id="1015425085">
      <w:bodyDiv w:val="1"/>
      <w:marLeft w:val="0"/>
      <w:marRight w:val="0"/>
      <w:marTop w:val="0"/>
      <w:marBottom w:val="0"/>
      <w:divBdr>
        <w:top w:val="none" w:sz="0" w:space="0" w:color="auto"/>
        <w:left w:val="none" w:sz="0" w:space="0" w:color="auto"/>
        <w:bottom w:val="none" w:sz="0" w:space="0" w:color="auto"/>
        <w:right w:val="none" w:sz="0" w:space="0" w:color="auto"/>
      </w:divBdr>
    </w:div>
    <w:div w:id="1023628599">
      <w:bodyDiv w:val="1"/>
      <w:marLeft w:val="0"/>
      <w:marRight w:val="0"/>
      <w:marTop w:val="0"/>
      <w:marBottom w:val="0"/>
      <w:divBdr>
        <w:top w:val="none" w:sz="0" w:space="0" w:color="auto"/>
        <w:left w:val="none" w:sz="0" w:space="0" w:color="auto"/>
        <w:bottom w:val="none" w:sz="0" w:space="0" w:color="auto"/>
        <w:right w:val="none" w:sz="0" w:space="0" w:color="auto"/>
      </w:divBdr>
    </w:div>
    <w:div w:id="1027752157">
      <w:bodyDiv w:val="1"/>
      <w:marLeft w:val="0"/>
      <w:marRight w:val="0"/>
      <w:marTop w:val="0"/>
      <w:marBottom w:val="0"/>
      <w:divBdr>
        <w:top w:val="none" w:sz="0" w:space="0" w:color="auto"/>
        <w:left w:val="none" w:sz="0" w:space="0" w:color="auto"/>
        <w:bottom w:val="none" w:sz="0" w:space="0" w:color="auto"/>
        <w:right w:val="none" w:sz="0" w:space="0" w:color="auto"/>
      </w:divBdr>
    </w:div>
    <w:div w:id="1035425735">
      <w:bodyDiv w:val="1"/>
      <w:marLeft w:val="0"/>
      <w:marRight w:val="0"/>
      <w:marTop w:val="0"/>
      <w:marBottom w:val="0"/>
      <w:divBdr>
        <w:top w:val="none" w:sz="0" w:space="0" w:color="auto"/>
        <w:left w:val="none" w:sz="0" w:space="0" w:color="auto"/>
        <w:bottom w:val="none" w:sz="0" w:space="0" w:color="auto"/>
        <w:right w:val="none" w:sz="0" w:space="0" w:color="auto"/>
      </w:divBdr>
    </w:div>
    <w:div w:id="1123115162">
      <w:bodyDiv w:val="1"/>
      <w:marLeft w:val="0"/>
      <w:marRight w:val="0"/>
      <w:marTop w:val="0"/>
      <w:marBottom w:val="0"/>
      <w:divBdr>
        <w:top w:val="none" w:sz="0" w:space="0" w:color="auto"/>
        <w:left w:val="none" w:sz="0" w:space="0" w:color="auto"/>
        <w:bottom w:val="none" w:sz="0" w:space="0" w:color="auto"/>
        <w:right w:val="none" w:sz="0" w:space="0" w:color="auto"/>
      </w:divBdr>
    </w:div>
    <w:div w:id="1135220802">
      <w:bodyDiv w:val="1"/>
      <w:marLeft w:val="0"/>
      <w:marRight w:val="0"/>
      <w:marTop w:val="0"/>
      <w:marBottom w:val="0"/>
      <w:divBdr>
        <w:top w:val="none" w:sz="0" w:space="0" w:color="auto"/>
        <w:left w:val="none" w:sz="0" w:space="0" w:color="auto"/>
        <w:bottom w:val="none" w:sz="0" w:space="0" w:color="auto"/>
        <w:right w:val="none" w:sz="0" w:space="0" w:color="auto"/>
      </w:divBdr>
    </w:div>
    <w:div w:id="1197814737">
      <w:bodyDiv w:val="1"/>
      <w:marLeft w:val="0"/>
      <w:marRight w:val="0"/>
      <w:marTop w:val="0"/>
      <w:marBottom w:val="0"/>
      <w:divBdr>
        <w:top w:val="none" w:sz="0" w:space="0" w:color="auto"/>
        <w:left w:val="none" w:sz="0" w:space="0" w:color="auto"/>
        <w:bottom w:val="none" w:sz="0" w:space="0" w:color="auto"/>
        <w:right w:val="none" w:sz="0" w:space="0" w:color="auto"/>
      </w:divBdr>
    </w:div>
    <w:div w:id="1199704575">
      <w:bodyDiv w:val="1"/>
      <w:marLeft w:val="0"/>
      <w:marRight w:val="0"/>
      <w:marTop w:val="0"/>
      <w:marBottom w:val="0"/>
      <w:divBdr>
        <w:top w:val="none" w:sz="0" w:space="0" w:color="auto"/>
        <w:left w:val="none" w:sz="0" w:space="0" w:color="auto"/>
        <w:bottom w:val="none" w:sz="0" w:space="0" w:color="auto"/>
        <w:right w:val="none" w:sz="0" w:space="0" w:color="auto"/>
      </w:divBdr>
    </w:div>
    <w:div w:id="1247882562">
      <w:bodyDiv w:val="1"/>
      <w:marLeft w:val="0"/>
      <w:marRight w:val="0"/>
      <w:marTop w:val="0"/>
      <w:marBottom w:val="0"/>
      <w:divBdr>
        <w:top w:val="none" w:sz="0" w:space="0" w:color="auto"/>
        <w:left w:val="none" w:sz="0" w:space="0" w:color="auto"/>
        <w:bottom w:val="none" w:sz="0" w:space="0" w:color="auto"/>
        <w:right w:val="none" w:sz="0" w:space="0" w:color="auto"/>
      </w:divBdr>
    </w:div>
    <w:div w:id="1426147389">
      <w:bodyDiv w:val="1"/>
      <w:marLeft w:val="0"/>
      <w:marRight w:val="0"/>
      <w:marTop w:val="0"/>
      <w:marBottom w:val="0"/>
      <w:divBdr>
        <w:top w:val="none" w:sz="0" w:space="0" w:color="auto"/>
        <w:left w:val="none" w:sz="0" w:space="0" w:color="auto"/>
        <w:bottom w:val="none" w:sz="0" w:space="0" w:color="auto"/>
        <w:right w:val="none" w:sz="0" w:space="0" w:color="auto"/>
      </w:divBdr>
    </w:div>
    <w:div w:id="1485469745">
      <w:bodyDiv w:val="1"/>
      <w:marLeft w:val="0"/>
      <w:marRight w:val="0"/>
      <w:marTop w:val="0"/>
      <w:marBottom w:val="0"/>
      <w:divBdr>
        <w:top w:val="none" w:sz="0" w:space="0" w:color="auto"/>
        <w:left w:val="none" w:sz="0" w:space="0" w:color="auto"/>
        <w:bottom w:val="none" w:sz="0" w:space="0" w:color="auto"/>
        <w:right w:val="none" w:sz="0" w:space="0" w:color="auto"/>
      </w:divBdr>
    </w:div>
    <w:div w:id="1522086425">
      <w:bodyDiv w:val="1"/>
      <w:marLeft w:val="0"/>
      <w:marRight w:val="0"/>
      <w:marTop w:val="0"/>
      <w:marBottom w:val="0"/>
      <w:divBdr>
        <w:top w:val="none" w:sz="0" w:space="0" w:color="auto"/>
        <w:left w:val="none" w:sz="0" w:space="0" w:color="auto"/>
        <w:bottom w:val="none" w:sz="0" w:space="0" w:color="auto"/>
        <w:right w:val="none" w:sz="0" w:space="0" w:color="auto"/>
      </w:divBdr>
    </w:div>
    <w:div w:id="1531917679">
      <w:bodyDiv w:val="1"/>
      <w:marLeft w:val="0"/>
      <w:marRight w:val="0"/>
      <w:marTop w:val="0"/>
      <w:marBottom w:val="0"/>
      <w:divBdr>
        <w:top w:val="none" w:sz="0" w:space="0" w:color="auto"/>
        <w:left w:val="none" w:sz="0" w:space="0" w:color="auto"/>
        <w:bottom w:val="none" w:sz="0" w:space="0" w:color="auto"/>
        <w:right w:val="none" w:sz="0" w:space="0" w:color="auto"/>
      </w:divBdr>
    </w:div>
    <w:div w:id="1613123627">
      <w:bodyDiv w:val="1"/>
      <w:marLeft w:val="0"/>
      <w:marRight w:val="0"/>
      <w:marTop w:val="0"/>
      <w:marBottom w:val="0"/>
      <w:divBdr>
        <w:top w:val="none" w:sz="0" w:space="0" w:color="auto"/>
        <w:left w:val="none" w:sz="0" w:space="0" w:color="auto"/>
        <w:bottom w:val="none" w:sz="0" w:space="0" w:color="auto"/>
        <w:right w:val="none" w:sz="0" w:space="0" w:color="auto"/>
      </w:divBdr>
      <w:divsChild>
        <w:div w:id="1902521610">
          <w:marLeft w:val="0"/>
          <w:marRight w:val="0"/>
          <w:marTop w:val="0"/>
          <w:marBottom w:val="0"/>
          <w:divBdr>
            <w:top w:val="none" w:sz="0" w:space="0" w:color="auto"/>
            <w:left w:val="none" w:sz="0" w:space="0" w:color="auto"/>
            <w:bottom w:val="none" w:sz="0" w:space="0" w:color="auto"/>
            <w:right w:val="none" w:sz="0" w:space="0" w:color="auto"/>
          </w:divBdr>
          <w:divsChild>
            <w:div w:id="2061703426">
              <w:marLeft w:val="0"/>
              <w:marRight w:val="0"/>
              <w:marTop w:val="0"/>
              <w:marBottom w:val="0"/>
              <w:divBdr>
                <w:top w:val="none" w:sz="0" w:space="0" w:color="auto"/>
                <w:left w:val="none" w:sz="0" w:space="0" w:color="auto"/>
                <w:bottom w:val="none" w:sz="0" w:space="0" w:color="auto"/>
                <w:right w:val="none" w:sz="0" w:space="0" w:color="auto"/>
              </w:divBdr>
              <w:divsChild>
                <w:div w:id="211698215">
                  <w:marLeft w:val="0"/>
                  <w:marRight w:val="0"/>
                  <w:marTop w:val="0"/>
                  <w:marBottom w:val="0"/>
                  <w:divBdr>
                    <w:top w:val="none" w:sz="0" w:space="0" w:color="auto"/>
                    <w:left w:val="none" w:sz="0" w:space="0" w:color="auto"/>
                    <w:bottom w:val="none" w:sz="0" w:space="0" w:color="auto"/>
                    <w:right w:val="none" w:sz="0" w:space="0" w:color="auto"/>
                  </w:divBdr>
                  <w:divsChild>
                    <w:div w:id="635378103">
                      <w:marLeft w:val="0"/>
                      <w:marRight w:val="0"/>
                      <w:marTop w:val="0"/>
                      <w:marBottom w:val="0"/>
                      <w:divBdr>
                        <w:top w:val="none" w:sz="0" w:space="0" w:color="auto"/>
                        <w:left w:val="none" w:sz="0" w:space="0" w:color="auto"/>
                        <w:bottom w:val="none" w:sz="0" w:space="0" w:color="auto"/>
                        <w:right w:val="none" w:sz="0" w:space="0" w:color="auto"/>
                      </w:divBdr>
                      <w:divsChild>
                        <w:div w:id="1237084211">
                          <w:marLeft w:val="0"/>
                          <w:marRight w:val="0"/>
                          <w:marTop w:val="0"/>
                          <w:marBottom w:val="0"/>
                          <w:divBdr>
                            <w:top w:val="none" w:sz="0" w:space="0" w:color="auto"/>
                            <w:left w:val="none" w:sz="0" w:space="0" w:color="auto"/>
                            <w:bottom w:val="none" w:sz="0" w:space="0" w:color="auto"/>
                            <w:right w:val="none" w:sz="0" w:space="0" w:color="auto"/>
                          </w:divBdr>
                          <w:divsChild>
                            <w:div w:id="136717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178116">
      <w:bodyDiv w:val="1"/>
      <w:marLeft w:val="0"/>
      <w:marRight w:val="0"/>
      <w:marTop w:val="0"/>
      <w:marBottom w:val="0"/>
      <w:divBdr>
        <w:top w:val="none" w:sz="0" w:space="0" w:color="auto"/>
        <w:left w:val="none" w:sz="0" w:space="0" w:color="auto"/>
        <w:bottom w:val="none" w:sz="0" w:space="0" w:color="auto"/>
        <w:right w:val="none" w:sz="0" w:space="0" w:color="auto"/>
      </w:divBdr>
    </w:div>
    <w:div w:id="1650204306">
      <w:bodyDiv w:val="1"/>
      <w:marLeft w:val="0"/>
      <w:marRight w:val="0"/>
      <w:marTop w:val="0"/>
      <w:marBottom w:val="0"/>
      <w:divBdr>
        <w:top w:val="none" w:sz="0" w:space="0" w:color="auto"/>
        <w:left w:val="none" w:sz="0" w:space="0" w:color="auto"/>
        <w:bottom w:val="none" w:sz="0" w:space="0" w:color="auto"/>
        <w:right w:val="none" w:sz="0" w:space="0" w:color="auto"/>
      </w:divBdr>
      <w:divsChild>
        <w:div w:id="809135338">
          <w:marLeft w:val="0"/>
          <w:marRight w:val="0"/>
          <w:marTop w:val="0"/>
          <w:marBottom w:val="0"/>
          <w:divBdr>
            <w:top w:val="none" w:sz="0" w:space="0" w:color="auto"/>
            <w:left w:val="none" w:sz="0" w:space="0" w:color="auto"/>
            <w:bottom w:val="none" w:sz="0" w:space="0" w:color="auto"/>
            <w:right w:val="none" w:sz="0" w:space="0" w:color="auto"/>
          </w:divBdr>
          <w:divsChild>
            <w:div w:id="1125273410">
              <w:marLeft w:val="0"/>
              <w:marRight w:val="0"/>
              <w:marTop w:val="0"/>
              <w:marBottom w:val="0"/>
              <w:divBdr>
                <w:top w:val="none" w:sz="0" w:space="0" w:color="auto"/>
                <w:left w:val="none" w:sz="0" w:space="0" w:color="auto"/>
                <w:bottom w:val="none" w:sz="0" w:space="0" w:color="auto"/>
                <w:right w:val="none" w:sz="0" w:space="0" w:color="auto"/>
              </w:divBdr>
              <w:divsChild>
                <w:div w:id="1862818317">
                  <w:marLeft w:val="0"/>
                  <w:marRight w:val="0"/>
                  <w:marTop w:val="0"/>
                  <w:marBottom w:val="0"/>
                  <w:divBdr>
                    <w:top w:val="none" w:sz="0" w:space="0" w:color="auto"/>
                    <w:left w:val="none" w:sz="0" w:space="0" w:color="auto"/>
                    <w:bottom w:val="none" w:sz="0" w:space="0" w:color="auto"/>
                    <w:right w:val="none" w:sz="0" w:space="0" w:color="auto"/>
                  </w:divBdr>
                  <w:divsChild>
                    <w:div w:id="1180434575">
                      <w:marLeft w:val="0"/>
                      <w:marRight w:val="0"/>
                      <w:marTop w:val="0"/>
                      <w:marBottom w:val="0"/>
                      <w:divBdr>
                        <w:top w:val="none" w:sz="0" w:space="0" w:color="auto"/>
                        <w:left w:val="none" w:sz="0" w:space="0" w:color="auto"/>
                        <w:bottom w:val="none" w:sz="0" w:space="0" w:color="auto"/>
                        <w:right w:val="none" w:sz="0" w:space="0" w:color="auto"/>
                      </w:divBdr>
                      <w:divsChild>
                        <w:div w:id="820583928">
                          <w:marLeft w:val="0"/>
                          <w:marRight w:val="0"/>
                          <w:marTop w:val="0"/>
                          <w:marBottom w:val="0"/>
                          <w:divBdr>
                            <w:top w:val="none" w:sz="0" w:space="0" w:color="auto"/>
                            <w:left w:val="none" w:sz="0" w:space="0" w:color="auto"/>
                            <w:bottom w:val="none" w:sz="0" w:space="0" w:color="auto"/>
                            <w:right w:val="none" w:sz="0" w:space="0" w:color="auto"/>
                          </w:divBdr>
                          <w:divsChild>
                            <w:div w:id="15018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503539">
      <w:bodyDiv w:val="1"/>
      <w:marLeft w:val="0"/>
      <w:marRight w:val="0"/>
      <w:marTop w:val="0"/>
      <w:marBottom w:val="0"/>
      <w:divBdr>
        <w:top w:val="none" w:sz="0" w:space="0" w:color="auto"/>
        <w:left w:val="none" w:sz="0" w:space="0" w:color="auto"/>
        <w:bottom w:val="none" w:sz="0" w:space="0" w:color="auto"/>
        <w:right w:val="none" w:sz="0" w:space="0" w:color="auto"/>
      </w:divBdr>
    </w:div>
    <w:div w:id="1856193804">
      <w:bodyDiv w:val="1"/>
      <w:marLeft w:val="0"/>
      <w:marRight w:val="0"/>
      <w:marTop w:val="0"/>
      <w:marBottom w:val="0"/>
      <w:divBdr>
        <w:top w:val="none" w:sz="0" w:space="0" w:color="auto"/>
        <w:left w:val="none" w:sz="0" w:space="0" w:color="auto"/>
        <w:bottom w:val="none" w:sz="0" w:space="0" w:color="auto"/>
        <w:right w:val="none" w:sz="0" w:space="0" w:color="auto"/>
      </w:divBdr>
    </w:div>
    <w:div w:id="1969892925">
      <w:bodyDiv w:val="1"/>
      <w:marLeft w:val="0"/>
      <w:marRight w:val="0"/>
      <w:marTop w:val="0"/>
      <w:marBottom w:val="0"/>
      <w:divBdr>
        <w:top w:val="none" w:sz="0" w:space="0" w:color="auto"/>
        <w:left w:val="none" w:sz="0" w:space="0" w:color="auto"/>
        <w:bottom w:val="none" w:sz="0" w:space="0" w:color="auto"/>
        <w:right w:val="none" w:sz="0" w:space="0" w:color="auto"/>
      </w:divBdr>
    </w:div>
    <w:div w:id="20297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F06EC-E504-4124-BEED-7090904A2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Discussions on RRM requirements for Rel-19 ATG</vt:lpstr>
    </vt:vector>
  </TitlesOfParts>
  <Company>Huawei Technologies Co., Ltd.</Company>
  <LinksUpToDate>false</LinksUpToDate>
  <CharactersWithSpaces>11655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Discussions on RRM requirements for Rel-19 ATG</dc:title>
  <dc:subject/>
  <dc:creator>Huawei</dc:creator>
  <cp:keywords/>
  <dc:description/>
  <cp:lastModifiedBy>Huawei</cp:lastModifiedBy>
  <cp:revision>4</cp:revision>
  <dcterms:created xsi:type="dcterms:W3CDTF">2025-08-15T09:33:00Z</dcterms:created>
  <dcterms:modified xsi:type="dcterms:W3CDTF">2025-08-15T09:34:00Z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88b34e3769ad6f23a4970b49bf2b1d1fcfec1c2df55dcebac868026c556b9709</vt:lpwstr>
  </property>
  <property fmtid="{D5CDD505-2E9C-101B-9397-08002B2CF9AE}" pid="3" name="_2015_ms_pID_725343">
    <vt:lpwstr>(3)xhusY6u2vydzJZAziY4f+iFCB9dlF3mA8k+lsewci42k1OWAgS3/v8n67fR817oEf9UQ3OO2
fMZWcA2x2+vV/XnmYCk3fyJh3149Y7PtRThom4WvRDxRssiR3m7v2lYjfvu7k1/ciTu1BaE6
KlQpnlsVCWm+/wKiIalHuIEHShV8udYU4UjYPec1vluoKT0i/C5qWihz8w99FF/J+R0QmiU2
AJZCBi5MGoelo9o4hf</vt:lpwstr>
  </property>
  <property fmtid="{D5CDD505-2E9C-101B-9397-08002B2CF9AE}" pid="4" name="_2015_ms_pID_7253431">
    <vt:lpwstr>+T+fr7uGDpEFXiwVnriEVQMhIixC7tu6i1fCREz0AYc1J4st6kIbT+
DiH2ABIeTP7+LiF4XMr8w3CaEG+b2RDSjOuxbwc/zhbpgCmjY8oxlWLvD1LBcnZ36GssuUzZ
wmemZdyyBOzFQ35j276AXOv0pl6wBJEFR2N+Mp+mjXWZoD4cwkm/rNub6Q/p84kR0y8+04qt
5uLTClZHNLg1Tc0nPlQhLmxCBwm9zQZHIwaP</vt:lpwstr>
  </property>
  <property fmtid="{D5CDD505-2E9C-101B-9397-08002B2CF9AE}" pid="5" name="_2015_ms_pID_7253432">
    <vt:lpwstr>pQ==</vt:lpwstr>
  </property>
</Properties>
</file>