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0A90" w:rsidRDefault="0006209F">
      <w:pPr>
        <w:pStyle w:val="af4"/>
        <w:tabs>
          <w:tab w:val="right" w:pos="9781"/>
          <w:tab w:val="right" w:pos="13323"/>
        </w:tabs>
        <w:spacing w:before="60" w:after="60"/>
        <w:jc w:val="left"/>
        <w:outlineLvl w:val="0"/>
        <w:rPr>
          <w:rFonts w:ascii="Times New Roman" w:hAnsi="Times New Roman"/>
          <w:b w:val="0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3GPP TSG-RAN WG4 Meeting #11</w:t>
      </w:r>
      <w:r>
        <w:rPr>
          <w:rFonts w:ascii="Times New Roman" w:hAnsi="Times New Roman"/>
          <w:sz w:val="24"/>
          <w:szCs w:val="24"/>
          <w:lang w:val="en-US" w:eastAsia="zh-CN"/>
        </w:rPr>
        <w:t>6</w:t>
      </w:r>
      <w:r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</w:t>
      </w:r>
      <w:bookmarkStart w:id="0" w:name="OLE_LINK5"/>
      <w:r w:rsidR="008B0C70" w:rsidRPr="008B0C70">
        <w:rPr>
          <w:rFonts w:ascii="Times New Roman" w:hAnsi="Times New Roman"/>
          <w:sz w:val="24"/>
          <w:szCs w:val="24"/>
          <w:lang w:eastAsia="zh-CN"/>
        </w:rPr>
        <w:t>R4-2510500</w:t>
      </w:r>
      <w:bookmarkEnd w:id="0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:rsidR="00C50A90" w:rsidRDefault="0006209F">
      <w:pPr>
        <w:pStyle w:val="af4"/>
        <w:tabs>
          <w:tab w:val="right" w:pos="9781"/>
          <w:tab w:val="right" w:pos="13323"/>
        </w:tabs>
        <w:spacing w:before="60" w:after="60"/>
        <w:outlineLvl w:val="0"/>
        <w:rPr>
          <w:rFonts w:ascii="Times New Roman" w:hAnsi="Times New Roman"/>
          <w:b w:val="0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Bengaluru, IN, </w:t>
      </w:r>
      <w:r>
        <w:rPr>
          <w:rFonts w:ascii="Times New Roman" w:hAnsi="Times New Roman"/>
          <w:sz w:val="24"/>
          <w:szCs w:val="24"/>
          <w:lang w:val="en-US" w:eastAsia="zh-CN"/>
        </w:rPr>
        <w:t>25</w:t>
      </w:r>
      <w:r w:rsidR="001659DA">
        <w:rPr>
          <w:rFonts w:ascii="Times New Roman" w:hAnsi="Times New Roman"/>
          <w:sz w:val="24"/>
          <w:szCs w:val="24"/>
          <w:lang w:val="en-US" w:eastAsia="zh-CN"/>
        </w:rPr>
        <w:t>th</w:t>
      </w:r>
      <w:r>
        <w:rPr>
          <w:rFonts w:ascii="Times New Roman" w:hAnsi="Times New Roman"/>
          <w:sz w:val="24"/>
          <w:szCs w:val="24"/>
          <w:lang w:eastAsia="zh-CN"/>
        </w:rPr>
        <w:t>-</w:t>
      </w:r>
      <w:r>
        <w:rPr>
          <w:rFonts w:ascii="Times New Roman" w:hAnsi="Times New Roman"/>
          <w:sz w:val="24"/>
          <w:szCs w:val="24"/>
          <w:lang w:val="en-US" w:eastAsia="zh-CN"/>
        </w:rPr>
        <w:t>29</w:t>
      </w:r>
      <w:r w:rsidR="001659DA">
        <w:rPr>
          <w:rFonts w:ascii="Times New Roman" w:hAnsi="Times New Roman"/>
          <w:sz w:val="24"/>
          <w:szCs w:val="24"/>
          <w:lang w:val="en-US" w:eastAsia="zh-CN"/>
        </w:rPr>
        <w:t>th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August</w:t>
      </w:r>
      <w:r>
        <w:rPr>
          <w:rFonts w:ascii="Times New Roman" w:hAnsi="Times New Roman"/>
          <w:sz w:val="24"/>
          <w:szCs w:val="24"/>
          <w:lang w:eastAsia="zh-CN"/>
        </w:rPr>
        <w:t>, 2025</w:t>
      </w:r>
    </w:p>
    <w:p w:rsidR="00C50A90" w:rsidRDefault="00C50A90">
      <w:pPr>
        <w:tabs>
          <w:tab w:val="left" w:pos="1985"/>
        </w:tabs>
        <w:spacing w:before="60" w:after="60"/>
        <w:rPr>
          <w:b/>
        </w:rPr>
      </w:pPr>
    </w:p>
    <w:p w:rsidR="00C50A90" w:rsidRDefault="0006209F">
      <w:pPr>
        <w:tabs>
          <w:tab w:val="left" w:pos="1985"/>
        </w:tabs>
        <w:spacing w:before="60" w:after="60"/>
        <w:rPr>
          <w:b/>
          <w:lang w:val="en-US"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  <w:lang w:eastAsia="zh-CN"/>
        </w:rPr>
        <w:t>7.</w:t>
      </w:r>
      <w:r w:rsidR="0094779A">
        <w:rPr>
          <w:b/>
          <w:lang w:eastAsia="zh-CN"/>
        </w:rPr>
        <w:t>6</w:t>
      </w:r>
      <w:r>
        <w:rPr>
          <w:b/>
          <w:lang w:eastAsia="zh-CN"/>
        </w:rPr>
        <w:t>.3.2.1</w:t>
      </w:r>
    </w:p>
    <w:p w:rsidR="00C50A90" w:rsidRDefault="0006209F">
      <w:pPr>
        <w:tabs>
          <w:tab w:val="left" w:pos="1985"/>
        </w:tabs>
        <w:spacing w:before="60" w:after="60"/>
        <w:rPr>
          <w:lang w:eastAsia="ja-JP"/>
        </w:rPr>
      </w:pPr>
      <w:r>
        <w:rPr>
          <w:b/>
        </w:rPr>
        <w:t xml:space="preserve">Source: </w:t>
      </w:r>
      <w:r>
        <w:rPr>
          <w:b/>
        </w:rPr>
        <w:tab/>
      </w:r>
      <w:r>
        <w:rPr>
          <w:b/>
          <w:lang w:eastAsia="zh-CN"/>
        </w:rPr>
        <w:t>CSCN</w:t>
      </w:r>
    </w:p>
    <w:p w:rsidR="00C50A90" w:rsidRDefault="0006209F">
      <w:pPr>
        <w:tabs>
          <w:tab w:val="left" w:pos="1985"/>
        </w:tabs>
        <w:spacing w:before="60" w:after="60"/>
        <w:rPr>
          <w:b/>
        </w:rPr>
      </w:pPr>
      <w:r>
        <w:rPr>
          <w:b/>
        </w:rPr>
        <w:t xml:space="preserve">Title: </w:t>
      </w:r>
      <w:r>
        <w:rPr>
          <w:b/>
        </w:rPr>
        <w:tab/>
        <w:t xml:space="preserve">Views on HPUE for NR-NTN </w:t>
      </w:r>
    </w:p>
    <w:p w:rsidR="00C50A90" w:rsidRDefault="0006209F">
      <w:pPr>
        <w:tabs>
          <w:tab w:val="left" w:pos="1985"/>
        </w:tabs>
        <w:spacing w:before="60" w:after="60"/>
        <w:rPr>
          <w:b/>
        </w:rPr>
      </w:pPr>
      <w:r>
        <w:rPr>
          <w:b/>
        </w:rPr>
        <w:t>Document for:</w:t>
      </w:r>
      <w:r>
        <w:tab/>
      </w:r>
      <w:r>
        <w:rPr>
          <w:b/>
        </w:rPr>
        <w:t>Discussion</w:t>
      </w:r>
    </w:p>
    <w:p w:rsidR="00C50A90" w:rsidRDefault="0006209F">
      <w:pPr>
        <w:pStyle w:val="1"/>
        <w:numPr>
          <w:ilvl w:val="0"/>
          <w:numId w:val="3"/>
        </w:numPr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Introduction</w:t>
      </w:r>
    </w:p>
    <w:p w:rsidR="00C50A90" w:rsidRDefault="0006209F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According to the  Rel-19 RAN4 NTN WID, one of major objectives is to study and specify HPUE (PC2, PC1.5, PC1) for NR-NTN/IoT-NTN with target device types as handheld UE and/or non</w:t>
      </w:r>
      <w:r w:rsidR="0094779A">
        <w:rPr>
          <w:rFonts w:eastAsiaTheme="minorEastAsia"/>
          <w:lang w:val="sv-SE" w:eastAsia="zh-CN"/>
        </w:rPr>
        <w:t>-</w:t>
      </w:r>
      <w:r>
        <w:rPr>
          <w:rFonts w:eastAsiaTheme="minorEastAsia"/>
          <w:lang w:val="sv-SE" w:eastAsia="zh-CN"/>
        </w:rPr>
        <w:t>handheld UE [1].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50A90">
        <w:tc>
          <w:tcPr>
            <w:tcW w:w="9631" w:type="dxa"/>
          </w:tcPr>
          <w:p w:rsidR="00C50A90" w:rsidRDefault="0006209F">
            <w:pPr>
              <w:rPr>
                <w:lang w:eastAsia="zh-CN"/>
              </w:rPr>
            </w:pPr>
            <w:r>
              <w:rPr>
                <w:b/>
              </w:rPr>
              <w:t>High power UE (HPUE) for NTN</w:t>
            </w:r>
          </w:p>
          <w:p w:rsidR="00C50A90" w:rsidRDefault="0006209F">
            <w:pPr>
              <w:pStyle w:val="aff7"/>
              <w:widowControl w:val="0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jc w:val="left"/>
              <w:textAlignment w:val="auto"/>
            </w:pPr>
            <w:r>
              <w:t>Conduct the coexistence analysis based on TR 38.863 for the above example bands and corresponding power classes</w:t>
            </w:r>
          </w:p>
          <w:p w:rsidR="00C50A90" w:rsidRDefault="0006209F">
            <w:pPr>
              <w:pStyle w:val="aff7"/>
              <w:widowControl w:val="0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jc w:val="left"/>
              <w:textAlignment w:val="auto"/>
            </w:pPr>
            <w:r>
              <w:t>Evaluate the impact on the uplink performance of TN (Terrestrial network)</w:t>
            </w:r>
          </w:p>
          <w:p w:rsidR="00C50A90" w:rsidRDefault="0006209F">
            <w:pPr>
              <w:pStyle w:val="aff7"/>
              <w:widowControl w:val="0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jc w:val="left"/>
              <w:textAlignment w:val="auto"/>
            </w:pPr>
            <w:r>
              <w:t>Example bands include bands n256 and 256, n255 and 255</w:t>
            </w:r>
          </w:p>
          <w:p w:rsidR="00C50A90" w:rsidRDefault="0006209F">
            <w:pPr>
              <w:pStyle w:val="aff7"/>
              <w:widowControl w:val="0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jc w:val="left"/>
              <w:textAlignment w:val="auto"/>
            </w:pPr>
            <w:r>
              <w:t>PC2, PC1.5 (for NR-NTN only) and PC1 will be evaluated for ACLR and ACS</w:t>
            </w:r>
          </w:p>
          <w:p w:rsidR="00C50A90" w:rsidRDefault="0006209F">
            <w:pPr>
              <w:pStyle w:val="aff7"/>
              <w:widowControl w:val="0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jc w:val="left"/>
              <w:textAlignment w:val="auto"/>
            </w:pPr>
            <w:r>
              <w:t>For NR-NTN and IoT-NTN: coexistence studies shall be carried out under the same conditions, including geographical separation between NTN UE and Terrestrial Networks (TN), as the co-existence studies in Rel-17 and Rel-18</w:t>
            </w:r>
          </w:p>
          <w:p w:rsidR="00C50A90" w:rsidRDefault="0006209F">
            <w:pPr>
              <w:pStyle w:val="aff7"/>
              <w:widowControl w:val="0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jc w:val="left"/>
              <w:textAlignment w:val="auto"/>
            </w:pPr>
            <w:r>
              <w:t xml:space="preserve">Specify high power UE (HPUE) for NR-NTN (Non-Terrestrial Networks) and IoT-NTN (NB-IoT and </w:t>
            </w:r>
            <w:proofErr w:type="spellStart"/>
            <w:r>
              <w:t>eMTC</w:t>
            </w:r>
            <w:proofErr w:type="spellEnd"/>
            <w:r>
              <w:t xml:space="preserve"> based NTN) in FR1-NTN bands and the corresponding LTE NTN bands for the single uplink (UL) carrier scenario</w:t>
            </w:r>
          </w:p>
          <w:p w:rsidR="00C50A90" w:rsidRDefault="0006209F">
            <w:pPr>
              <w:pStyle w:val="aff7"/>
              <w:widowControl w:val="0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jc w:val="left"/>
              <w:textAlignment w:val="auto"/>
            </w:pPr>
            <w:r>
              <w:t>Support UE with power class 2 (PC2, 26 dBm) that applies to both handheld and non-handheld based on the co-existence study.</w:t>
            </w:r>
          </w:p>
          <w:p w:rsidR="00C50A90" w:rsidRDefault="0006209F">
            <w:pPr>
              <w:pStyle w:val="aff7"/>
              <w:widowControl w:val="0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jc w:val="left"/>
              <w:textAlignment w:val="auto"/>
            </w:pPr>
            <w:r>
              <w:t>Support other power classes based on the co-existence and feasibility study</w:t>
            </w:r>
          </w:p>
          <w:p w:rsidR="00C50A90" w:rsidRDefault="0006209F">
            <w:pPr>
              <w:pStyle w:val="aff7"/>
              <w:widowControl w:val="0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jc w:val="left"/>
              <w:textAlignment w:val="auto"/>
            </w:pPr>
            <w:r>
              <w:t>Non-hand held UE is prioritized</w:t>
            </w:r>
          </w:p>
          <w:p w:rsidR="00C50A90" w:rsidRDefault="0006209F">
            <w:pPr>
              <w:pStyle w:val="aff7"/>
              <w:widowControl w:val="0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jc w:val="left"/>
              <w:textAlignment w:val="auto"/>
            </w:pPr>
            <w:r>
              <w:t>Specify RF requirements for all considered power classes for NR-NTN and IoT-NTN in FR1-NTN bands and the corresponding LTE NTN bands</w:t>
            </w:r>
          </w:p>
          <w:p w:rsidR="00C50A90" w:rsidRDefault="0006209F">
            <w:pPr>
              <w:pStyle w:val="aff7"/>
              <w:widowControl w:val="0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jc w:val="left"/>
              <w:textAlignment w:val="auto"/>
            </w:pPr>
            <w:r>
              <w:t>Necessary Tx requirements, at least including</w:t>
            </w:r>
          </w:p>
          <w:p w:rsidR="00C50A90" w:rsidRDefault="0006209F">
            <w:pPr>
              <w:pStyle w:val="aff7"/>
              <w:widowControl w:val="0"/>
              <w:numPr>
                <w:ilvl w:val="3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jc w:val="left"/>
              <w:textAlignment w:val="auto"/>
            </w:pPr>
            <w:r>
              <w:t>Investigate and if necessary, specify the solution to address potential SAR (Specific Absorption Rate restriction) requirements for handheld UE</w:t>
            </w:r>
          </w:p>
          <w:p w:rsidR="00C50A90" w:rsidRDefault="0006209F">
            <w:pPr>
              <w:pStyle w:val="aff7"/>
              <w:widowControl w:val="0"/>
              <w:numPr>
                <w:ilvl w:val="3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jc w:val="left"/>
              <w:textAlignment w:val="auto"/>
            </w:pPr>
            <w:r>
              <w:t>Specify MPR and A-MPR for the example bands considering the regulation for the corresponding bands, if necessary</w:t>
            </w:r>
          </w:p>
          <w:p w:rsidR="00C50A90" w:rsidRDefault="0006209F">
            <w:pPr>
              <w:pStyle w:val="aff7"/>
              <w:widowControl w:val="0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jc w:val="left"/>
              <w:textAlignment w:val="auto"/>
            </w:pPr>
            <w:r>
              <w:t>Necessary Rx requirements, at least including</w:t>
            </w:r>
          </w:p>
          <w:p w:rsidR="00C50A90" w:rsidRDefault="0006209F">
            <w:pPr>
              <w:pStyle w:val="aff7"/>
              <w:widowControl w:val="0"/>
              <w:numPr>
                <w:ilvl w:val="3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jc w:val="left"/>
              <w:textAlignment w:val="auto"/>
            </w:pPr>
            <w:r>
              <w:t>Specify the RSD requirements on the example bands, if necessary</w:t>
            </w:r>
          </w:p>
          <w:p w:rsidR="00C50A90" w:rsidRDefault="0006209F">
            <w:pPr>
              <w:pStyle w:val="aff7"/>
              <w:widowControl w:val="0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line="240" w:lineRule="auto"/>
              <w:ind w:firstLineChars="0"/>
              <w:textAlignment w:val="auto"/>
            </w:pPr>
            <w:r>
              <w:t xml:space="preserve">Specify the necessary </w:t>
            </w:r>
            <w:proofErr w:type="spellStart"/>
            <w:r>
              <w:t>signaling</w:t>
            </w:r>
            <w:proofErr w:type="spellEnd"/>
            <w:r>
              <w:t xml:space="preserve"> to support the above objectives</w:t>
            </w:r>
          </w:p>
        </w:tc>
      </w:tr>
    </w:tbl>
    <w:p w:rsidR="00C50A90" w:rsidRDefault="0006209F">
      <w:pPr>
        <w:spacing w:beforeLines="50" w:before="120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In this contribution, some views on remaining open issues for NR-NTN HPUE are provided.  </w:t>
      </w:r>
    </w:p>
    <w:p w:rsidR="00C50A90" w:rsidRDefault="0006209F">
      <w:pPr>
        <w:pStyle w:val="1"/>
        <w:numPr>
          <w:ilvl w:val="0"/>
          <w:numId w:val="3"/>
        </w:numPr>
        <w:rPr>
          <w:rFonts w:ascii="Times New Roman" w:hAnsi="Times New Roman"/>
          <w:lang w:val="en-GB" w:eastAsia="ja-JP"/>
        </w:rPr>
      </w:pPr>
      <w:r>
        <w:rPr>
          <w:rFonts w:ascii="Times New Roman" w:hAnsi="Times New Roman"/>
          <w:lang w:val="en-GB" w:eastAsia="ja-JP"/>
        </w:rPr>
        <w:t>Discussion</w:t>
      </w:r>
    </w:p>
    <w:p w:rsidR="00C50A90" w:rsidRDefault="0006209F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/>
          <w:bCs/>
          <w:u w:val="single"/>
          <w:lang w:eastAsia="zh-CN"/>
        </w:rPr>
        <w:t xml:space="preserve">Power class and applicable device types </w:t>
      </w:r>
    </w:p>
    <w:p w:rsidR="00C50A90" w:rsidRDefault="0006209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Supported device types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each PC depend on feasibility study and corresponding requirements. In the table below, we summarize the current progress. </w:t>
      </w:r>
    </w:p>
    <w:p w:rsidR="00C50A90" w:rsidRDefault="0006209F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Table 1 Applicable device types for different PC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4536"/>
      </w:tblGrid>
      <w:tr w:rsidR="00C50A90">
        <w:trPr>
          <w:trHeight w:val="643"/>
          <w:jc w:val="center"/>
        </w:trPr>
        <w:tc>
          <w:tcPr>
            <w:tcW w:w="2405" w:type="dxa"/>
            <w:vAlign w:val="center"/>
          </w:tcPr>
          <w:p w:rsidR="00C50A90" w:rsidRDefault="0006209F">
            <w:pPr>
              <w:jc w:val="center"/>
              <w:rPr>
                <w:rFonts w:eastAsiaTheme="minorEastAsia"/>
                <w:b/>
                <w:bCs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szCs w:val="18"/>
                <w:lang w:eastAsia="zh-CN"/>
              </w:rPr>
              <w:t>Power class</w:t>
            </w:r>
          </w:p>
        </w:tc>
        <w:tc>
          <w:tcPr>
            <w:tcW w:w="4536" w:type="dxa"/>
            <w:vAlign w:val="center"/>
          </w:tcPr>
          <w:p w:rsidR="00C50A90" w:rsidRDefault="0006209F">
            <w:pPr>
              <w:jc w:val="center"/>
              <w:rPr>
                <w:rFonts w:eastAsiaTheme="minorEastAsia"/>
                <w:b/>
                <w:bCs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szCs w:val="18"/>
                <w:lang w:eastAsia="zh-CN"/>
              </w:rPr>
              <w:t>Applicable device types and number of antennas</w:t>
            </w:r>
          </w:p>
        </w:tc>
      </w:tr>
      <w:tr w:rsidR="00C50A90">
        <w:trPr>
          <w:trHeight w:val="643"/>
          <w:jc w:val="center"/>
        </w:trPr>
        <w:tc>
          <w:tcPr>
            <w:tcW w:w="2405" w:type="dxa"/>
            <w:vAlign w:val="center"/>
          </w:tcPr>
          <w:p w:rsidR="00C50A90" w:rsidRDefault="0006209F">
            <w:pPr>
              <w:jc w:val="center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lastRenderedPageBreak/>
              <w:t>PC2</w:t>
            </w:r>
          </w:p>
        </w:tc>
        <w:tc>
          <w:tcPr>
            <w:tcW w:w="4536" w:type="dxa"/>
            <w:vAlign w:val="center"/>
          </w:tcPr>
          <w:p w:rsidR="00C50A90" w:rsidRDefault="0006209F">
            <w:pPr>
              <w:jc w:val="center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Handheld: 1Tx, 2Tx</w:t>
            </w:r>
          </w:p>
          <w:p w:rsidR="00C50A90" w:rsidRDefault="0006209F">
            <w:pPr>
              <w:jc w:val="center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Non-handheld: 1Tx, 2Tx</w:t>
            </w:r>
          </w:p>
        </w:tc>
      </w:tr>
      <w:tr w:rsidR="00C50A90">
        <w:trPr>
          <w:trHeight w:val="643"/>
          <w:jc w:val="center"/>
        </w:trPr>
        <w:tc>
          <w:tcPr>
            <w:tcW w:w="2405" w:type="dxa"/>
            <w:vAlign w:val="center"/>
          </w:tcPr>
          <w:p w:rsidR="00C50A90" w:rsidRDefault="0006209F">
            <w:pPr>
              <w:jc w:val="center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PC1.5</w:t>
            </w:r>
          </w:p>
        </w:tc>
        <w:tc>
          <w:tcPr>
            <w:tcW w:w="4536" w:type="dxa"/>
            <w:vAlign w:val="center"/>
          </w:tcPr>
          <w:p w:rsidR="00C50A90" w:rsidRDefault="0006209F">
            <w:pPr>
              <w:jc w:val="center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Non-handheld with 2Tx</w:t>
            </w:r>
          </w:p>
          <w:p w:rsidR="00C50A90" w:rsidRDefault="0006209F">
            <w:pPr>
              <w:jc w:val="center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FFS for others pending on available time in Rel-19</w:t>
            </w:r>
          </w:p>
        </w:tc>
      </w:tr>
      <w:tr w:rsidR="00C50A90">
        <w:trPr>
          <w:trHeight w:val="643"/>
          <w:jc w:val="center"/>
        </w:trPr>
        <w:tc>
          <w:tcPr>
            <w:tcW w:w="2405" w:type="dxa"/>
            <w:vAlign w:val="center"/>
          </w:tcPr>
          <w:p w:rsidR="00C50A90" w:rsidRDefault="0006209F">
            <w:pPr>
              <w:jc w:val="center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PC1</w:t>
            </w:r>
          </w:p>
        </w:tc>
        <w:tc>
          <w:tcPr>
            <w:tcW w:w="4536" w:type="dxa"/>
            <w:vAlign w:val="center"/>
          </w:tcPr>
          <w:p w:rsidR="00C50A90" w:rsidRDefault="0006209F">
            <w:pPr>
              <w:jc w:val="center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Non-handheld only: 1Tx, [4Tx]</w:t>
            </w:r>
          </w:p>
        </w:tc>
      </w:tr>
    </w:tbl>
    <w:p w:rsidR="00B25497" w:rsidRDefault="00B25497">
      <w:pPr>
        <w:rPr>
          <w:rFonts w:eastAsiaTheme="minorEastAsia"/>
          <w:lang w:eastAsia="zh-CN"/>
        </w:rPr>
      </w:pPr>
    </w:p>
    <w:p w:rsidR="00C50A90" w:rsidRPr="0094779A" w:rsidRDefault="0006209F">
      <w:pPr>
        <w:rPr>
          <w:rFonts w:eastAsiaTheme="minorEastAsia"/>
          <w:strike/>
          <w:lang w:eastAsia="zh-CN"/>
        </w:rPr>
      </w:pPr>
      <w:bookmarkStart w:id="1" w:name="_GoBack"/>
      <w:bookmarkEnd w:id="1"/>
      <w:r>
        <w:rPr>
          <w:rFonts w:eastAsiaTheme="minorEastAsia"/>
          <w:lang w:eastAsia="zh-CN"/>
        </w:rPr>
        <w:t xml:space="preserve">For NTN operation, uplink coverage is a major bottleneck. In addition to non-handheld device, we are interested in supporting PC1.5 and PC1 for handheld device as well. For PC1.5, we understand there are some limitations on RF front-end design (e.g. PA and Duplexer). On existing TN TDD bands, </w:t>
      </w:r>
      <w:bookmarkStart w:id="2" w:name="OLE_LINK3"/>
      <w:r>
        <w:rPr>
          <w:rFonts w:eastAsiaTheme="minorEastAsia"/>
          <w:lang w:eastAsia="zh-CN"/>
        </w:rPr>
        <w:t>PC1.5 was already supported</w:t>
      </w:r>
      <w:bookmarkEnd w:id="2"/>
      <w:r>
        <w:rPr>
          <w:rFonts w:eastAsiaTheme="minorEastAsia"/>
          <w:lang w:eastAsia="zh-CN"/>
        </w:rPr>
        <w:t xml:space="preserve"> for handheld devices with 2Tx (2 PC2 PA).  One possible way to support PC 1.5 for handheld device on NR NTN FDD bands is to reuse PC2 PA with HD-FDD mode which is also supported on TDD NR bands.</w:t>
      </w:r>
      <w:r w:rsidRPr="0094779A">
        <w:rPr>
          <w:rFonts w:eastAsiaTheme="minorEastAsia"/>
          <w:strike/>
          <w:lang w:val="en-US" w:eastAsia="zh-CN"/>
        </w:rPr>
        <w:t xml:space="preserve"> </w:t>
      </w:r>
    </w:p>
    <w:p w:rsidR="00C50A90" w:rsidRDefault="0006209F" w:rsidP="0097728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Considering the limitations of dual-antenna placement in handheld NTN terminals (with both antennas facing upward) and the dominance of Line-of-Sight (LOS) propagation in NTN channels—where achieving a 3dB gain with a 2TX configuration remains challenging—it is recommended to prioritize research on 1TX PC1.5 </w:t>
      </w:r>
      <w:r w:rsidR="0097728A">
        <w:rPr>
          <w:rFonts w:eastAsiaTheme="minorEastAsia"/>
          <w:lang w:eastAsia="zh-CN"/>
        </w:rPr>
        <w:t>technologies</w:t>
      </w:r>
      <w:r>
        <w:rPr>
          <w:rFonts w:eastAsiaTheme="minorEastAsia"/>
          <w:lang w:eastAsia="zh-CN"/>
        </w:rPr>
        <w:t>.</w:t>
      </w:r>
    </w:p>
    <w:p w:rsidR="00C50A90" w:rsidRDefault="0006209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last RAN4 meeting, several companies also proposed to study power boosting schemes to achieve high power, e.g.  requirements relaxation and RB allocation restriction [2] [3]. If supporting PC1.5 for handheld devices with FDD full-duplex is relatively difficult due to the limitations on RF front-end design at this stage, it is recommended to perform power boosting operations on some sub-carriers to achieve equivalent high power, thereby improving the uplink performance. </w:t>
      </w:r>
    </w:p>
    <w:p w:rsidR="00C50A90" w:rsidRDefault="0006209F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/>
          <w:bCs/>
          <w:u w:val="single"/>
          <w:lang w:eastAsia="zh-CN"/>
        </w:rPr>
        <w:t xml:space="preserve">PC1.5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50A90">
        <w:trPr>
          <w:trHeight w:val="2361"/>
        </w:trPr>
        <w:tc>
          <w:tcPr>
            <w:tcW w:w="9631" w:type="dxa"/>
          </w:tcPr>
          <w:p w:rsidR="00C50A90" w:rsidRDefault="0006209F">
            <w:pPr>
              <w:rPr>
                <w:rFonts w:eastAsiaTheme="minorEastAsia"/>
                <w:i/>
                <w:u w:val="single"/>
                <w:lang w:eastAsia="zh-CN"/>
              </w:rPr>
            </w:pPr>
            <w:r>
              <w:rPr>
                <w:rFonts w:eastAsiaTheme="minorEastAsia"/>
                <w:i/>
                <w:u w:val="single"/>
                <w:lang w:eastAsia="zh-CN"/>
              </w:rPr>
              <w:t>Previous agreements:</w:t>
            </w:r>
          </w:p>
          <w:p w:rsidR="00C50A90" w:rsidRDefault="0006209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Issue 1-10: PC 1.5 UE architecture assumption</w:t>
            </w:r>
          </w:p>
          <w:p w:rsidR="00C50A90" w:rsidRDefault="0006209F">
            <w:pPr>
              <w:rPr>
                <w:b/>
                <w:bCs/>
                <w:iCs/>
                <w:lang w:eastAsia="zh-CN"/>
              </w:rPr>
            </w:pPr>
            <w:r>
              <w:rPr>
                <w:rFonts w:hint="eastAsia"/>
                <w:b/>
                <w:bCs/>
                <w:iCs/>
                <w:lang w:eastAsia="zh-CN"/>
              </w:rPr>
              <w:t>A</w:t>
            </w:r>
            <w:r>
              <w:rPr>
                <w:b/>
                <w:bCs/>
                <w:iCs/>
                <w:lang w:eastAsia="zh-CN"/>
              </w:rPr>
              <w:t>greement:</w:t>
            </w:r>
          </w:p>
          <w:p w:rsidR="00C50A90" w:rsidRDefault="0006209F">
            <w:pPr>
              <w:pStyle w:val="aff7"/>
              <w:numPr>
                <w:ilvl w:val="0"/>
                <w:numId w:val="5"/>
              </w:numPr>
              <w:ind w:firstLineChars="0"/>
            </w:pPr>
            <w:bookmarkStart w:id="3" w:name="OLE_LINK2"/>
            <w:r>
              <w:t>PC1.5 for non-handheld NR-NTN UE is primarily considered with 2Tx in Rel-19</w:t>
            </w:r>
          </w:p>
          <w:p w:rsidR="00C50A90" w:rsidRDefault="0006209F">
            <w:pPr>
              <w:pStyle w:val="aff7"/>
              <w:numPr>
                <w:ilvl w:val="1"/>
                <w:numId w:val="5"/>
              </w:numPr>
              <w:overflowPunct/>
              <w:autoSpaceDE/>
              <w:autoSpaceDN/>
              <w:spacing w:line="240" w:lineRule="auto"/>
              <w:ind w:firstLineChars="0"/>
              <w:jc w:val="left"/>
              <w:textAlignment w:val="auto"/>
            </w:pPr>
            <w:r>
              <w:t>PC1.5 with 1Tx is not precluded but with low priority. It can be treated once PC1.5 with 2Tx work is done.</w:t>
            </w:r>
            <w:bookmarkEnd w:id="3"/>
          </w:p>
        </w:tc>
      </w:tr>
    </w:tbl>
    <w:p w:rsidR="00C50A90" w:rsidRDefault="00C50A90">
      <w:pPr>
        <w:rPr>
          <w:rFonts w:eastAsiaTheme="minorEastAsia"/>
          <w:lang w:eastAsia="zh-CN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50A90">
        <w:trPr>
          <w:trHeight w:val="2962"/>
        </w:trPr>
        <w:tc>
          <w:tcPr>
            <w:tcW w:w="9631" w:type="dxa"/>
          </w:tcPr>
          <w:p w:rsidR="00C50A90" w:rsidRDefault="0006209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Issue 1-12: Power boosting for PC2</w:t>
            </w:r>
          </w:p>
          <w:p w:rsidR="00C50A90" w:rsidRDefault="0006209F">
            <w:pPr>
              <w:rPr>
                <w:b/>
                <w:bCs/>
                <w:iCs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>Way forward:</w:t>
            </w:r>
          </w:p>
          <w:p w:rsidR="00C50A90" w:rsidRDefault="0006209F">
            <w:pPr>
              <w:pStyle w:val="aff7"/>
              <w:numPr>
                <w:ilvl w:val="0"/>
                <w:numId w:val="5"/>
              </w:numPr>
              <w:ind w:firstLineChars="0"/>
            </w:pPr>
            <w:r>
              <w:t>Further discuss evaluate the PC2 NTN power boosting option with low priority if time allows, and not target to define in Rel-19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.</w:t>
            </w:r>
          </w:p>
          <w:p w:rsidR="00C50A90" w:rsidRDefault="0006209F">
            <w:pPr>
              <w:pStyle w:val="aff7"/>
              <w:numPr>
                <w:ilvl w:val="1"/>
                <w:numId w:val="5"/>
              </w:numPr>
              <w:ind w:firstLineChars="0"/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urther discuss following assumptions:</w:t>
            </w:r>
          </w:p>
          <w:p w:rsidR="00C50A90" w:rsidRDefault="0006209F">
            <w:pPr>
              <w:pStyle w:val="aff7"/>
              <w:numPr>
                <w:ilvl w:val="2"/>
                <w:numId w:val="5"/>
              </w:numPr>
              <w:ind w:firstLineChars="0"/>
            </w:pPr>
            <w:r>
              <w:t>PC2 1Tx PA using existing TN impairment and targeting inner third allocations.</w:t>
            </w:r>
          </w:p>
          <w:p w:rsidR="00C50A90" w:rsidRDefault="0006209F">
            <w:pPr>
              <w:pStyle w:val="aff7"/>
              <w:numPr>
                <w:ilvl w:val="2"/>
                <w:numId w:val="5"/>
              </w:numPr>
              <w:ind w:firstLineChars="0"/>
            </w:pPr>
            <w:r>
              <w:t>Applicable to both TN and NTN.</w:t>
            </w:r>
          </w:p>
          <w:p w:rsidR="00C50A90" w:rsidRDefault="0006209F" w:rsidP="00F275F2">
            <w:pPr>
              <w:pStyle w:val="aff7"/>
              <w:numPr>
                <w:ilvl w:val="2"/>
                <w:numId w:val="5"/>
              </w:numPr>
              <w:ind w:firstLineChars="0"/>
            </w:pPr>
            <w:r>
              <w:t>FFS applicability of such boosting to multi-Tx based on PC2 PAs.</w:t>
            </w:r>
          </w:p>
        </w:tc>
      </w:tr>
    </w:tbl>
    <w:p w:rsidR="00C50A90" w:rsidRDefault="00C50A90">
      <w:pPr>
        <w:rPr>
          <w:rFonts w:eastAsiaTheme="minorEastAsia"/>
          <w:lang w:eastAsia="zh-CN"/>
        </w:rPr>
      </w:pPr>
    </w:p>
    <w:p w:rsidR="00C50A90" w:rsidRDefault="0006209F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eastAsia="zh-CN"/>
        </w:rPr>
        <w:t>Proposal 1: Support 1Tx/2Tx PC1.5 for</w:t>
      </w:r>
      <w:r>
        <w:rPr>
          <w:rFonts w:eastAsiaTheme="minorEastAsia" w:hint="eastAsia"/>
          <w:b/>
          <w:bCs/>
          <w:lang w:val="en-US"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handheld devices</w:t>
      </w:r>
      <w:r>
        <w:rPr>
          <w:rFonts w:eastAsiaTheme="minorEastAsia"/>
          <w:b/>
          <w:bCs/>
          <w:lang w:val="en-US" w:eastAsia="zh-CN"/>
        </w:rPr>
        <w:t xml:space="preserve"> with HD-FDD mode</w:t>
      </w:r>
      <w:r>
        <w:rPr>
          <w:rFonts w:eastAsiaTheme="minorEastAsia" w:hint="eastAsia"/>
          <w:b/>
          <w:bCs/>
          <w:lang w:val="en-US" w:eastAsia="zh-CN"/>
        </w:rPr>
        <w:t>.</w:t>
      </w:r>
    </w:p>
    <w:p w:rsidR="0097728A" w:rsidRDefault="0097728A" w:rsidP="0097728A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Proposal 2:  Prioritize 1TX </w:t>
      </w:r>
      <w:r>
        <w:rPr>
          <w:rFonts w:eastAsiaTheme="minorEastAsia"/>
          <w:b/>
          <w:bCs/>
          <w:lang w:eastAsia="zh-CN"/>
        </w:rPr>
        <w:t xml:space="preserve">PC1.5 </w:t>
      </w:r>
      <w:r>
        <w:rPr>
          <w:rFonts w:eastAsiaTheme="minorEastAsia" w:hint="eastAsia"/>
          <w:b/>
          <w:bCs/>
          <w:lang w:val="en-US" w:eastAsia="zh-CN"/>
        </w:rPr>
        <w:t xml:space="preserve">research </w:t>
      </w:r>
      <w:r>
        <w:rPr>
          <w:rFonts w:eastAsiaTheme="minorEastAsia"/>
          <w:b/>
          <w:bCs/>
          <w:lang w:eastAsia="zh-CN"/>
        </w:rPr>
        <w:t>for</w:t>
      </w:r>
      <w:r>
        <w:rPr>
          <w:rFonts w:eastAsiaTheme="minorEastAsia" w:hint="eastAsia"/>
          <w:b/>
          <w:bCs/>
          <w:lang w:val="en-US"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handheld devices</w:t>
      </w:r>
      <w:r>
        <w:rPr>
          <w:rFonts w:eastAsiaTheme="minorEastAsia" w:hint="eastAsia"/>
          <w:b/>
          <w:bCs/>
          <w:lang w:val="en-US" w:eastAsia="zh-CN"/>
        </w:rPr>
        <w:t>.</w:t>
      </w:r>
    </w:p>
    <w:p w:rsidR="00C50A90" w:rsidRDefault="0006209F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lastRenderedPageBreak/>
        <w:t xml:space="preserve">Observation 1: It’s worth to further study power boosting schemes for both PC2 and PC1.5. </w:t>
      </w:r>
    </w:p>
    <w:p w:rsidR="00C50A90" w:rsidRDefault="0006209F">
      <w:pPr>
        <w:pStyle w:val="1"/>
        <w:numPr>
          <w:ilvl w:val="0"/>
          <w:numId w:val="3"/>
        </w:numPr>
        <w:rPr>
          <w:rFonts w:ascii="Times New Roman" w:eastAsia="Malgun Gothic" w:hAnsi="Times New Roman"/>
          <w:lang w:eastAsia="ko-KR"/>
        </w:rPr>
      </w:pPr>
      <w:r>
        <w:rPr>
          <w:rFonts w:ascii="Times New Roman" w:eastAsia="Malgun Gothic" w:hAnsi="Times New Roman"/>
          <w:lang w:eastAsia="ko-KR"/>
        </w:rPr>
        <w:t>Conclusion</w:t>
      </w:r>
    </w:p>
    <w:p w:rsidR="00C50A90" w:rsidRDefault="0006209F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In this contribution, views on remaining open issues for NR-NTN HPUE are provided.  </w:t>
      </w:r>
    </w:p>
    <w:p w:rsidR="00C50A90" w:rsidRDefault="0006209F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Proposal 1: </w:t>
      </w:r>
      <w:r>
        <w:rPr>
          <w:rFonts w:eastAsiaTheme="minorEastAsia"/>
          <w:b/>
          <w:bCs/>
          <w:lang w:val="en-US" w:eastAsia="zh-CN"/>
        </w:rPr>
        <w:t>Support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1Tx/2Tx PC1.5 for handheld devices with HD-FDD mode.  </w:t>
      </w:r>
    </w:p>
    <w:p w:rsidR="00C50A90" w:rsidRDefault="0006209F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Proposal 2:  Prioritize 1TX </w:t>
      </w:r>
      <w:r>
        <w:rPr>
          <w:rFonts w:eastAsiaTheme="minorEastAsia"/>
          <w:b/>
          <w:bCs/>
          <w:lang w:eastAsia="zh-CN"/>
        </w:rPr>
        <w:t xml:space="preserve">PC1.5 </w:t>
      </w:r>
      <w:r>
        <w:rPr>
          <w:rFonts w:eastAsiaTheme="minorEastAsia" w:hint="eastAsia"/>
          <w:b/>
          <w:bCs/>
          <w:lang w:val="en-US" w:eastAsia="zh-CN"/>
        </w:rPr>
        <w:t xml:space="preserve">research </w:t>
      </w:r>
      <w:r>
        <w:rPr>
          <w:rFonts w:eastAsiaTheme="minorEastAsia"/>
          <w:b/>
          <w:bCs/>
          <w:lang w:eastAsia="zh-CN"/>
        </w:rPr>
        <w:t>for</w:t>
      </w:r>
      <w:r>
        <w:rPr>
          <w:rFonts w:eastAsiaTheme="minorEastAsia" w:hint="eastAsia"/>
          <w:b/>
          <w:bCs/>
          <w:lang w:val="en-US"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handheld devices</w:t>
      </w:r>
      <w:r>
        <w:rPr>
          <w:rFonts w:eastAsiaTheme="minorEastAsia" w:hint="eastAsia"/>
          <w:b/>
          <w:bCs/>
          <w:lang w:val="en-US" w:eastAsia="zh-CN"/>
        </w:rPr>
        <w:t>.</w:t>
      </w:r>
    </w:p>
    <w:p w:rsidR="00C50A90" w:rsidRDefault="0006209F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Observation 1: It’s worth to further study power boosting schemes for both PC2 and PC1.5.  </w:t>
      </w:r>
    </w:p>
    <w:p w:rsidR="00C50A90" w:rsidRDefault="0006209F">
      <w:pPr>
        <w:pStyle w:val="1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  <w:lang w:val="en-US" w:eastAsia="ja-JP"/>
        </w:rPr>
        <w:t>Reference</w:t>
      </w:r>
    </w:p>
    <w:p w:rsidR="00C50A90" w:rsidRDefault="0006209F">
      <w:r>
        <w:t xml:space="preserve">[1] </w:t>
      </w:r>
      <w:bookmarkStart w:id="4" w:name="_Ref13820109"/>
      <w:r>
        <w:t>RP-</w:t>
      </w:r>
      <w:bookmarkStart w:id="5" w:name="OLE_LINK1"/>
      <w:r>
        <w:t>242901</w:t>
      </w:r>
      <w:bookmarkEnd w:id="5"/>
      <w:r>
        <w:t>, “Revised WID on Enhanced requirements and conductive test methodology for NR NTN and IoT NTN”</w:t>
      </w:r>
    </w:p>
    <w:p w:rsidR="00C50A90" w:rsidRDefault="0006209F">
      <w:r>
        <w:t>[2] R4-</w:t>
      </w:r>
      <w:bookmarkStart w:id="6" w:name="OLE_LINK4"/>
      <w:r>
        <w:t>250</w:t>
      </w:r>
      <w:r>
        <w:rPr>
          <w:rFonts w:hint="eastAsia"/>
          <w:lang w:val="en-US" w:eastAsia="zh-CN"/>
        </w:rPr>
        <w:t>7567</w:t>
      </w:r>
      <w:bookmarkEnd w:id="6"/>
      <w:r>
        <w:t>, “Topic summary for [11</w:t>
      </w:r>
      <w:r>
        <w:rPr>
          <w:rFonts w:hint="eastAsia"/>
          <w:lang w:val="en-US" w:eastAsia="zh-CN"/>
        </w:rPr>
        <w:t>5</w:t>
      </w:r>
      <w:r>
        <w:t xml:space="preserve">] [128] NR_IoT_NTN_HPUE_part1”, </w:t>
      </w:r>
      <w:bookmarkEnd w:id="4"/>
      <w:r>
        <w:t>Moderator (Samsung)</w:t>
      </w:r>
    </w:p>
    <w:p w:rsidR="00C50A90" w:rsidRDefault="0006209F">
      <w:r>
        <w:t>[3] R4-250</w:t>
      </w:r>
      <w:r>
        <w:rPr>
          <w:rFonts w:hint="eastAsia"/>
          <w:lang w:val="en-US" w:eastAsia="zh-CN"/>
        </w:rPr>
        <w:t>7568</w:t>
      </w:r>
      <w:r>
        <w:t>, “Topic summary for [11</w:t>
      </w:r>
      <w:r>
        <w:rPr>
          <w:rFonts w:hint="eastAsia"/>
          <w:lang w:val="en-US" w:eastAsia="zh-CN"/>
        </w:rPr>
        <w:t>5</w:t>
      </w:r>
      <w:r>
        <w:t>] [129] NR_IoT_NTN_HPUE_part2”, Moderator (vivo)</w:t>
      </w:r>
    </w:p>
    <w:p w:rsidR="00C50A90" w:rsidRDefault="0006209F">
      <w:r>
        <w:t xml:space="preserve">[4] </w:t>
      </w:r>
      <w:hyperlink r:id="rId9" w:history="1">
        <w:r>
          <w:t>R4-250</w:t>
        </w:r>
      </w:hyperlink>
      <w:r>
        <w:rPr>
          <w:rFonts w:hint="eastAsia"/>
          <w:lang w:val="en-US" w:eastAsia="zh-CN"/>
        </w:rPr>
        <w:t>8008</w:t>
      </w:r>
      <w:r>
        <w:t>,</w:t>
      </w:r>
      <w:r>
        <w:tab/>
        <w:t xml:space="preserve"> “</w:t>
      </w:r>
      <w:r>
        <w:rPr>
          <w:lang w:val="en-US" w:eastAsia="zh-CN"/>
        </w:rPr>
        <w:t>WF on NR_IoT_NTN_HPUE_part</w:t>
      </w:r>
      <w:r>
        <w:rPr>
          <w:rFonts w:hint="eastAsia"/>
          <w:lang w:val="en-US" w:eastAsia="zh-CN"/>
        </w:rPr>
        <w:t>1</w:t>
      </w:r>
      <w:r>
        <w:t xml:space="preserve">”, Samsung </w:t>
      </w:r>
    </w:p>
    <w:p w:rsidR="00C50A90" w:rsidRDefault="0006209F">
      <w:r>
        <w:t xml:space="preserve">[5] </w:t>
      </w:r>
      <w:hyperlink r:id="rId10" w:history="1">
        <w:r>
          <w:t>R4-250</w:t>
        </w:r>
      </w:hyperlink>
      <w:r>
        <w:rPr>
          <w:rFonts w:hint="eastAsia"/>
          <w:lang w:val="en-US" w:eastAsia="zh-CN"/>
        </w:rPr>
        <w:t>8007</w:t>
      </w:r>
      <w:r>
        <w:t>,</w:t>
      </w:r>
      <w:r>
        <w:tab/>
        <w:t>“</w:t>
      </w:r>
      <w:r>
        <w:rPr>
          <w:lang w:val="en-US" w:eastAsia="zh-CN"/>
        </w:rPr>
        <w:t>WF on NR_IoT_NTN_HPUE_part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,v</w:t>
      </w:r>
      <w:r w:rsidRPr="006A1D7D">
        <w:rPr>
          <w:rFonts w:hint="eastAsia"/>
          <w:lang w:val="en-US" w:eastAsia="zh-CN"/>
        </w:rPr>
        <w:t>ivo</w:t>
      </w:r>
    </w:p>
    <w:sectPr w:rsidR="00C50A90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7A59" w:rsidRDefault="00A57A59">
      <w:pPr>
        <w:spacing w:line="240" w:lineRule="auto"/>
      </w:pPr>
      <w:r>
        <w:separator/>
      </w:r>
    </w:p>
  </w:endnote>
  <w:endnote w:type="continuationSeparator" w:id="0">
    <w:p w:rsidR="00A57A59" w:rsidRDefault="00A57A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7A59" w:rsidRDefault="00A57A59">
      <w:pPr>
        <w:spacing w:after="0"/>
      </w:pPr>
      <w:r>
        <w:separator/>
      </w:r>
    </w:p>
  </w:footnote>
  <w:footnote w:type="continuationSeparator" w:id="0">
    <w:p w:rsidR="00A57A59" w:rsidRDefault="00A57A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06C21"/>
    <w:multiLevelType w:val="multilevel"/>
    <w:tmpl w:val="0B206C2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0014C3"/>
    <w:multiLevelType w:val="multilevel"/>
    <w:tmpl w:val="0C0014C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AD37A3D"/>
    <w:multiLevelType w:val="multilevel"/>
    <w:tmpl w:val="3AD37A3D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E2E080D"/>
    <w:multiLevelType w:val="multilevel"/>
    <w:tmpl w:val="4E2E080D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WRjMzZhZDkwNjk4Y2RjNTRlZjc2MzRlNWY0MzJkMjQifQ=="/>
    <w:docVar w:name="KSO_WPS_MARK_KEY" w:val="aaa6315e-2a62-4a7e-9910-df9829df4742"/>
  </w:docVars>
  <w:rsids>
    <w:rsidRoot w:val="00282213"/>
    <w:rsid w:val="00000265"/>
    <w:rsid w:val="0000223C"/>
    <w:rsid w:val="0000390D"/>
    <w:rsid w:val="00004165"/>
    <w:rsid w:val="0000707D"/>
    <w:rsid w:val="00010932"/>
    <w:rsid w:val="00012968"/>
    <w:rsid w:val="00014BD4"/>
    <w:rsid w:val="0001661A"/>
    <w:rsid w:val="00020C56"/>
    <w:rsid w:val="000212C3"/>
    <w:rsid w:val="0002340D"/>
    <w:rsid w:val="00026ACC"/>
    <w:rsid w:val="000274CB"/>
    <w:rsid w:val="00030B9D"/>
    <w:rsid w:val="0003171D"/>
    <w:rsid w:val="00031C1D"/>
    <w:rsid w:val="00032320"/>
    <w:rsid w:val="000354B4"/>
    <w:rsid w:val="00035C50"/>
    <w:rsid w:val="000457A1"/>
    <w:rsid w:val="00047C6A"/>
    <w:rsid w:val="00050001"/>
    <w:rsid w:val="00052041"/>
    <w:rsid w:val="0005326A"/>
    <w:rsid w:val="0005447B"/>
    <w:rsid w:val="00056590"/>
    <w:rsid w:val="000618FB"/>
    <w:rsid w:val="0006209F"/>
    <w:rsid w:val="0006266D"/>
    <w:rsid w:val="00065506"/>
    <w:rsid w:val="000662CB"/>
    <w:rsid w:val="0007073C"/>
    <w:rsid w:val="0007382E"/>
    <w:rsid w:val="00074700"/>
    <w:rsid w:val="00075522"/>
    <w:rsid w:val="00076096"/>
    <w:rsid w:val="000766E1"/>
    <w:rsid w:val="00077FF6"/>
    <w:rsid w:val="00080567"/>
    <w:rsid w:val="0008099C"/>
    <w:rsid w:val="00080D82"/>
    <w:rsid w:val="00081692"/>
    <w:rsid w:val="00082C46"/>
    <w:rsid w:val="00084302"/>
    <w:rsid w:val="000843E4"/>
    <w:rsid w:val="00085A0E"/>
    <w:rsid w:val="00086016"/>
    <w:rsid w:val="00087548"/>
    <w:rsid w:val="00090DFC"/>
    <w:rsid w:val="00093E7E"/>
    <w:rsid w:val="0009497C"/>
    <w:rsid w:val="00095AFC"/>
    <w:rsid w:val="00096BCE"/>
    <w:rsid w:val="000A1830"/>
    <w:rsid w:val="000A2533"/>
    <w:rsid w:val="000A3DE4"/>
    <w:rsid w:val="000A4121"/>
    <w:rsid w:val="000A4AA3"/>
    <w:rsid w:val="000A550E"/>
    <w:rsid w:val="000A7717"/>
    <w:rsid w:val="000A7CFE"/>
    <w:rsid w:val="000B0960"/>
    <w:rsid w:val="000B1A55"/>
    <w:rsid w:val="000B1EDF"/>
    <w:rsid w:val="000B20BB"/>
    <w:rsid w:val="000B2EE5"/>
    <w:rsid w:val="000B2EF6"/>
    <w:rsid w:val="000B2FA6"/>
    <w:rsid w:val="000B4AA0"/>
    <w:rsid w:val="000C2553"/>
    <w:rsid w:val="000C38C3"/>
    <w:rsid w:val="000C5C42"/>
    <w:rsid w:val="000C758B"/>
    <w:rsid w:val="000C75FE"/>
    <w:rsid w:val="000D09FD"/>
    <w:rsid w:val="000D0F50"/>
    <w:rsid w:val="000D1436"/>
    <w:rsid w:val="000D41EA"/>
    <w:rsid w:val="000D44FB"/>
    <w:rsid w:val="000D4571"/>
    <w:rsid w:val="000D574B"/>
    <w:rsid w:val="000D5EE7"/>
    <w:rsid w:val="000D6CFC"/>
    <w:rsid w:val="000E12FE"/>
    <w:rsid w:val="000E2D93"/>
    <w:rsid w:val="000E383B"/>
    <w:rsid w:val="000E3A9E"/>
    <w:rsid w:val="000E537B"/>
    <w:rsid w:val="000E57D0"/>
    <w:rsid w:val="000E7858"/>
    <w:rsid w:val="000F1688"/>
    <w:rsid w:val="000F259D"/>
    <w:rsid w:val="000F2D77"/>
    <w:rsid w:val="000F3305"/>
    <w:rsid w:val="000F39CA"/>
    <w:rsid w:val="000F3CA5"/>
    <w:rsid w:val="000F69E4"/>
    <w:rsid w:val="000F76CA"/>
    <w:rsid w:val="000F7D22"/>
    <w:rsid w:val="00100DA7"/>
    <w:rsid w:val="0010302B"/>
    <w:rsid w:val="001044B2"/>
    <w:rsid w:val="00104F07"/>
    <w:rsid w:val="00105A2B"/>
    <w:rsid w:val="00107210"/>
    <w:rsid w:val="00107927"/>
    <w:rsid w:val="00107A33"/>
    <w:rsid w:val="00110E26"/>
    <w:rsid w:val="00111321"/>
    <w:rsid w:val="00111F0D"/>
    <w:rsid w:val="00114C0A"/>
    <w:rsid w:val="00114EEC"/>
    <w:rsid w:val="00117BD6"/>
    <w:rsid w:val="001200CB"/>
    <w:rsid w:val="001206C2"/>
    <w:rsid w:val="00121978"/>
    <w:rsid w:val="0012284F"/>
    <w:rsid w:val="00123422"/>
    <w:rsid w:val="00124B6A"/>
    <w:rsid w:val="001253FC"/>
    <w:rsid w:val="0012606F"/>
    <w:rsid w:val="0012680B"/>
    <w:rsid w:val="0013241B"/>
    <w:rsid w:val="00136D4C"/>
    <w:rsid w:val="00142538"/>
    <w:rsid w:val="00142BB9"/>
    <w:rsid w:val="00144600"/>
    <w:rsid w:val="00144F96"/>
    <w:rsid w:val="00145A0F"/>
    <w:rsid w:val="00145AF7"/>
    <w:rsid w:val="00147C92"/>
    <w:rsid w:val="00151EAC"/>
    <w:rsid w:val="00153528"/>
    <w:rsid w:val="00153F1B"/>
    <w:rsid w:val="00154899"/>
    <w:rsid w:val="00154E68"/>
    <w:rsid w:val="0015705E"/>
    <w:rsid w:val="001609D3"/>
    <w:rsid w:val="001611BD"/>
    <w:rsid w:val="00162548"/>
    <w:rsid w:val="00164FBD"/>
    <w:rsid w:val="0016577C"/>
    <w:rsid w:val="001659DA"/>
    <w:rsid w:val="001675AE"/>
    <w:rsid w:val="00172183"/>
    <w:rsid w:val="001730CF"/>
    <w:rsid w:val="001750F9"/>
    <w:rsid w:val="001751AB"/>
    <w:rsid w:val="00175376"/>
    <w:rsid w:val="00175708"/>
    <w:rsid w:val="00175A3F"/>
    <w:rsid w:val="00176681"/>
    <w:rsid w:val="00180B2B"/>
    <w:rsid w:val="00180E09"/>
    <w:rsid w:val="001825AE"/>
    <w:rsid w:val="001829AA"/>
    <w:rsid w:val="001834D9"/>
    <w:rsid w:val="00183D4C"/>
    <w:rsid w:val="00183F6D"/>
    <w:rsid w:val="001842EC"/>
    <w:rsid w:val="0018670E"/>
    <w:rsid w:val="00186A34"/>
    <w:rsid w:val="001900DB"/>
    <w:rsid w:val="00191A74"/>
    <w:rsid w:val="0019219A"/>
    <w:rsid w:val="00192DE9"/>
    <w:rsid w:val="00194122"/>
    <w:rsid w:val="00194CAC"/>
    <w:rsid w:val="00195077"/>
    <w:rsid w:val="00195939"/>
    <w:rsid w:val="00195BE8"/>
    <w:rsid w:val="001A033F"/>
    <w:rsid w:val="001A08AA"/>
    <w:rsid w:val="001A22A5"/>
    <w:rsid w:val="001A2422"/>
    <w:rsid w:val="001A44C8"/>
    <w:rsid w:val="001A59CB"/>
    <w:rsid w:val="001B48ED"/>
    <w:rsid w:val="001B6595"/>
    <w:rsid w:val="001B7991"/>
    <w:rsid w:val="001B79E8"/>
    <w:rsid w:val="001C0523"/>
    <w:rsid w:val="001C053A"/>
    <w:rsid w:val="001C1409"/>
    <w:rsid w:val="001C2AE6"/>
    <w:rsid w:val="001C4196"/>
    <w:rsid w:val="001C4A89"/>
    <w:rsid w:val="001C5F4F"/>
    <w:rsid w:val="001C6177"/>
    <w:rsid w:val="001D0363"/>
    <w:rsid w:val="001D12B4"/>
    <w:rsid w:val="001D1A40"/>
    <w:rsid w:val="001D4BBB"/>
    <w:rsid w:val="001D6441"/>
    <w:rsid w:val="001D7D94"/>
    <w:rsid w:val="001E0A28"/>
    <w:rsid w:val="001E4218"/>
    <w:rsid w:val="001E62CE"/>
    <w:rsid w:val="001E659F"/>
    <w:rsid w:val="001F0B20"/>
    <w:rsid w:val="001F1849"/>
    <w:rsid w:val="001F2A64"/>
    <w:rsid w:val="001F31DA"/>
    <w:rsid w:val="001F3955"/>
    <w:rsid w:val="001F68AB"/>
    <w:rsid w:val="00200A62"/>
    <w:rsid w:val="002013CB"/>
    <w:rsid w:val="00203740"/>
    <w:rsid w:val="002062DB"/>
    <w:rsid w:val="002072CE"/>
    <w:rsid w:val="0021041A"/>
    <w:rsid w:val="00210CA5"/>
    <w:rsid w:val="00210F1C"/>
    <w:rsid w:val="00211C8C"/>
    <w:rsid w:val="002138EA"/>
    <w:rsid w:val="002139EA"/>
    <w:rsid w:val="00213F84"/>
    <w:rsid w:val="0021494B"/>
    <w:rsid w:val="00214FBD"/>
    <w:rsid w:val="00215A95"/>
    <w:rsid w:val="00215FF9"/>
    <w:rsid w:val="00220423"/>
    <w:rsid w:val="002204A3"/>
    <w:rsid w:val="002206D9"/>
    <w:rsid w:val="00220EB9"/>
    <w:rsid w:val="00221E08"/>
    <w:rsid w:val="00222897"/>
    <w:rsid w:val="00222B0C"/>
    <w:rsid w:val="00223F35"/>
    <w:rsid w:val="0022589D"/>
    <w:rsid w:val="002262C1"/>
    <w:rsid w:val="0022633F"/>
    <w:rsid w:val="002278D0"/>
    <w:rsid w:val="002306AA"/>
    <w:rsid w:val="0023358C"/>
    <w:rsid w:val="00235394"/>
    <w:rsid w:val="00235577"/>
    <w:rsid w:val="002371B2"/>
    <w:rsid w:val="002435CA"/>
    <w:rsid w:val="00243618"/>
    <w:rsid w:val="0024469F"/>
    <w:rsid w:val="00250B5B"/>
    <w:rsid w:val="00252DB8"/>
    <w:rsid w:val="002537BC"/>
    <w:rsid w:val="00255C58"/>
    <w:rsid w:val="00260EC7"/>
    <w:rsid w:val="00261539"/>
    <w:rsid w:val="0026179F"/>
    <w:rsid w:val="00265DB9"/>
    <w:rsid w:val="002666AE"/>
    <w:rsid w:val="00267AB7"/>
    <w:rsid w:val="00271A64"/>
    <w:rsid w:val="002726BC"/>
    <w:rsid w:val="002733D7"/>
    <w:rsid w:val="00274E1A"/>
    <w:rsid w:val="00275C3F"/>
    <w:rsid w:val="00275F70"/>
    <w:rsid w:val="00276D3E"/>
    <w:rsid w:val="00277074"/>
    <w:rsid w:val="002775B1"/>
    <w:rsid w:val="002775B9"/>
    <w:rsid w:val="002811C4"/>
    <w:rsid w:val="00282213"/>
    <w:rsid w:val="00284016"/>
    <w:rsid w:val="00284439"/>
    <w:rsid w:val="002858BF"/>
    <w:rsid w:val="00292FE9"/>
    <w:rsid w:val="002939AF"/>
    <w:rsid w:val="00294491"/>
    <w:rsid w:val="00294BDE"/>
    <w:rsid w:val="002A0C0E"/>
    <w:rsid w:val="002A0CED"/>
    <w:rsid w:val="002A332E"/>
    <w:rsid w:val="002A491D"/>
    <w:rsid w:val="002A4CD0"/>
    <w:rsid w:val="002A7DA6"/>
    <w:rsid w:val="002B4580"/>
    <w:rsid w:val="002B516C"/>
    <w:rsid w:val="002B5E1D"/>
    <w:rsid w:val="002B60C1"/>
    <w:rsid w:val="002C4848"/>
    <w:rsid w:val="002C4B52"/>
    <w:rsid w:val="002C51DB"/>
    <w:rsid w:val="002C5842"/>
    <w:rsid w:val="002D0234"/>
    <w:rsid w:val="002D03E5"/>
    <w:rsid w:val="002D181D"/>
    <w:rsid w:val="002D21F3"/>
    <w:rsid w:val="002D2F1E"/>
    <w:rsid w:val="002D36EB"/>
    <w:rsid w:val="002D3C32"/>
    <w:rsid w:val="002D3D84"/>
    <w:rsid w:val="002D4D0D"/>
    <w:rsid w:val="002D515E"/>
    <w:rsid w:val="002D62D9"/>
    <w:rsid w:val="002D6BDF"/>
    <w:rsid w:val="002D7E2E"/>
    <w:rsid w:val="002D7EA9"/>
    <w:rsid w:val="002E0A4D"/>
    <w:rsid w:val="002E1836"/>
    <w:rsid w:val="002E2CE9"/>
    <w:rsid w:val="002E3BF7"/>
    <w:rsid w:val="002E403E"/>
    <w:rsid w:val="002E4C74"/>
    <w:rsid w:val="002F158C"/>
    <w:rsid w:val="002F382A"/>
    <w:rsid w:val="002F4093"/>
    <w:rsid w:val="002F4847"/>
    <w:rsid w:val="002F5636"/>
    <w:rsid w:val="00300CB9"/>
    <w:rsid w:val="003015F1"/>
    <w:rsid w:val="003022A5"/>
    <w:rsid w:val="00302BB0"/>
    <w:rsid w:val="00303EEB"/>
    <w:rsid w:val="003062EF"/>
    <w:rsid w:val="00307E51"/>
    <w:rsid w:val="003100C2"/>
    <w:rsid w:val="00311363"/>
    <w:rsid w:val="0031472F"/>
    <w:rsid w:val="00315867"/>
    <w:rsid w:val="00317D8E"/>
    <w:rsid w:val="00321150"/>
    <w:rsid w:val="00321E07"/>
    <w:rsid w:val="00322585"/>
    <w:rsid w:val="0032266F"/>
    <w:rsid w:val="00323D30"/>
    <w:rsid w:val="003251C6"/>
    <w:rsid w:val="00325580"/>
    <w:rsid w:val="003260D7"/>
    <w:rsid w:val="003261DD"/>
    <w:rsid w:val="003273FB"/>
    <w:rsid w:val="00330C6F"/>
    <w:rsid w:val="0033451C"/>
    <w:rsid w:val="00336697"/>
    <w:rsid w:val="0033724A"/>
    <w:rsid w:val="00337656"/>
    <w:rsid w:val="00337831"/>
    <w:rsid w:val="003415DC"/>
    <w:rsid w:val="003418CB"/>
    <w:rsid w:val="00344C0E"/>
    <w:rsid w:val="0034550D"/>
    <w:rsid w:val="00350157"/>
    <w:rsid w:val="0035079D"/>
    <w:rsid w:val="003514B2"/>
    <w:rsid w:val="00352BE5"/>
    <w:rsid w:val="00355873"/>
    <w:rsid w:val="0035660F"/>
    <w:rsid w:val="00356B01"/>
    <w:rsid w:val="00356D72"/>
    <w:rsid w:val="003578F4"/>
    <w:rsid w:val="00357AAE"/>
    <w:rsid w:val="00357FE7"/>
    <w:rsid w:val="003628B9"/>
    <w:rsid w:val="00362D8F"/>
    <w:rsid w:val="00365211"/>
    <w:rsid w:val="00367724"/>
    <w:rsid w:val="003710BA"/>
    <w:rsid w:val="003723F2"/>
    <w:rsid w:val="00372ED9"/>
    <w:rsid w:val="00373AA3"/>
    <w:rsid w:val="00373B73"/>
    <w:rsid w:val="00373BB5"/>
    <w:rsid w:val="00373C83"/>
    <w:rsid w:val="00376BA9"/>
    <w:rsid w:val="003770F6"/>
    <w:rsid w:val="0038106E"/>
    <w:rsid w:val="003838E8"/>
    <w:rsid w:val="00383C29"/>
    <w:rsid w:val="00383E37"/>
    <w:rsid w:val="00384648"/>
    <w:rsid w:val="003846BF"/>
    <w:rsid w:val="00387461"/>
    <w:rsid w:val="003900DA"/>
    <w:rsid w:val="00390A63"/>
    <w:rsid w:val="00392D5B"/>
    <w:rsid w:val="00393042"/>
    <w:rsid w:val="003933BE"/>
    <w:rsid w:val="00393C01"/>
    <w:rsid w:val="00394AD5"/>
    <w:rsid w:val="0039642D"/>
    <w:rsid w:val="00397AD7"/>
    <w:rsid w:val="003A1E0F"/>
    <w:rsid w:val="003A2E40"/>
    <w:rsid w:val="003A33BF"/>
    <w:rsid w:val="003A3D89"/>
    <w:rsid w:val="003A4FBA"/>
    <w:rsid w:val="003A75A1"/>
    <w:rsid w:val="003A7D96"/>
    <w:rsid w:val="003B0158"/>
    <w:rsid w:val="003B204F"/>
    <w:rsid w:val="003B40B6"/>
    <w:rsid w:val="003B4F51"/>
    <w:rsid w:val="003B56DB"/>
    <w:rsid w:val="003B755E"/>
    <w:rsid w:val="003C0346"/>
    <w:rsid w:val="003C0ABE"/>
    <w:rsid w:val="003C11BF"/>
    <w:rsid w:val="003C16DD"/>
    <w:rsid w:val="003C1710"/>
    <w:rsid w:val="003C228E"/>
    <w:rsid w:val="003C30C7"/>
    <w:rsid w:val="003C51E7"/>
    <w:rsid w:val="003C6893"/>
    <w:rsid w:val="003C69D4"/>
    <w:rsid w:val="003C6DE2"/>
    <w:rsid w:val="003D1A9A"/>
    <w:rsid w:val="003D1EFD"/>
    <w:rsid w:val="003D2079"/>
    <w:rsid w:val="003D28BF"/>
    <w:rsid w:val="003D3A65"/>
    <w:rsid w:val="003D4215"/>
    <w:rsid w:val="003D4C47"/>
    <w:rsid w:val="003D7719"/>
    <w:rsid w:val="003E1935"/>
    <w:rsid w:val="003E40EE"/>
    <w:rsid w:val="003E7AE1"/>
    <w:rsid w:val="003F04B3"/>
    <w:rsid w:val="003F1C1B"/>
    <w:rsid w:val="003F3A2F"/>
    <w:rsid w:val="003F4C2C"/>
    <w:rsid w:val="003F5A2E"/>
    <w:rsid w:val="00401132"/>
    <w:rsid w:val="00401144"/>
    <w:rsid w:val="00401C23"/>
    <w:rsid w:val="00404831"/>
    <w:rsid w:val="00407661"/>
    <w:rsid w:val="00410314"/>
    <w:rsid w:val="00410483"/>
    <w:rsid w:val="00412063"/>
    <w:rsid w:val="00412EB1"/>
    <w:rsid w:val="00413DDE"/>
    <w:rsid w:val="00414118"/>
    <w:rsid w:val="00414495"/>
    <w:rsid w:val="00416084"/>
    <w:rsid w:val="00416EF2"/>
    <w:rsid w:val="00417CA9"/>
    <w:rsid w:val="004236D7"/>
    <w:rsid w:val="00424F8C"/>
    <w:rsid w:val="00425504"/>
    <w:rsid w:val="00426188"/>
    <w:rsid w:val="0042695B"/>
    <w:rsid w:val="004271BA"/>
    <w:rsid w:val="00430497"/>
    <w:rsid w:val="00430896"/>
    <w:rsid w:val="00430EA5"/>
    <w:rsid w:val="004346D3"/>
    <w:rsid w:val="00434991"/>
    <w:rsid w:val="00434A87"/>
    <w:rsid w:val="00434DC1"/>
    <w:rsid w:val="004350F4"/>
    <w:rsid w:val="00436FA3"/>
    <w:rsid w:val="004412A0"/>
    <w:rsid w:val="00441E53"/>
    <w:rsid w:val="00442081"/>
    <w:rsid w:val="00442337"/>
    <w:rsid w:val="00446408"/>
    <w:rsid w:val="0044731D"/>
    <w:rsid w:val="004500AA"/>
    <w:rsid w:val="0045027E"/>
    <w:rsid w:val="00450F27"/>
    <w:rsid w:val="004510E5"/>
    <w:rsid w:val="00451862"/>
    <w:rsid w:val="004540F5"/>
    <w:rsid w:val="00454800"/>
    <w:rsid w:val="00454D87"/>
    <w:rsid w:val="00456A75"/>
    <w:rsid w:val="0046188F"/>
    <w:rsid w:val="00461E39"/>
    <w:rsid w:val="00462D3A"/>
    <w:rsid w:val="00463521"/>
    <w:rsid w:val="00466BE1"/>
    <w:rsid w:val="00470821"/>
    <w:rsid w:val="00470E28"/>
    <w:rsid w:val="00471125"/>
    <w:rsid w:val="00472917"/>
    <w:rsid w:val="0047437A"/>
    <w:rsid w:val="0047544B"/>
    <w:rsid w:val="004767DB"/>
    <w:rsid w:val="004772D5"/>
    <w:rsid w:val="004775BA"/>
    <w:rsid w:val="00480E42"/>
    <w:rsid w:val="00481F8E"/>
    <w:rsid w:val="00482E27"/>
    <w:rsid w:val="00482EB1"/>
    <w:rsid w:val="00484C5D"/>
    <w:rsid w:val="0048543E"/>
    <w:rsid w:val="0048677E"/>
    <w:rsid w:val="004868C1"/>
    <w:rsid w:val="0048750F"/>
    <w:rsid w:val="00487A70"/>
    <w:rsid w:val="00491A20"/>
    <w:rsid w:val="00491E54"/>
    <w:rsid w:val="00495E3B"/>
    <w:rsid w:val="004A1E6A"/>
    <w:rsid w:val="004A258E"/>
    <w:rsid w:val="004A37AC"/>
    <w:rsid w:val="004A495F"/>
    <w:rsid w:val="004A7544"/>
    <w:rsid w:val="004B04C2"/>
    <w:rsid w:val="004B41CF"/>
    <w:rsid w:val="004B6B0F"/>
    <w:rsid w:val="004B7ACE"/>
    <w:rsid w:val="004C137C"/>
    <w:rsid w:val="004C54E5"/>
    <w:rsid w:val="004C55C5"/>
    <w:rsid w:val="004C75A4"/>
    <w:rsid w:val="004C7DC8"/>
    <w:rsid w:val="004D21B0"/>
    <w:rsid w:val="004D33B8"/>
    <w:rsid w:val="004D3870"/>
    <w:rsid w:val="004D4AD9"/>
    <w:rsid w:val="004D5F73"/>
    <w:rsid w:val="004D737D"/>
    <w:rsid w:val="004E2659"/>
    <w:rsid w:val="004E39EE"/>
    <w:rsid w:val="004E3E93"/>
    <w:rsid w:val="004E44E6"/>
    <w:rsid w:val="004E475C"/>
    <w:rsid w:val="004E56E0"/>
    <w:rsid w:val="004E6041"/>
    <w:rsid w:val="004E6900"/>
    <w:rsid w:val="004E7329"/>
    <w:rsid w:val="004E7E8D"/>
    <w:rsid w:val="004F0539"/>
    <w:rsid w:val="004F1C31"/>
    <w:rsid w:val="004F27D7"/>
    <w:rsid w:val="004F2CB0"/>
    <w:rsid w:val="004F5FF5"/>
    <w:rsid w:val="004F6923"/>
    <w:rsid w:val="005017F7"/>
    <w:rsid w:val="00501FA7"/>
    <w:rsid w:val="005034DC"/>
    <w:rsid w:val="00505BFA"/>
    <w:rsid w:val="005071A0"/>
    <w:rsid w:val="005071B4"/>
    <w:rsid w:val="00507687"/>
    <w:rsid w:val="00507E96"/>
    <w:rsid w:val="005107F3"/>
    <w:rsid w:val="005117A9"/>
    <w:rsid w:val="00511F57"/>
    <w:rsid w:val="0051370F"/>
    <w:rsid w:val="00515CBE"/>
    <w:rsid w:val="00515E2B"/>
    <w:rsid w:val="00522A7E"/>
    <w:rsid w:val="00522F20"/>
    <w:rsid w:val="00523D51"/>
    <w:rsid w:val="00524A3C"/>
    <w:rsid w:val="00526A08"/>
    <w:rsid w:val="00527A26"/>
    <w:rsid w:val="005308DB"/>
    <w:rsid w:val="00530A2E"/>
    <w:rsid w:val="00530FBE"/>
    <w:rsid w:val="00533159"/>
    <w:rsid w:val="005339DB"/>
    <w:rsid w:val="00534C89"/>
    <w:rsid w:val="00534EFC"/>
    <w:rsid w:val="00535F79"/>
    <w:rsid w:val="00536F1F"/>
    <w:rsid w:val="00537205"/>
    <w:rsid w:val="00537601"/>
    <w:rsid w:val="005377AD"/>
    <w:rsid w:val="00541573"/>
    <w:rsid w:val="005433F1"/>
    <w:rsid w:val="0054348A"/>
    <w:rsid w:val="0054368B"/>
    <w:rsid w:val="00544FB8"/>
    <w:rsid w:val="00550131"/>
    <w:rsid w:val="005502E8"/>
    <w:rsid w:val="00550A48"/>
    <w:rsid w:val="005515A3"/>
    <w:rsid w:val="00551D95"/>
    <w:rsid w:val="005528C0"/>
    <w:rsid w:val="00556B26"/>
    <w:rsid w:val="00557354"/>
    <w:rsid w:val="0056171A"/>
    <w:rsid w:val="0056183D"/>
    <w:rsid w:val="005647B5"/>
    <w:rsid w:val="00570126"/>
    <w:rsid w:val="005701DF"/>
    <w:rsid w:val="00571777"/>
    <w:rsid w:val="005729D8"/>
    <w:rsid w:val="00580FF5"/>
    <w:rsid w:val="00581BDB"/>
    <w:rsid w:val="00582632"/>
    <w:rsid w:val="00582D0C"/>
    <w:rsid w:val="0058519C"/>
    <w:rsid w:val="005852B5"/>
    <w:rsid w:val="00586940"/>
    <w:rsid w:val="00590166"/>
    <w:rsid w:val="00590413"/>
    <w:rsid w:val="00590D57"/>
    <w:rsid w:val="005912F0"/>
    <w:rsid w:val="0059149A"/>
    <w:rsid w:val="005920C5"/>
    <w:rsid w:val="005956EE"/>
    <w:rsid w:val="005A083E"/>
    <w:rsid w:val="005A0E31"/>
    <w:rsid w:val="005A379D"/>
    <w:rsid w:val="005A3B48"/>
    <w:rsid w:val="005B13D0"/>
    <w:rsid w:val="005B4802"/>
    <w:rsid w:val="005B4ACA"/>
    <w:rsid w:val="005B669A"/>
    <w:rsid w:val="005B6939"/>
    <w:rsid w:val="005C00B3"/>
    <w:rsid w:val="005C10C9"/>
    <w:rsid w:val="005C1276"/>
    <w:rsid w:val="005C1EA6"/>
    <w:rsid w:val="005C254B"/>
    <w:rsid w:val="005C2B6D"/>
    <w:rsid w:val="005C333E"/>
    <w:rsid w:val="005D0B99"/>
    <w:rsid w:val="005D0C13"/>
    <w:rsid w:val="005D18BC"/>
    <w:rsid w:val="005D308E"/>
    <w:rsid w:val="005D3A48"/>
    <w:rsid w:val="005D7AF8"/>
    <w:rsid w:val="005E17BF"/>
    <w:rsid w:val="005E366A"/>
    <w:rsid w:val="005E4A0C"/>
    <w:rsid w:val="005E4DDC"/>
    <w:rsid w:val="005E5252"/>
    <w:rsid w:val="005E53B1"/>
    <w:rsid w:val="005F2145"/>
    <w:rsid w:val="005F3F67"/>
    <w:rsid w:val="005F6435"/>
    <w:rsid w:val="005F79AA"/>
    <w:rsid w:val="006016E1"/>
    <w:rsid w:val="00602D27"/>
    <w:rsid w:val="006140F8"/>
    <w:rsid w:val="006144A1"/>
    <w:rsid w:val="00614A87"/>
    <w:rsid w:val="00615EBB"/>
    <w:rsid w:val="00616096"/>
    <w:rsid w:val="006160A2"/>
    <w:rsid w:val="00617509"/>
    <w:rsid w:val="0062292E"/>
    <w:rsid w:val="00624280"/>
    <w:rsid w:val="0062459A"/>
    <w:rsid w:val="00624B15"/>
    <w:rsid w:val="006253B6"/>
    <w:rsid w:val="00626EFE"/>
    <w:rsid w:val="00627445"/>
    <w:rsid w:val="006302AA"/>
    <w:rsid w:val="006327D6"/>
    <w:rsid w:val="0063512C"/>
    <w:rsid w:val="006363BD"/>
    <w:rsid w:val="00636CDC"/>
    <w:rsid w:val="00640935"/>
    <w:rsid w:val="0064105D"/>
    <w:rsid w:val="006412DC"/>
    <w:rsid w:val="00642BC6"/>
    <w:rsid w:val="006432D9"/>
    <w:rsid w:val="00644790"/>
    <w:rsid w:val="00646A73"/>
    <w:rsid w:val="006501AF"/>
    <w:rsid w:val="00650DDE"/>
    <w:rsid w:val="00651857"/>
    <w:rsid w:val="006528E3"/>
    <w:rsid w:val="006536FC"/>
    <w:rsid w:val="00653746"/>
    <w:rsid w:val="00654E77"/>
    <w:rsid w:val="0065505B"/>
    <w:rsid w:val="006605C2"/>
    <w:rsid w:val="00664A51"/>
    <w:rsid w:val="006653A9"/>
    <w:rsid w:val="006670AC"/>
    <w:rsid w:val="00671226"/>
    <w:rsid w:val="00672307"/>
    <w:rsid w:val="00673A42"/>
    <w:rsid w:val="00674FAE"/>
    <w:rsid w:val="00674FC5"/>
    <w:rsid w:val="006759CA"/>
    <w:rsid w:val="006808C6"/>
    <w:rsid w:val="00680A4B"/>
    <w:rsid w:val="00681CF0"/>
    <w:rsid w:val="00682668"/>
    <w:rsid w:val="006839E7"/>
    <w:rsid w:val="006872EF"/>
    <w:rsid w:val="00692A68"/>
    <w:rsid w:val="0069497E"/>
    <w:rsid w:val="00695D85"/>
    <w:rsid w:val="00697283"/>
    <w:rsid w:val="00697A5C"/>
    <w:rsid w:val="006A1C88"/>
    <w:rsid w:val="006A1D7D"/>
    <w:rsid w:val="006A30A2"/>
    <w:rsid w:val="006A32BA"/>
    <w:rsid w:val="006A365E"/>
    <w:rsid w:val="006A6D23"/>
    <w:rsid w:val="006A7B3E"/>
    <w:rsid w:val="006B25DE"/>
    <w:rsid w:val="006B277A"/>
    <w:rsid w:val="006B2D2C"/>
    <w:rsid w:val="006B717E"/>
    <w:rsid w:val="006B72C7"/>
    <w:rsid w:val="006B760B"/>
    <w:rsid w:val="006B7764"/>
    <w:rsid w:val="006C1C3B"/>
    <w:rsid w:val="006C2861"/>
    <w:rsid w:val="006C297E"/>
    <w:rsid w:val="006C4E43"/>
    <w:rsid w:val="006C58E5"/>
    <w:rsid w:val="006C643E"/>
    <w:rsid w:val="006D2932"/>
    <w:rsid w:val="006D3671"/>
    <w:rsid w:val="006D4176"/>
    <w:rsid w:val="006E0A73"/>
    <w:rsid w:val="006E0FEE"/>
    <w:rsid w:val="006E1EF1"/>
    <w:rsid w:val="006E6182"/>
    <w:rsid w:val="006E6C11"/>
    <w:rsid w:val="006E7BDB"/>
    <w:rsid w:val="006F65D7"/>
    <w:rsid w:val="006F7C0C"/>
    <w:rsid w:val="00700755"/>
    <w:rsid w:val="0070350E"/>
    <w:rsid w:val="0070646B"/>
    <w:rsid w:val="00706CCC"/>
    <w:rsid w:val="00710385"/>
    <w:rsid w:val="007130A2"/>
    <w:rsid w:val="00713764"/>
    <w:rsid w:val="00715463"/>
    <w:rsid w:val="007168D8"/>
    <w:rsid w:val="00716AC0"/>
    <w:rsid w:val="007274AA"/>
    <w:rsid w:val="00730655"/>
    <w:rsid w:val="00730FD5"/>
    <w:rsid w:val="00731414"/>
    <w:rsid w:val="00731D77"/>
    <w:rsid w:val="00732360"/>
    <w:rsid w:val="0073390A"/>
    <w:rsid w:val="0073428A"/>
    <w:rsid w:val="00734E64"/>
    <w:rsid w:val="00734E78"/>
    <w:rsid w:val="00736B37"/>
    <w:rsid w:val="00737574"/>
    <w:rsid w:val="0074057D"/>
    <w:rsid w:val="00740A35"/>
    <w:rsid w:val="00744834"/>
    <w:rsid w:val="00745996"/>
    <w:rsid w:val="007501A6"/>
    <w:rsid w:val="007520B4"/>
    <w:rsid w:val="00752E30"/>
    <w:rsid w:val="007549D3"/>
    <w:rsid w:val="00757A48"/>
    <w:rsid w:val="007637E0"/>
    <w:rsid w:val="007642F9"/>
    <w:rsid w:val="007655D5"/>
    <w:rsid w:val="00771728"/>
    <w:rsid w:val="00771F8F"/>
    <w:rsid w:val="00772CCA"/>
    <w:rsid w:val="00775C19"/>
    <w:rsid w:val="007763C1"/>
    <w:rsid w:val="00777E82"/>
    <w:rsid w:val="00781359"/>
    <w:rsid w:val="00783C87"/>
    <w:rsid w:val="007846C2"/>
    <w:rsid w:val="0078536E"/>
    <w:rsid w:val="00785B4D"/>
    <w:rsid w:val="00786921"/>
    <w:rsid w:val="00792B0C"/>
    <w:rsid w:val="00792D70"/>
    <w:rsid w:val="007949A9"/>
    <w:rsid w:val="00796E6A"/>
    <w:rsid w:val="00797676"/>
    <w:rsid w:val="007A0938"/>
    <w:rsid w:val="007A157B"/>
    <w:rsid w:val="007A1EAA"/>
    <w:rsid w:val="007A30A6"/>
    <w:rsid w:val="007A79FD"/>
    <w:rsid w:val="007B0B9D"/>
    <w:rsid w:val="007B26E3"/>
    <w:rsid w:val="007B5A43"/>
    <w:rsid w:val="007B5AC9"/>
    <w:rsid w:val="007B709B"/>
    <w:rsid w:val="007B70C7"/>
    <w:rsid w:val="007B760A"/>
    <w:rsid w:val="007C1343"/>
    <w:rsid w:val="007C5EF1"/>
    <w:rsid w:val="007C7BF5"/>
    <w:rsid w:val="007D126D"/>
    <w:rsid w:val="007D19B7"/>
    <w:rsid w:val="007D563E"/>
    <w:rsid w:val="007D75E5"/>
    <w:rsid w:val="007D773E"/>
    <w:rsid w:val="007E066E"/>
    <w:rsid w:val="007E1356"/>
    <w:rsid w:val="007E20FC"/>
    <w:rsid w:val="007E7062"/>
    <w:rsid w:val="007F0E1E"/>
    <w:rsid w:val="007F1B6F"/>
    <w:rsid w:val="007F29A7"/>
    <w:rsid w:val="007F2D68"/>
    <w:rsid w:val="007F3BC5"/>
    <w:rsid w:val="008004B4"/>
    <w:rsid w:val="00805BE8"/>
    <w:rsid w:val="00807407"/>
    <w:rsid w:val="00807A57"/>
    <w:rsid w:val="008123C9"/>
    <w:rsid w:val="00816078"/>
    <w:rsid w:val="008177E3"/>
    <w:rsid w:val="00821369"/>
    <w:rsid w:val="008217D2"/>
    <w:rsid w:val="008230A3"/>
    <w:rsid w:val="00823AA9"/>
    <w:rsid w:val="008246C8"/>
    <w:rsid w:val="00824EF4"/>
    <w:rsid w:val="008255B9"/>
    <w:rsid w:val="00825CD8"/>
    <w:rsid w:val="00825D14"/>
    <w:rsid w:val="00826383"/>
    <w:rsid w:val="00827324"/>
    <w:rsid w:val="00831715"/>
    <w:rsid w:val="00833C55"/>
    <w:rsid w:val="008355EA"/>
    <w:rsid w:val="00835D12"/>
    <w:rsid w:val="00835E7D"/>
    <w:rsid w:val="0083689E"/>
    <w:rsid w:val="00837458"/>
    <w:rsid w:val="00837AAE"/>
    <w:rsid w:val="008419E0"/>
    <w:rsid w:val="00841EA3"/>
    <w:rsid w:val="008429AD"/>
    <w:rsid w:val="008429DB"/>
    <w:rsid w:val="00844AE3"/>
    <w:rsid w:val="00845E6D"/>
    <w:rsid w:val="008466C1"/>
    <w:rsid w:val="00847208"/>
    <w:rsid w:val="008506ED"/>
    <w:rsid w:val="00850C75"/>
    <w:rsid w:val="00850E39"/>
    <w:rsid w:val="008527A4"/>
    <w:rsid w:val="00852959"/>
    <w:rsid w:val="0085477A"/>
    <w:rsid w:val="00855107"/>
    <w:rsid w:val="00855173"/>
    <w:rsid w:val="008557D9"/>
    <w:rsid w:val="00855BF7"/>
    <w:rsid w:val="00856214"/>
    <w:rsid w:val="008562BF"/>
    <w:rsid w:val="00862089"/>
    <w:rsid w:val="0086311D"/>
    <w:rsid w:val="00864454"/>
    <w:rsid w:val="00864A99"/>
    <w:rsid w:val="00866070"/>
    <w:rsid w:val="00866D5B"/>
    <w:rsid w:val="00866FF5"/>
    <w:rsid w:val="00867146"/>
    <w:rsid w:val="0087332D"/>
    <w:rsid w:val="00873E1F"/>
    <w:rsid w:val="00874001"/>
    <w:rsid w:val="00874C16"/>
    <w:rsid w:val="0087589D"/>
    <w:rsid w:val="00881690"/>
    <w:rsid w:val="00884AB7"/>
    <w:rsid w:val="00886ADC"/>
    <w:rsid w:val="00886D1F"/>
    <w:rsid w:val="00891278"/>
    <w:rsid w:val="00891EE1"/>
    <w:rsid w:val="008923C6"/>
    <w:rsid w:val="00893987"/>
    <w:rsid w:val="0089572A"/>
    <w:rsid w:val="00895E8D"/>
    <w:rsid w:val="008963EF"/>
    <w:rsid w:val="0089688E"/>
    <w:rsid w:val="00897122"/>
    <w:rsid w:val="00897A91"/>
    <w:rsid w:val="008A1FBE"/>
    <w:rsid w:val="008A5131"/>
    <w:rsid w:val="008A53C1"/>
    <w:rsid w:val="008A7BD1"/>
    <w:rsid w:val="008B014C"/>
    <w:rsid w:val="008B0C70"/>
    <w:rsid w:val="008B1F6A"/>
    <w:rsid w:val="008B27A2"/>
    <w:rsid w:val="008B3194"/>
    <w:rsid w:val="008B4444"/>
    <w:rsid w:val="008B4622"/>
    <w:rsid w:val="008B5AE7"/>
    <w:rsid w:val="008B67D2"/>
    <w:rsid w:val="008C34E4"/>
    <w:rsid w:val="008C3A98"/>
    <w:rsid w:val="008C60E9"/>
    <w:rsid w:val="008C64A3"/>
    <w:rsid w:val="008C6543"/>
    <w:rsid w:val="008C7F1C"/>
    <w:rsid w:val="008D05FB"/>
    <w:rsid w:val="008D1145"/>
    <w:rsid w:val="008D1B7C"/>
    <w:rsid w:val="008D30BE"/>
    <w:rsid w:val="008D5427"/>
    <w:rsid w:val="008D6657"/>
    <w:rsid w:val="008D770A"/>
    <w:rsid w:val="008E0456"/>
    <w:rsid w:val="008E1F60"/>
    <w:rsid w:val="008E20E9"/>
    <w:rsid w:val="008E2130"/>
    <w:rsid w:val="008E307E"/>
    <w:rsid w:val="008F4DD1"/>
    <w:rsid w:val="008F6056"/>
    <w:rsid w:val="008F7A08"/>
    <w:rsid w:val="008F7C5C"/>
    <w:rsid w:val="00902618"/>
    <w:rsid w:val="00902C07"/>
    <w:rsid w:val="0090374B"/>
    <w:rsid w:val="0090428E"/>
    <w:rsid w:val="00905625"/>
    <w:rsid w:val="0090576E"/>
    <w:rsid w:val="00905804"/>
    <w:rsid w:val="00905D28"/>
    <w:rsid w:val="0090786B"/>
    <w:rsid w:val="009100B5"/>
    <w:rsid w:val="009101E2"/>
    <w:rsid w:val="0091374E"/>
    <w:rsid w:val="00913DB0"/>
    <w:rsid w:val="00914CD1"/>
    <w:rsid w:val="0091521C"/>
    <w:rsid w:val="00915D73"/>
    <w:rsid w:val="00916077"/>
    <w:rsid w:val="00917035"/>
    <w:rsid w:val="009170A2"/>
    <w:rsid w:val="009208A6"/>
    <w:rsid w:val="00920903"/>
    <w:rsid w:val="00920B66"/>
    <w:rsid w:val="0092133B"/>
    <w:rsid w:val="00924514"/>
    <w:rsid w:val="00927316"/>
    <w:rsid w:val="00931301"/>
    <w:rsid w:val="0093133D"/>
    <w:rsid w:val="0093276D"/>
    <w:rsid w:val="00933D12"/>
    <w:rsid w:val="00933F8C"/>
    <w:rsid w:val="0093402D"/>
    <w:rsid w:val="00935DF5"/>
    <w:rsid w:val="00937065"/>
    <w:rsid w:val="0093771C"/>
    <w:rsid w:val="00937E8A"/>
    <w:rsid w:val="00940285"/>
    <w:rsid w:val="009415B0"/>
    <w:rsid w:val="0094779A"/>
    <w:rsid w:val="00947E7E"/>
    <w:rsid w:val="0095139A"/>
    <w:rsid w:val="00951524"/>
    <w:rsid w:val="00952736"/>
    <w:rsid w:val="009532FE"/>
    <w:rsid w:val="00953E16"/>
    <w:rsid w:val="009542AC"/>
    <w:rsid w:val="0095561F"/>
    <w:rsid w:val="00956AB6"/>
    <w:rsid w:val="00961BB2"/>
    <w:rsid w:val="00961E92"/>
    <w:rsid w:val="00962108"/>
    <w:rsid w:val="00962BD4"/>
    <w:rsid w:val="009638D6"/>
    <w:rsid w:val="00963966"/>
    <w:rsid w:val="00964C45"/>
    <w:rsid w:val="0097241E"/>
    <w:rsid w:val="00972748"/>
    <w:rsid w:val="0097408E"/>
    <w:rsid w:val="00974BB2"/>
    <w:rsid w:val="00974FA7"/>
    <w:rsid w:val="009756E5"/>
    <w:rsid w:val="00976EBE"/>
    <w:rsid w:val="0097728A"/>
    <w:rsid w:val="00977A8C"/>
    <w:rsid w:val="00977FB7"/>
    <w:rsid w:val="00981A61"/>
    <w:rsid w:val="0098271B"/>
    <w:rsid w:val="00983910"/>
    <w:rsid w:val="00983CF0"/>
    <w:rsid w:val="009855B5"/>
    <w:rsid w:val="009932AC"/>
    <w:rsid w:val="00994351"/>
    <w:rsid w:val="009957EF"/>
    <w:rsid w:val="00995889"/>
    <w:rsid w:val="009960B3"/>
    <w:rsid w:val="00996A8F"/>
    <w:rsid w:val="00996FC2"/>
    <w:rsid w:val="009A137D"/>
    <w:rsid w:val="009A1DBF"/>
    <w:rsid w:val="009A36E1"/>
    <w:rsid w:val="009A36FA"/>
    <w:rsid w:val="009A3ADC"/>
    <w:rsid w:val="009A68E6"/>
    <w:rsid w:val="009A7123"/>
    <w:rsid w:val="009A7598"/>
    <w:rsid w:val="009B08FF"/>
    <w:rsid w:val="009B0EDE"/>
    <w:rsid w:val="009B1DF8"/>
    <w:rsid w:val="009B26F0"/>
    <w:rsid w:val="009B37B2"/>
    <w:rsid w:val="009B3D20"/>
    <w:rsid w:val="009B5418"/>
    <w:rsid w:val="009C01A6"/>
    <w:rsid w:val="009C0727"/>
    <w:rsid w:val="009C1703"/>
    <w:rsid w:val="009C2679"/>
    <w:rsid w:val="009C3C80"/>
    <w:rsid w:val="009C492F"/>
    <w:rsid w:val="009C512B"/>
    <w:rsid w:val="009C7138"/>
    <w:rsid w:val="009D2FF2"/>
    <w:rsid w:val="009D3226"/>
    <w:rsid w:val="009D3385"/>
    <w:rsid w:val="009D42A2"/>
    <w:rsid w:val="009D5303"/>
    <w:rsid w:val="009D793C"/>
    <w:rsid w:val="009E16A9"/>
    <w:rsid w:val="009E3256"/>
    <w:rsid w:val="009E35DA"/>
    <w:rsid w:val="009E375F"/>
    <w:rsid w:val="009E39D4"/>
    <w:rsid w:val="009E3D78"/>
    <w:rsid w:val="009E412D"/>
    <w:rsid w:val="009E433B"/>
    <w:rsid w:val="009E5401"/>
    <w:rsid w:val="009F0D30"/>
    <w:rsid w:val="009F23A9"/>
    <w:rsid w:val="009F2FA8"/>
    <w:rsid w:val="009F6AB0"/>
    <w:rsid w:val="009F721E"/>
    <w:rsid w:val="00A00FB2"/>
    <w:rsid w:val="00A03A79"/>
    <w:rsid w:val="00A0583F"/>
    <w:rsid w:val="00A0758F"/>
    <w:rsid w:val="00A11080"/>
    <w:rsid w:val="00A11A97"/>
    <w:rsid w:val="00A1570A"/>
    <w:rsid w:val="00A15AD8"/>
    <w:rsid w:val="00A1760E"/>
    <w:rsid w:val="00A211B4"/>
    <w:rsid w:val="00A2150C"/>
    <w:rsid w:val="00A22955"/>
    <w:rsid w:val="00A27488"/>
    <w:rsid w:val="00A3303E"/>
    <w:rsid w:val="00A33DDF"/>
    <w:rsid w:val="00A34547"/>
    <w:rsid w:val="00A375D7"/>
    <w:rsid w:val="00A376B7"/>
    <w:rsid w:val="00A41BF5"/>
    <w:rsid w:val="00A44778"/>
    <w:rsid w:val="00A449B0"/>
    <w:rsid w:val="00A44D66"/>
    <w:rsid w:val="00A45815"/>
    <w:rsid w:val="00A469E7"/>
    <w:rsid w:val="00A46C9B"/>
    <w:rsid w:val="00A50F97"/>
    <w:rsid w:val="00A55398"/>
    <w:rsid w:val="00A55A89"/>
    <w:rsid w:val="00A57A59"/>
    <w:rsid w:val="00A604A4"/>
    <w:rsid w:val="00A60515"/>
    <w:rsid w:val="00A61B7D"/>
    <w:rsid w:val="00A61F4F"/>
    <w:rsid w:val="00A64176"/>
    <w:rsid w:val="00A6605B"/>
    <w:rsid w:val="00A66A4E"/>
    <w:rsid w:val="00A66ADC"/>
    <w:rsid w:val="00A7147D"/>
    <w:rsid w:val="00A71744"/>
    <w:rsid w:val="00A71A5B"/>
    <w:rsid w:val="00A73EC6"/>
    <w:rsid w:val="00A75B20"/>
    <w:rsid w:val="00A81B15"/>
    <w:rsid w:val="00A81EB2"/>
    <w:rsid w:val="00A8264B"/>
    <w:rsid w:val="00A837FF"/>
    <w:rsid w:val="00A84052"/>
    <w:rsid w:val="00A849AA"/>
    <w:rsid w:val="00A84DC8"/>
    <w:rsid w:val="00A85DBC"/>
    <w:rsid w:val="00A87FEB"/>
    <w:rsid w:val="00A9218E"/>
    <w:rsid w:val="00A93F9F"/>
    <w:rsid w:val="00A9420E"/>
    <w:rsid w:val="00A9459F"/>
    <w:rsid w:val="00A949E4"/>
    <w:rsid w:val="00A97648"/>
    <w:rsid w:val="00AA1CFD"/>
    <w:rsid w:val="00AA2239"/>
    <w:rsid w:val="00AA2FDA"/>
    <w:rsid w:val="00AA33D2"/>
    <w:rsid w:val="00AA6875"/>
    <w:rsid w:val="00AB0C57"/>
    <w:rsid w:val="00AB1195"/>
    <w:rsid w:val="00AB1FC6"/>
    <w:rsid w:val="00AB4182"/>
    <w:rsid w:val="00AB5E72"/>
    <w:rsid w:val="00AB60C8"/>
    <w:rsid w:val="00AB6576"/>
    <w:rsid w:val="00AB743D"/>
    <w:rsid w:val="00AB7CDA"/>
    <w:rsid w:val="00AC04D3"/>
    <w:rsid w:val="00AC27DB"/>
    <w:rsid w:val="00AC6D6B"/>
    <w:rsid w:val="00AC720D"/>
    <w:rsid w:val="00AD1F54"/>
    <w:rsid w:val="00AD21B8"/>
    <w:rsid w:val="00AD4D18"/>
    <w:rsid w:val="00AD5110"/>
    <w:rsid w:val="00AD7736"/>
    <w:rsid w:val="00AE10CE"/>
    <w:rsid w:val="00AE3303"/>
    <w:rsid w:val="00AE6A1E"/>
    <w:rsid w:val="00AE70D4"/>
    <w:rsid w:val="00AE7868"/>
    <w:rsid w:val="00AF0407"/>
    <w:rsid w:val="00AF049B"/>
    <w:rsid w:val="00AF4D8B"/>
    <w:rsid w:val="00AF671E"/>
    <w:rsid w:val="00AF734D"/>
    <w:rsid w:val="00AF7607"/>
    <w:rsid w:val="00B05575"/>
    <w:rsid w:val="00B067CA"/>
    <w:rsid w:val="00B07BF4"/>
    <w:rsid w:val="00B12B26"/>
    <w:rsid w:val="00B13420"/>
    <w:rsid w:val="00B140BE"/>
    <w:rsid w:val="00B1440E"/>
    <w:rsid w:val="00B16084"/>
    <w:rsid w:val="00B16398"/>
    <w:rsid w:val="00B163F8"/>
    <w:rsid w:val="00B177D8"/>
    <w:rsid w:val="00B21C29"/>
    <w:rsid w:val="00B243A2"/>
    <w:rsid w:val="00B2472D"/>
    <w:rsid w:val="00B24CA0"/>
    <w:rsid w:val="00B25497"/>
    <w:rsid w:val="00B2549F"/>
    <w:rsid w:val="00B30EA3"/>
    <w:rsid w:val="00B31F6C"/>
    <w:rsid w:val="00B339F4"/>
    <w:rsid w:val="00B4108D"/>
    <w:rsid w:val="00B4161A"/>
    <w:rsid w:val="00B42814"/>
    <w:rsid w:val="00B55914"/>
    <w:rsid w:val="00B55D12"/>
    <w:rsid w:val="00B56F2F"/>
    <w:rsid w:val="00B57265"/>
    <w:rsid w:val="00B57528"/>
    <w:rsid w:val="00B61D37"/>
    <w:rsid w:val="00B62EC1"/>
    <w:rsid w:val="00B633AE"/>
    <w:rsid w:val="00B6524F"/>
    <w:rsid w:val="00B65A81"/>
    <w:rsid w:val="00B665D2"/>
    <w:rsid w:val="00B6737C"/>
    <w:rsid w:val="00B71F7E"/>
    <w:rsid w:val="00B7214D"/>
    <w:rsid w:val="00B73729"/>
    <w:rsid w:val="00B74372"/>
    <w:rsid w:val="00B74A35"/>
    <w:rsid w:val="00B75525"/>
    <w:rsid w:val="00B80283"/>
    <w:rsid w:val="00B8095F"/>
    <w:rsid w:val="00B80B0C"/>
    <w:rsid w:val="00B80B11"/>
    <w:rsid w:val="00B80BF9"/>
    <w:rsid w:val="00B81C6D"/>
    <w:rsid w:val="00B82D20"/>
    <w:rsid w:val="00B831AE"/>
    <w:rsid w:val="00B8446C"/>
    <w:rsid w:val="00B87725"/>
    <w:rsid w:val="00B9149E"/>
    <w:rsid w:val="00B922B5"/>
    <w:rsid w:val="00B92E51"/>
    <w:rsid w:val="00B92F09"/>
    <w:rsid w:val="00B95370"/>
    <w:rsid w:val="00B95AEE"/>
    <w:rsid w:val="00B95BE8"/>
    <w:rsid w:val="00B975F7"/>
    <w:rsid w:val="00BA1754"/>
    <w:rsid w:val="00BA1AA1"/>
    <w:rsid w:val="00BA222B"/>
    <w:rsid w:val="00BA259A"/>
    <w:rsid w:val="00BA259C"/>
    <w:rsid w:val="00BA29D3"/>
    <w:rsid w:val="00BA307F"/>
    <w:rsid w:val="00BA5280"/>
    <w:rsid w:val="00BA6DFD"/>
    <w:rsid w:val="00BA7104"/>
    <w:rsid w:val="00BB1038"/>
    <w:rsid w:val="00BB14F1"/>
    <w:rsid w:val="00BB1E48"/>
    <w:rsid w:val="00BB2C97"/>
    <w:rsid w:val="00BB2F78"/>
    <w:rsid w:val="00BB38C4"/>
    <w:rsid w:val="00BB572E"/>
    <w:rsid w:val="00BB74FD"/>
    <w:rsid w:val="00BB7828"/>
    <w:rsid w:val="00BC1734"/>
    <w:rsid w:val="00BC3278"/>
    <w:rsid w:val="00BC5982"/>
    <w:rsid w:val="00BC60BF"/>
    <w:rsid w:val="00BC7334"/>
    <w:rsid w:val="00BC7BDF"/>
    <w:rsid w:val="00BD07E8"/>
    <w:rsid w:val="00BD28BF"/>
    <w:rsid w:val="00BD6404"/>
    <w:rsid w:val="00BD6E7F"/>
    <w:rsid w:val="00BE33AE"/>
    <w:rsid w:val="00BE45A3"/>
    <w:rsid w:val="00BE535B"/>
    <w:rsid w:val="00BE784E"/>
    <w:rsid w:val="00BF046F"/>
    <w:rsid w:val="00BF1180"/>
    <w:rsid w:val="00BF32B9"/>
    <w:rsid w:val="00BF65C8"/>
    <w:rsid w:val="00BF6A27"/>
    <w:rsid w:val="00BF715E"/>
    <w:rsid w:val="00C01D50"/>
    <w:rsid w:val="00C056DC"/>
    <w:rsid w:val="00C07BA3"/>
    <w:rsid w:val="00C10D70"/>
    <w:rsid w:val="00C12B4D"/>
    <w:rsid w:val="00C1329B"/>
    <w:rsid w:val="00C1572F"/>
    <w:rsid w:val="00C21E29"/>
    <w:rsid w:val="00C23C73"/>
    <w:rsid w:val="00C23DC6"/>
    <w:rsid w:val="00C24C05"/>
    <w:rsid w:val="00C24D2F"/>
    <w:rsid w:val="00C26222"/>
    <w:rsid w:val="00C31283"/>
    <w:rsid w:val="00C33C48"/>
    <w:rsid w:val="00C340E5"/>
    <w:rsid w:val="00C34EA2"/>
    <w:rsid w:val="00C35AA7"/>
    <w:rsid w:val="00C3718D"/>
    <w:rsid w:val="00C4210C"/>
    <w:rsid w:val="00C433C3"/>
    <w:rsid w:val="00C439B6"/>
    <w:rsid w:val="00C439DC"/>
    <w:rsid w:val="00C43BA1"/>
    <w:rsid w:val="00C43DAB"/>
    <w:rsid w:val="00C44D7C"/>
    <w:rsid w:val="00C45D91"/>
    <w:rsid w:val="00C46814"/>
    <w:rsid w:val="00C47F08"/>
    <w:rsid w:val="00C50A90"/>
    <w:rsid w:val="00C514A6"/>
    <w:rsid w:val="00C5164E"/>
    <w:rsid w:val="00C51C9F"/>
    <w:rsid w:val="00C543DB"/>
    <w:rsid w:val="00C56344"/>
    <w:rsid w:val="00C5739F"/>
    <w:rsid w:val="00C57CF0"/>
    <w:rsid w:val="00C57DE6"/>
    <w:rsid w:val="00C60649"/>
    <w:rsid w:val="00C60DB4"/>
    <w:rsid w:val="00C621B8"/>
    <w:rsid w:val="00C63557"/>
    <w:rsid w:val="00C63F16"/>
    <w:rsid w:val="00C649BD"/>
    <w:rsid w:val="00C65891"/>
    <w:rsid w:val="00C65EFD"/>
    <w:rsid w:val="00C66AC9"/>
    <w:rsid w:val="00C724D3"/>
    <w:rsid w:val="00C739D9"/>
    <w:rsid w:val="00C74998"/>
    <w:rsid w:val="00C7716E"/>
    <w:rsid w:val="00C77258"/>
    <w:rsid w:val="00C77261"/>
    <w:rsid w:val="00C77D6C"/>
    <w:rsid w:val="00C77DD9"/>
    <w:rsid w:val="00C80E16"/>
    <w:rsid w:val="00C83BE6"/>
    <w:rsid w:val="00C85354"/>
    <w:rsid w:val="00C86273"/>
    <w:rsid w:val="00C86ABA"/>
    <w:rsid w:val="00C90B76"/>
    <w:rsid w:val="00C943F3"/>
    <w:rsid w:val="00C9493A"/>
    <w:rsid w:val="00C96F79"/>
    <w:rsid w:val="00CA08C6"/>
    <w:rsid w:val="00CA0A77"/>
    <w:rsid w:val="00CA2729"/>
    <w:rsid w:val="00CA3057"/>
    <w:rsid w:val="00CA3E89"/>
    <w:rsid w:val="00CA45F8"/>
    <w:rsid w:val="00CA4BE9"/>
    <w:rsid w:val="00CA6543"/>
    <w:rsid w:val="00CA7098"/>
    <w:rsid w:val="00CB0305"/>
    <w:rsid w:val="00CB0E7C"/>
    <w:rsid w:val="00CB33C7"/>
    <w:rsid w:val="00CB35AD"/>
    <w:rsid w:val="00CB41E8"/>
    <w:rsid w:val="00CB4E00"/>
    <w:rsid w:val="00CB6DA7"/>
    <w:rsid w:val="00CB7E4C"/>
    <w:rsid w:val="00CC0303"/>
    <w:rsid w:val="00CC25B4"/>
    <w:rsid w:val="00CC2606"/>
    <w:rsid w:val="00CC495A"/>
    <w:rsid w:val="00CC5F88"/>
    <w:rsid w:val="00CC69C8"/>
    <w:rsid w:val="00CC77A2"/>
    <w:rsid w:val="00CC7B4E"/>
    <w:rsid w:val="00CD096B"/>
    <w:rsid w:val="00CD13D3"/>
    <w:rsid w:val="00CD292F"/>
    <w:rsid w:val="00CD307E"/>
    <w:rsid w:val="00CD629F"/>
    <w:rsid w:val="00CD6A1B"/>
    <w:rsid w:val="00CE0A7F"/>
    <w:rsid w:val="00CE10CC"/>
    <w:rsid w:val="00CE1718"/>
    <w:rsid w:val="00CE28A5"/>
    <w:rsid w:val="00CF383C"/>
    <w:rsid w:val="00CF4156"/>
    <w:rsid w:val="00CF5996"/>
    <w:rsid w:val="00D0036C"/>
    <w:rsid w:val="00D025CC"/>
    <w:rsid w:val="00D03D00"/>
    <w:rsid w:val="00D05C30"/>
    <w:rsid w:val="00D064E2"/>
    <w:rsid w:val="00D06AA5"/>
    <w:rsid w:val="00D10052"/>
    <w:rsid w:val="00D11359"/>
    <w:rsid w:val="00D11510"/>
    <w:rsid w:val="00D179DB"/>
    <w:rsid w:val="00D20D88"/>
    <w:rsid w:val="00D21920"/>
    <w:rsid w:val="00D22D21"/>
    <w:rsid w:val="00D23A4B"/>
    <w:rsid w:val="00D26804"/>
    <w:rsid w:val="00D26A66"/>
    <w:rsid w:val="00D3188C"/>
    <w:rsid w:val="00D3364E"/>
    <w:rsid w:val="00D33834"/>
    <w:rsid w:val="00D35F9B"/>
    <w:rsid w:val="00D36B69"/>
    <w:rsid w:val="00D408DD"/>
    <w:rsid w:val="00D4283C"/>
    <w:rsid w:val="00D45747"/>
    <w:rsid w:val="00D45CC0"/>
    <w:rsid w:val="00D45D72"/>
    <w:rsid w:val="00D45DD6"/>
    <w:rsid w:val="00D47155"/>
    <w:rsid w:val="00D507A5"/>
    <w:rsid w:val="00D50ED5"/>
    <w:rsid w:val="00D520E4"/>
    <w:rsid w:val="00D531BD"/>
    <w:rsid w:val="00D53A38"/>
    <w:rsid w:val="00D53A8F"/>
    <w:rsid w:val="00D549D7"/>
    <w:rsid w:val="00D575DD"/>
    <w:rsid w:val="00D57CB2"/>
    <w:rsid w:val="00D57DFA"/>
    <w:rsid w:val="00D607E8"/>
    <w:rsid w:val="00D60971"/>
    <w:rsid w:val="00D62488"/>
    <w:rsid w:val="00D62546"/>
    <w:rsid w:val="00D67FCF"/>
    <w:rsid w:val="00D709CE"/>
    <w:rsid w:val="00D70DC0"/>
    <w:rsid w:val="00D71F73"/>
    <w:rsid w:val="00D74DEA"/>
    <w:rsid w:val="00D75F9D"/>
    <w:rsid w:val="00D76C48"/>
    <w:rsid w:val="00D80193"/>
    <w:rsid w:val="00D80786"/>
    <w:rsid w:val="00D80964"/>
    <w:rsid w:val="00D81CAB"/>
    <w:rsid w:val="00D843E2"/>
    <w:rsid w:val="00D8576F"/>
    <w:rsid w:val="00D85BD1"/>
    <w:rsid w:val="00D8677F"/>
    <w:rsid w:val="00D873A0"/>
    <w:rsid w:val="00D92727"/>
    <w:rsid w:val="00D97F0C"/>
    <w:rsid w:val="00DA030B"/>
    <w:rsid w:val="00DA1DCC"/>
    <w:rsid w:val="00DA3A86"/>
    <w:rsid w:val="00DA4870"/>
    <w:rsid w:val="00DA7FEF"/>
    <w:rsid w:val="00DB02EF"/>
    <w:rsid w:val="00DB054E"/>
    <w:rsid w:val="00DB5F05"/>
    <w:rsid w:val="00DB7412"/>
    <w:rsid w:val="00DC00DC"/>
    <w:rsid w:val="00DC1AE1"/>
    <w:rsid w:val="00DC2500"/>
    <w:rsid w:val="00DC275D"/>
    <w:rsid w:val="00DC4F72"/>
    <w:rsid w:val="00DC7075"/>
    <w:rsid w:val="00DC77DC"/>
    <w:rsid w:val="00DC786C"/>
    <w:rsid w:val="00DC7B13"/>
    <w:rsid w:val="00DD0453"/>
    <w:rsid w:val="00DD0C2C"/>
    <w:rsid w:val="00DD0DCC"/>
    <w:rsid w:val="00DD19DE"/>
    <w:rsid w:val="00DD20E5"/>
    <w:rsid w:val="00DD28BC"/>
    <w:rsid w:val="00DD3949"/>
    <w:rsid w:val="00DD4A58"/>
    <w:rsid w:val="00DD6095"/>
    <w:rsid w:val="00DD661D"/>
    <w:rsid w:val="00DD6D6E"/>
    <w:rsid w:val="00DD73BF"/>
    <w:rsid w:val="00DE31F0"/>
    <w:rsid w:val="00DE3D1C"/>
    <w:rsid w:val="00DF1441"/>
    <w:rsid w:val="00DF14A8"/>
    <w:rsid w:val="00DF1609"/>
    <w:rsid w:val="00DF4EEC"/>
    <w:rsid w:val="00E015A0"/>
    <w:rsid w:val="00E0227D"/>
    <w:rsid w:val="00E04B84"/>
    <w:rsid w:val="00E05314"/>
    <w:rsid w:val="00E06466"/>
    <w:rsid w:val="00E066CA"/>
    <w:rsid w:val="00E06835"/>
    <w:rsid w:val="00E06888"/>
    <w:rsid w:val="00E06FDA"/>
    <w:rsid w:val="00E07819"/>
    <w:rsid w:val="00E105CC"/>
    <w:rsid w:val="00E11FA6"/>
    <w:rsid w:val="00E160A5"/>
    <w:rsid w:val="00E16CDA"/>
    <w:rsid w:val="00E1713D"/>
    <w:rsid w:val="00E2003C"/>
    <w:rsid w:val="00E201A2"/>
    <w:rsid w:val="00E20232"/>
    <w:rsid w:val="00E20A43"/>
    <w:rsid w:val="00E23898"/>
    <w:rsid w:val="00E2517F"/>
    <w:rsid w:val="00E25B8B"/>
    <w:rsid w:val="00E25D18"/>
    <w:rsid w:val="00E26893"/>
    <w:rsid w:val="00E311C4"/>
    <w:rsid w:val="00E319F1"/>
    <w:rsid w:val="00E33CD2"/>
    <w:rsid w:val="00E3525A"/>
    <w:rsid w:val="00E355B0"/>
    <w:rsid w:val="00E40E90"/>
    <w:rsid w:val="00E45C7E"/>
    <w:rsid w:val="00E51298"/>
    <w:rsid w:val="00E531EB"/>
    <w:rsid w:val="00E54874"/>
    <w:rsid w:val="00E54B6F"/>
    <w:rsid w:val="00E55ACA"/>
    <w:rsid w:val="00E55B09"/>
    <w:rsid w:val="00E57084"/>
    <w:rsid w:val="00E5738C"/>
    <w:rsid w:val="00E57B74"/>
    <w:rsid w:val="00E60185"/>
    <w:rsid w:val="00E64E9E"/>
    <w:rsid w:val="00E65BC6"/>
    <w:rsid w:val="00E661FF"/>
    <w:rsid w:val="00E663E6"/>
    <w:rsid w:val="00E67011"/>
    <w:rsid w:val="00E67894"/>
    <w:rsid w:val="00E67ACF"/>
    <w:rsid w:val="00E726EB"/>
    <w:rsid w:val="00E72CF1"/>
    <w:rsid w:val="00E755FC"/>
    <w:rsid w:val="00E80B52"/>
    <w:rsid w:val="00E80F40"/>
    <w:rsid w:val="00E824C3"/>
    <w:rsid w:val="00E83BE7"/>
    <w:rsid w:val="00E840B3"/>
    <w:rsid w:val="00E84D10"/>
    <w:rsid w:val="00E84E8E"/>
    <w:rsid w:val="00E8629F"/>
    <w:rsid w:val="00E8645F"/>
    <w:rsid w:val="00E907A5"/>
    <w:rsid w:val="00E91008"/>
    <w:rsid w:val="00E92758"/>
    <w:rsid w:val="00E9374E"/>
    <w:rsid w:val="00E94F54"/>
    <w:rsid w:val="00E97AD5"/>
    <w:rsid w:val="00EA1111"/>
    <w:rsid w:val="00EA32AB"/>
    <w:rsid w:val="00EA33FC"/>
    <w:rsid w:val="00EA348D"/>
    <w:rsid w:val="00EA3B4F"/>
    <w:rsid w:val="00EA3C24"/>
    <w:rsid w:val="00EA73DF"/>
    <w:rsid w:val="00EB1B8D"/>
    <w:rsid w:val="00EB2778"/>
    <w:rsid w:val="00EB3972"/>
    <w:rsid w:val="00EB47C4"/>
    <w:rsid w:val="00EB5B79"/>
    <w:rsid w:val="00EB61AE"/>
    <w:rsid w:val="00EB6872"/>
    <w:rsid w:val="00EC1D84"/>
    <w:rsid w:val="00EC322D"/>
    <w:rsid w:val="00EC4C82"/>
    <w:rsid w:val="00EC76E8"/>
    <w:rsid w:val="00EC7D5E"/>
    <w:rsid w:val="00ED2F00"/>
    <w:rsid w:val="00ED383A"/>
    <w:rsid w:val="00ED39F8"/>
    <w:rsid w:val="00ED4CD7"/>
    <w:rsid w:val="00EE1080"/>
    <w:rsid w:val="00EE5500"/>
    <w:rsid w:val="00EF1EC5"/>
    <w:rsid w:val="00EF343E"/>
    <w:rsid w:val="00EF37C2"/>
    <w:rsid w:val="00EF4C88"/>
    <w:rsid w:val="00EF5176"/>
    <w:rsid w:val="00EF55EB"/>
    <w:rsid w:val="00EF7A9D"/>
    <w:rsid w:val="00F00DCC"/>
    <w:rsid w:val="00F0156F"/>
    <w:rsid w:val="00F05AC8"/>
    <w:rsid w:val="00F05C38"/>
    <w:rsid w:val="00F07167"/>
    <w:rsid w:val="00F072D8"/>
    <w:rsid w:val="00F07CE0"/>
    <w:rsid w:val="00F115F5"/>
    <w:rsid w:val="00F13D05"/>
    <w:rsid w:val="00F14693"/>
    <w:rsid w:val="00F1679D"/>
    <w:rsid w:val="00F1682C"/>
    <w:rsid w:val="00F17493"/>
    <w:rsid w:val="00F17AFA"/>
    <w:rsid w:val="00F20B91"/>
    <w:rsid w:val="00F21139"/>
    <w:rsid w:val="00F2266D"/>
    <w:rsid w:val="00F24B8B"/>
    <w:rsid w:val="00F275F2"/>
    <w:rsid w:val="00F30D2E"/>
    <w:rsid w:val="00F328CD"/>
    <w:rsid w:val="00F35516"/>
    <w:rsid w:val="00F35790"/>
    <w:rsid w:val="00F3644F"/>
    <w:rsid w:val="00F4136D"/>
    <w:rsid w:val="00F4212E"/>
    <w:rsid w:val="00F42C20"/>
    <w:rsid w:val="00F4391A"/>
    <w:rsid w:val="00F43BB2"/>
    <w:rsid w:val="00F43E34"/>
    <w:rsid w:val="00F44B5F"/>
    <w:rsid w:val="00F4512A"/>
    <w:rsid w:val="00F470B2"/>
    <w:rsid w:val="00F4713D"/>
    <w:rsid w:val="00F502BC"/>
    <w:rsid w:val="00F51701"/>
    <w:rsid w:val="00F53053"/>
    <w:rsid w:val="00F53FE2"/>
    <w:rsid w:val="00F55F25"/>
    <w:rsid w:val="00F575FF"/>
    <w:rsid w:val="00F60550"/>
    <w:rsid w:val="00F618EF"/>
    <w:rsid w:val="00F61DDD"/>
    <w:rsid w:val="00F65084"/>
    <w:rsid w:val="00F65582"/>
    <w:rsid w:val="00F66E75"/>
    <w:rsid w:val="00F67735"/>
    <w:rsid w:val="00F70827"/>
    <w:rsid w:val="00F724BC"/>
    <w:rsid w:val="00F7257A"/>
    <w:rsid w:val="00F74754"/>
    <w:rsid w:val="00F75708"/>
    <w:rsid w:val="00F75A80"/>
    <w:rsid w:val="00F76C86"/>
    <w:rsid w:val="00F77EB0"/>
    <w:rsid w:val="00F83A96"/>
    <w:rsid w:val="00F874DC"/>
    <w:rsid w:val="00F87AFD"/>
    <w:rsid w:val="00F87CDD"/>
    <w:rsid w:val="00F90F46"/>
    <w:rsid w:val="00F91C1B"/>
    <w:rsid w:val="00F9223D"/>
    <w:rsid w:val="00F933F0"/>
    <w:rsid w:val="00F93644"/>
    <w:rsid w:val="00F937A3"/>
    <w:rsid w:val="00F94715"/>
    <w:rsid w:val="00F96A3D"/>
    <w:rsid w:val="00F97FB7"/>
    <w:rsid w:val="00FA138C"/>
    <w:rsid w:val="00FA2AD1"/>
    <w:rsid w:val="00FA2B6A"/>
    <w:rsid w:val="00FA3965"/>
    <w:rsid w:val="00FA4718"/>
    <w:rsid w:val="00FA5450"/>
    <w:rsid w:val="00FA5848"/>
    <w:rsid w:val="00FA5FFD"/>
    <w:rsid w:val="00FA6899"/>
    <w:rsid w:val="00FA7DF6"/>
    <w:rsid w:val="00FA7F3D"/>
    <w:rsid w:val="00FB0509"/>
    <w:rsid w:val="00FB267D"/>
    <w:rsid w:val="00FB35DF"/>
    <w:rsid w:val="00FB38D8"/>
    <w:rsid w:val="00FB49C0"/>
    <w:rsid w:val="00FB79F7"/>
    <w:rsid w:val="00FC051F"/>
    <w:rsid w:val="00FC0596"/>
    <w:rsid w:val="00FC06FF"/>
    <w:rsid w:val="00FC082E"/>
    <w:rsid w:val="00FC2656"/>
    <w:rsid w:val="00FC3EE6"/>
    <w:rsid w:val="00FC3F96"/>
    <w:rsid w:val="00FC69B4"/>
    <w:rsid w:val="00FC6C59"/>
    <w:rsid w:val="00FD0330"/>
    <w:rsid w:val="00FD0694"/>
    <w:rsid w:val="00FD25BE"/>
    <w:rsid w:val="00FD261F"/>
    <w:rsid w:val="00FD2E70"/>
    <w:rsid w:val="00FD509D"/>
    <w:rsid w:val="00FD701C"/>
    <w:rsid w:val="00FD7AA7"/>
    <w:rsid w:val="00FE4DB1"/>
    <w:rsid w:val="00FE5750"/>
    <w:rsid w:val="00FE6E2C"/>
    <w:rsid w:val="00FF1FCB"/>
    <w:rsid w:val="00FF3FC4"/>
    <w:rsid w:val="00FF52D4"/>
    <w:rsid w:val="00FF61D5"/>
    <w:rsid w:val="00FF6AA4"/>
    <w:rsid w:val="00FF6B09"/>
    <w:rsid w:val="00FF7898"/>
    <w:rsid w:val="011D2710"/>
    <w:rsid w:val="014E01BA"/>
    <w:rsid w:val="01E7332A"/>
    <w:rsid w:val="048F21AA"/>
    <w:rsid w:val="055A55B4"/>
    <w:rsid w:val="05AB5E10"/>
    <w:rsid w:val="06D25D4A"/>
    <w:rsid w:val="0878022B"/>
    <w:rsid w:val="08D54357"/>
    <w:rsid w:val="099217C1"/>
    <w:rsid w:val="0A981059"/>
    <w:rsid w:val="0AFE2C8A"/>
    <w:rsid w:val="0B3250D4"/>
    <w:rsid w:val="0B7C1315"/>
    <w:rsid w:val="0D091D9A"/>
    <w:rsid w:val="0D49488C"/>
    <w:rsid w:val="0DA63A8D"/>
    <w:rsid w:val="0EDB59B8"/>
    <w:rsid w:val="0F9B2475"/>
    <w:rsid w:val="100B7914"/>
    <w:rsid w:val="1021389E"/>
    <w:rsid w:val="10275D30"/>
    <w:rsid w:val="10331486"/>
    <w:rsid w:val="10853E2D"/>
    <w:rsid w:val="108C51BC"/>
    <w:rsid w:val="108D5D77"/>
    <w:rsid w:val="10E44C7E"/>
    <w:rsid w:val="11755C50"/>
    <w:rsid w:val="11BF359B"/>
    <w:rsid w:val="124E72A0"/>
    <w:rsid w:val="1299596E"/>
    <w:rsid w:val="12E34E3B"/>
    <w:rsid w:val="16F6119F"/>
    <w:rsid w:val="1735378C"/>
    <w:rsid w:val="17F17FFA"/>
    <w:rsid w:val="180C45FA"/>
    <w:rsid w:val="18225DFB"/>
    <w:rsid w:val="184E232E"/>
    <w:rsid w:val="186040DA"/>
    <w:rsid w:val="19801636"/>
    <w:rsid w:val="19E33973"/>
    <w:rsid w:val="1AE51012"/>
    <w:rsid w:val="1B4949CD"/>
    <w:rsid w:val="1B7350C7"/>
    <w:rsid w:val="1BD87507"/>
    <w:rsid w:val="1C7A5D7F"/>
    <w:rsid w:val="1C974215"/>
    <w:rsid w:val="1C9F24CF"/>
    <w:rsid w:val="1CF2284B"/>
    <w:rsid w:val="1DF45E7D"/>
    <w:rsid w:val="1E68065B"/>
    <w:rsid w:val="1EB51D82"/>
    <w:rsid w:val="1ECE4BF1"/>
    <w:rsid w:val="202645B9"/>
    <w:rsid w:val="22352957"/>
    <w:rsid w:val="23743D86"/>
    <w:rsid w:val="23977CA8"/>
    <w:rsid w:val="24493C86"/>
    <w:rsid w:val="244F3DA0"/>
    <w:rsid w:val="248F4E23"/>
    <w:rsid w:val="24B81A28"/>
    <w:rsid w:val="24E7364D"/>
    <w:rsid w:val="250206E7"/>
    <w:rsid w:val="25CF7EAB"/>
    <w:rsid w:val="25EB4E7B"/>
    <w:rsid w:val="262230B9"/>
    <w:rsid w:val="27222DFA"/>
    <w:rsid w:val="29427B2A"/>
    <w:rsid w:val="294F28E9"/>
    <w:rsid w:val="299B6018"/>
    <w:rsid w:val="2A6B1546"/>
    <w:rsid w:val="2BB90EC9"/>
    <w:rsid w:val="2BE7417A"/>
    <w:rsid w:val="2CE46028"/>
    <w:rsid w:val="2EB07E70"/>
    <w:rsid w:val="2EC27BA3"/>
    <w:rsid w:val="2F4D7B6C"/>
    <w:rsid w:val="2FCA46BE"/>
    <w:rsid w:val="2FCE2CA3"/>
    <w:rsid w:val="31293F09"/>
    <w:rsid w:val="32737B32"/>
    <w:rsid w:val="32F72511"/>
    <w:rsid w:val="334868C9"/>
    <w:rsid w:val="336B25B7"/>
    <w:rsid w:val="33DE42A4"/>
    <w:rsid w:val="34311A53"/>
    <w:rsid w:val="353A66E5"/>
    <w:rsid w:val="35851844"/>
    <w:rsid w:val="36390D37"/>
    <w:rsid w:val="365520E8"/>
    <w:rsid w:val="36E508D2"/>
    <w:rsid w:val="3775603C"/>
    <w:rsid w:val="37955E55"/>
    <w:rsid w:val="38217626"/>
    <w:rsid w:val="38482EC7"/>
    <w:rsid w:val="388D1222"/>
    <w:rsid w:val="396D59C9"/>
    <w:rsid w:val="39E62997"/>
    <w:rsid w:val="3A291D72"/>
    <w:rsid w:val="3AAC197C"/>
    <w:rsid w:val="3AE07D2F"/>
    <w:rsid w:val="3C885F88"/>
    <w:rsid w:val="3D736C38"/>
    <w:rsid w:val="3DB159B2"/>
    <w:rsid w:val="3E182319"/>
    <w:rsid w:val="3EE871B2"/>
    <w:rsid w:val="3F23468E"/>
    <w:rsid w:val="3FD835F8"/>
    <w:rsid w:val="405F31A0"/>
    <w:rsid w:val="40FB7670"/>
    <w:rsid w:val="411B561D"/>
    <w:rsid w:val="416202EE"/>
    <w:rsid w:val="417D380C"/>
    <w:rsid w:val="41817886"/>
    <w:rsid w:val="41AC5009"/>
    <w:rsid w:val="41C537DA"/>
    <w:rsid w:val="4218578B"/>
    <w:rsid w:val="425F3C2F"/>
    <w:rsid w:val="43301127"/>
    <w:rsid w:val="43670FED"/>
    <w:rsid w:val="43721740"/>
    <w:rsid w:val="44E26451"/>
    <w:rsid w:val="4514167D"/>
    <w:rsid w:val="4518343C"/>
    <w:rsid w:val="45622D3C"/>
    <w:rsid w:val="45BD3146"/>
    <w:rsid w:val="45E75117"/>
    <w:rsid w:val="46E32A43"/>
    <w:rsid w:val="475C22DB"/>
    <w:rsid w:val="47CA2521"/>
    <w:rsid w:val="47DC362C"/>
    <w:rsid w:val="48163855"/>
    <w:rsid w:val="48383005"/>
    <w:rsid w:val="48435459"/>
    <w:rsid w:val="493013AA"/>
    <w:rsid w:val="49EC224C"/>
    <w:rsid w:val="4AD34EF6"/>
    <w:rsid w:val="4B3B6134"/>
    <w:rsid w:val="4BA30710"/>
    <w:rsid w:val="4BC52D55"/>
    <w:rsid w:val="4BF70A34"/>
    <w:rsid w:val="4C1C049B"/>
    <w:rsid w:val="4C7B1260"/>
    <w:rsid w:val="4D7B5BB1"/>
    <w:rsid w:val="4F936CC6"/>
    <w:rsid w:val="50306C0B"/>
    <w:rsid w:val="50946015"/>
    <w:rsid w:val="50AD2009"/>
    <w:rsid w:val="50B415EA"/>
    <w:rsid w:val="50D07538"/>
    <w:rsid w:val="51383FC9"/>
    <w:rsid w:val="51C25640"/>
    <w:rsid w:val="5222797D"/>
    <w:rsid w:val="55994262"/>
    <w:rsid w:val="564E6D8D"/>
    <w:rsid w:val="590D7AE9"/>
    <w:rsid w:val="5A5F6122"/>
    <w:rsid w:val="5A8539C2"/>
    <w:rsid w:val="5AD07801"/>
    <w:rsid w:val="5AFB6D1E"/>
    <w:rsid w:val="5C62014C"/>
    <w:rsid w:val="5CC91F79"/>
    <w:rsid w:val="5CD31699"/>
    <w:rsid w:val="5CE02772"/>
    <w:rsid w:val="5D107BA8"/>
    <w:rsid w:val="5D772296"/>
    <w:rsid w:val="5F352B3C"/>
    <w:rsid w:val="5F812FDF"/>
    <w:rsid w:val="5F981BEA"/>
    <w:rsid w:val="5FD245F5"/>
    <w:rsid w:val="600E01CA"/>
    <w:rsid w:val="6025396A"/>
    <w:rsid w:val="60575AEE"/>
    <w:rsid w:val="607E307A"/>
    <w:rsid w:val="60A056E7"/>
    <w:rsid w:val="60B20524"/>
    <w:rsid w:val="6145383A"/>
    <w:rsid w:val="619D3950"/>
    <w:rsid w:val="61BF1B9C"/>
    <w:rsid w:val="62782477"/>
    <w:rsid w:val="631234CA"/>
    <w:rsid w:val="63422A85"/>
    <w:rsid w:val="63D60A00"/>
    <w:rsid w:val="643C74D4"/>
    <w:rsid w:val="644D7933"/>
    <w:rsid w:val="649730D1"/>
    <w:rsid w:val="668F3111"/>
    <w:rsid w:val="668F4651"/>
    <w:rsid w:val="670544F5"/>
    <w:rsid w:val="67104838"/>
    <w:rsid w:val="671432E5"/>
    <w:rsid w:val="677700BB"/>
    <w:rsid w:val="67C715A7"/>
    <w:rsid w:val="67CF623D"/>
    <w:rsid w:val="67DE407D"/>
    <w:rsid w:val="680D18B3"/>
    <w:rsid w:val="681A5D7E"/>
    <w:rsid w:val="686C5E08"/>
    <w:rsid w:val="6896391B"/>
    <w:rsid w:val="68F4745F"/>
    <w:rsid w:val="69293DF7"/>
    <w:rsid w:val="6934402C"/>
    <w:rsid w:val="695560E5"/>
    <w:rsid w:val="699B4676"/>
    <w:rsid w:val="6AC56475"/>
    <w:rsid w:val="6B402F21"/>
    <w:rsid w:val="6C920FFF"/>
    <w:rsid w:val="6D192AA9"/>
    <w:rsid w:val="6D364CE6"/>
    <w:rsid w:val="6DB14501"/>
    <w:rsid w:val="6F424979"/>
    <w:rsid w:val="6F8C57B4"/>
    <w:rsid w:val="6F926B42"/>
    <w:rsid w:val="6FAF14A2"/>
    <w:rsid w:val="6FD42CB7"/>
    <w:rsid w:val="704936A5"/>
    <w:rsid w:val="70A94143"/>
    <w:rsid w:val="70BA1751"/>
    <w:rsid w:val="70DF7B65"/>
    <w:rsid w:val="72190311"/>
    <w:rsid w:val="721B7D14"/>
    <w:rsid w:val="74277859"/>
    <w:rsid w:val="748C709A"/>
    <w:rsid w:val="75183646"/>
    <w:rsid w:val="75255B49"/>
    <w:rsid w:val="75326E0F"/>
    <w:rsid w:val="764741E2"/>
    <w:rsid w:val="77AF7748"/>
    <w:rsid w:val="77D54889"/>
    <w:rsid w:val="787B4F77"/>
    <w:rsid w:val="78F86350"/>
    <w:rsid w:val="7908577F"/>
    <w:rsid w:val="790B4AA6"/>
    <w:rsid w:val="799B3A53"/>
    <w:rsid w:val="79A0117F"/>
    <w:rsid w:val="7A0423EA"/>
    <w:rsid w:val="7A3507F6"/>
    <w:rsid w:val="7AA22F2D"/>
    <w:rsid w:val="7AEF6BF7"/>
    <w:rsid w:val="7B6B7389"/>
    <w:rsid w:val="7D000522"/>
    <w:rsid w:val="7D1A44AC"/>
    <w:rsid w:val="7D1C6119"/>
    <w:rsid w:val="7D5821E8"/>
    <w:rsid w:val="7F637BB3"/>
    <w:rsid w:val="7FA9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852A1A"/>
  <w15:docId w15:val="{DE5AFCA6-2282-43AA-BB3A-8F8DDCCE2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 w:line="259" w:lineRule="auto"/>
      <w:jc w:val="both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jc w:val="both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  <w:jc w:val="both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  <w:spacing w:after="160" w:line="259" w:lineRule="auto"/>
      <w:jc w:val="both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semiHidden/>
    <w:unhideWhenUsed/>
    <w:qFormat/>
    <w:pPr>
      <w:spacing w:line="480" w:lineRule="auto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8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basedOn w:val="a0"/>
    <w:qFormat/>
    <w:rPr>
      <w:b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  <w:jc w:val="both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  <w:jc w:val="both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  <w:jc w:val="both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 w:bidi="ar-SA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수정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link w:val="aff7"/>
    <w:uiPriority w:val="34"/>
    <w:qFormat/>
    <w:locked/>
    <w:rPr>
      <w:rFonts w:eastAsia="MS Mincho"/>
      <w:lang w:val="en-GB" w:eastAsia="en-US"/>
    </w:rPr>
  </w:style>
  <w:style w:type="character" w:customStyle="1" w:styleId="27">
    <w:name w:val="正文文本 2 字符"/>
    <w:basedOn w:val="a0"/>
    <w:link w:val="26"/>
    <w:semiHidden/>
    <w:qFormat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qFormat/>
    <w:pPr>
      <w:keepLines w:val="0"/>
      <w:tabs>
        <w:tab w:val="left" w:pos="1320"/>
      </w:tabs>
      <w:spacing w:before="240" w:after="60" w:line="240" w:lineRule="auto"/>
      <w:ind w:left="1320" w:hanging="420"/>
      <w:jc w:val="left"/>
    </w:pPr>
    <w:rPr>
      <w:rFonts w:eastAsia="Batang"/>
      <w:b/>
      <w:i/>
      <w:iCs/>
      <w:sz w:val="20"/>
      <w:szCs w:val="26"/>
      <w:lang w:val="en-GB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Malgun Gothic" w:hAnsi="Arial"/>
      <w:b/>
      <w:color w:val="0000FF"/>
      <w:u w:val="single"/>
    </w:rPr>
  </w:style>
  <w:style w:type="table" w:customStyle="1" w:styleId="110">
    <w:name w:val="网格表 1 浅色1"/>
    <w:basedOn w:val="a1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4">
    <w:name w:val="修订1"/>
    <w:hidden/>
    <w:uiPriority w:val="99"/>
    <w:semiHidden/>
    <w:qFormat/>
    <w:rPr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ListParagraphChar">
    <w:name w:val="List Paragraph Char"/>
    <w:basedOn w:val="a0"/>
    <w:link w:val="29"/>
    <w:uiPriority w:val="34"/>
    <w:qFormat/>
    <w:locked/>
  </w:style>
  <w:style w:type="paragraph" w:customStyle="1" w:styleId="29">
    <w:name w:val="列表段落2"/>
    <w:basedOn w:val="a"/>
    <w:link w:val="ListParagraphChar"/>
    <w:uiPriority w:val="34"/>
    <w:qFormat/>
    <w:pPr>
      <w:overflowPunct w:val="0"/>
      <w:autoSpaceDE w:val="0"/>
      <w:autoSpaceDN w:val="0"/>
      <w:spacing w:line="240" w:lineRule="auto"/>
      <w:ind w:firstLine="420"/>
      <w:jc w:val="left"/>
    </w:pPr>
    <w:rPr>
      <w:lang w:val="en-US" w:eastAsia="ko-KR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10.10.10.10/ftp/RAN/RAN4/Inbox/R4-2505114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10.10.10.10/ftp/RAN/RAN4/Inbox/R4-250511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5D3D5-1671-4FD7-BBE7-E561CBF0E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853</Words>
  <Characters>4868</Characters>
  <DocSecurity>0</DocSecurity>
  <Lines>40</Lines>
  <Paragraphs>11</Paragraphs>
  <ScaleCrop>false</ScaleCrop>
  <Company/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2019-04-25T01:09:00Z</cp:lastPrinted>
  <dcterms:created xsi:type="dcterms:W3CDTF">2025-08-15T05:08:00Z</dcterms:created>
  <dcterms:modified xsi:type="dcterms:W3CDTF">2025-08-15T08:18:00Z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 ywys07HtlOSzgnFQ1BzUNfyD1FMLCyelYCFP0yai1ojAxUlOcZYhnplt1KHpW5mE/FeI6g1o 8QS+8ponDbTm+1oaWGZyQrv+K6VC52cET7/2anRyTy5kqU3UGxodRDZkxi2+Bp0Fpr23RoRJ JwLpAjdTuahz/CktL9</vt:lpwstr>
  </property>
  <property fmtid="{D5CDD505-2E9C-101B-9397-08002B2CF9AE}" pid="13" name="_2015_ms_pID_7253431">
    <vt:lpwstr>9b7uJEKjzl9o7PkEXFJJ2sPG+Cn6kArG6i5exYY2QP/ziiHVKL6RQn T2FJKKgwzssQ/sPTpJUn3j9VW10WbetMPdrGOaG9OyP3ovaTLTWgKZxw8flaUkjwqBsUMjSF 9eF1auflAYJaO4QOzTYGQJS2GHJJ14FUjsl6p83AhaBgCzwqG25kS9qVjwKUahrBN/I=</vt:lpwstr>
  </property>
  <property fmtid="{D5CDD505-2E9C-101B-9397-08002B2CF9AE}" pid="14" name="KSOProductBuildVer">
    <vt:lpwstr>2052-11.1.0.12165</vt:lpwstr>
  </property>
  <property fmtid="{D5CDD505-2E9C-101B-9397-08002B2CF9AE}" pid="15" name="CWMcd51eb00e1db11ef80003fbd00003fbd">
    <vt:lpwstr>CWMR16ZIhkaa3GWtaXl8Nr6/QzrrGF44UIkoDq+aLaensbHMNqFRTzwOoLY9/33RbyAudreDj5gcxYkm6XhgAisXw==</vt:lpwstr>
  </property>
  <property fmtid="{D5CDD505-2E9C-101B-9397-08002B2CF9AE}" pid="16" name="ICV">
    <vt:lpwstr>62DC26CCC546476EB9BDD7A458E0261D</vt:lpwstr>
  </property>
</Properties>
</file>