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E7980E" w14:textId="2822DB80"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2770E8">
        <w:rPr>
          <w:rFonts w:cs="Arial"/>
          <w:sz w:val="24"/>
        </w:rPr>
        <w:t>11</w:t>
      </w:r>
      <w:r w:rsidR="009E03AD">
        <w:rPr>
          <w:rFonts w:cs="Arial"/>
          <w:sz w:val="24"/>
        </w:rPr>
        <w:t>6</w:t>
      </w:r>
      <w:r>
        <w:rPr>
          <w:rFonts w:cs="Arial"/>
          <w:i/>
          <w:sz w:val="24"/>
        </w:rPr>
        <w:tab/>
      </w:r>
      <w:r w:rsidRPr="00597C9B">
        <w:rPr>
          <w:rFonts w:cs="Arial"/>
          <w:iCs/>
          <w:sz w:val="24"/>
        </w:rPr>
        <w:t>R4-</w:t>
      </w:r>
      <w:r w:rsidR="00912648" w:rsidRPr="00597C9B">
        <w:rPr>
          <w:rFonts w:cs="Arial"/>
          <w:iCs/>
          <w:sz w:val="24"/>
        </w:rPr>
        <w:t>2510233</w:t>
      </w:r>
    </w:p>
    <w:p w14:paraId="225BCA78" w14:textId="5A295A24" w:rsidR="00070795" w:rsidRDefault="00102C39" w:rsidP="00070795">
      <w:pPr>
        <w:pStyle w:val="Header"/>
        <w:tabs>
          <w:tab w:val="right" w:pos="10206"/>
        </w:tabs>
        <w:spacing w:after="120"/>
        <w:rPr>
          <w:rFonts w:cs="Arial"/>
          <w:sz w:val="24"/>
        </w:rPr>
      </w:pPr>
      <w:r w:rsidRPr="00102C39">
        <w:t xml:space="preserve"> </w:t>
      </w:r>
      <w:r w:rsidRPr="00102C39">
        <w:rPr>
          <w:rFonts w:cs="Arial"/>
          <w:sz w:val="24"/>
        </w:rPr>
        <w:t>Bangalore</w:t>
      </w:r>
      <w:r w:rsidR="008D0A45">
        <w:rPr>
          <w:rFonts w:cs="Arial"/>
          <w:sz w:val="24"/>
        </w:rPr>
        <w:t xml:space="preserve">, </w:t>
      </w:r>
      <w:r w:rsidR="00016CBB">
        <w:rPr>
          <w:rFonts w:cs="Arial"/>
          <w:sz w:val="24"/>
        </w:rPr>
        <w:t>India</w:t>
      </w:r>
      <w:r w:rsidR="00070795">
        <w:rPr>
          <w:rFonts w:cs="Arial"/>
          <w:sz w:val="24"/>
        </w:rPr>
        <w:t>,</w:t>
      </w:r>
      <w:r w:rsidR="00E01242">
        <w:rPr>
          <w:rFonts w:cs="Arial"/>
          <w:sz w:val="24"/>
        </w:rPr>
        <w:t xml:space="preserve"> </w:t>
      </w:r>
      <w:r w:rsidR="009E03AD">
        <w:rPr>
          <w:rFonts w:cs="Arial"/>
          <w:sz w:val="24"/>
        </w:rPr>
        <w:t>25</w:t>
      </w:r>
      <w:r w:rsidR="002770E8" w:rsidRPr="00F465E8">
        <w:rPr>
          <w:rFonts w:cs="Arial"/>
          <w:sz w:val="24"/>
          <w:vertAlign w:val="superscript"/>
        </w:rPr>
        <w:t>th</w:t>
      </w:r>
      <w:r w:rsidR="002770E8">
        <w:rPr>
          <w:rFonts w:cs="Arial"/>
          <w:sz w:val="24"/>
        </w:rPr>
        <w:t xml:space="preserve"> </w:t>
      </w:r>
      <w:r w:rsidR="006C791A">
        <w:rPr>
          <w:rFonts w:cs="Arial"/>
          <w:sz w:val="24"/>
        </w:rPr>
        <w:t xml:space="preserve">to </w:t>
      </w:r>
      <w:r w:rsidR="001F6232">
        <w:rPr>
          <w:rFonts w:cs="Arial"/>
          <w:sz w:val="24"/>
        </w:rPr>
        <w:t>2</w:t>
      </w:r>
      <w:r w:rsidR="009E03AD">
        <w:rPr>
          <w:rFonts w:cs="Arial"/>
          <w:sz w:val="24"/>
        </w:rPr>
        <w:t>9</w:t>
      </w:r>
      <w:r w:rsidR="00B7524C">
        <w:rPr>
          <w:rFonts w:cs="Arial"/>
          <w:sz w:val="24"/>
          <w:vertAlign w:val="superscript"/>
        </w:rPr>
        <w:t>rd</w:t>
      </w:r>
      <w:r w:rsidR="002770E8">
        <w:rPr>
          <w:rFonts w:cs="Arial"/>
          <w:sz w:val="24"/>
        </w:rPr>
        <w:t xml:space="preserve"> </w:t>
      </w:r>
      <w:r w:rsidR="009E03AD">
        <w:rPr>
          <w:rFonts w:cs="Arial"/>
          <w:sz w:val="24"/>
        </w:rPr>
        <w:t>August</w:t>
      </w:r>
      <w:r w:rsidR="002770E8">
        <w:rPr>
          <w:rFonts w:cs="Arial"/>
          <w:sz w:val="24"/>
        </w:rPr>
        <w:t xml:space="preserve"> 2025</w:t>
      </w:r>
      <w:r w:rsidR="002770E8">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17DAF621"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9A5EB8">
        <w:rPr>
          <w:rFonts w:ascii="Arial" w:hAnsi="Arial" w:cs="Arial"/>
        </w:rPr>
        <w:t>On</w:t>
      </w:r>
      <w:r w:rsidR="00A07D9F">
        <w:rPr>
          <w:rFonts w:ascii="Arial" w:hAnsi="Arial" w:cs="Arial"/>
        </w:rPr>
        <w:t xml:space="preserve"> alternative</w:t>
      </w:r>
      <w:r w:rsidR="00AD48B7">
        <w:rPr>
          <w:rFonts w:ascii="Arial" w:hAnsi="Arial" w:cs="Arial"/>
        </w:rPr>
        <w:t>s to current</w:t>
      </w:r>
      <w:r w:rsidR="00A07D9F">
        <w:rPr>
          <w:rFonts w:ascii="Arial" w:hAnsi="Arial" w:cs="Arial"/>
        </w:rPr>
        <w:t xml:space="preserve"> </w:t>
      </w:r>
      <w:r w:rsidR="00B01CAA">
        <w:rPr>
          <w:rFonts w:ascii="Arial" w:hAnsi="Arial" w:cs="Arial"/>
        </w:rPr>
        <w:t xml:space="preserve">CLTA concept </w:t>
      </w:r>
    </w:p>
    <w:p w14:paraId="72798C4E" w14:textId="0314FEA0"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AD48B7">
        <w:rPr>
          <w:rFonts w:ascii="Arial" w:hAnsi="Arial" w:cs="Arial"/>
          <w:bCs/>
          <w:lang w:val="en-US"/>
        </w:rPr>
        <w:t>7.9.4</w:t>
      </w:r>
      <w:r w:rsidR="001C08E3">
        <w:rPr>
          <w:rFonts w:ascii="Arial" w:hAnsi="Arial" w:cs="Arial"/>
          <w:bCs/>
          <w:lang w:val="en-US"/>
        </w:rPr>
        <w:t>.2.2</w:t>
      </w:r>
    </w:p>
    <w:p w14:paraId="3C088A4A" w14:textId="1F8386CF"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50E2E7E" w14:textId="7D4B4477" w:rsidR="00011594" w:rsidRDefault="00601A10" w:rsidP="00601A10">
      <w:pPr>
        <w:pStyle w:val="BodyText"/>
      </w:pPr>
      <w:r>
        <w:t>At the last meeting (RAN4#115 in Malta) RAN4 collected outcome from coupling loss measurements and simulations from several companies.</w:t>
      </w:r>
      <w:r w:rsidR="00011594">
        <w:t xml:space="preserve"> </w:t>
      </w:r>
      <w:r w:rsidR="00D12A83">
        <w:t xml:space="preserve">To be able to continue the work </w:t>
      </w:r>
      <w:r w:rsidR="00CD7B97">
        <w:t>related to test</w:t>
      </w:r>
      <w:r w:rsidR="00E2369D">
        <w:t xml:space="preserve"> concept development</w:t>
      </w:r>
      <w:r w:rsidR="00CD7B97">
        <w:t xml:space="preserve"> </w:t>
      </w:r>
      <w:r w:rsidR="00E2369D">
        <w:t>for</w:t>
      </w:r>
      <w:r w:rsidR="00CD7B97">
        <w:t xml:space="preserve"> co-location </w:t>
      </w:r>
      <w:r w:rsidR="00E2369D">
        <w:t>requirements</w:t>
      </w:r>
      <w:r w:rsidR="00CD7B97">
        <w:t xml:space="preserve"> it is essential to collect and capture finding</w:t>
      </w:r>
      <w:r w:rsidR="004618B2">
        <w:t xml:space="preserve"> related to coupling loss technical background. The intention is to collect information in TR 37.941. </w:t>
      </w:r>
    </w:p>
    <w:p w14:paraId="28452F77" w14:textId="5C4B910B" w:rsidR="00601A10" w:rsidRDefault="00601A10" w:rsidP="00601A10">
      <w:pPr>
        <w:pStyle w:val="BodyText"/>
      </w:pPr>
      <w:r>
        <w:t xml:space="preserve">In this contribution we </w:t>
      </w:r>
      <w:r w:rsidR="00D24351">
        <w:t xml:space="preserve">focus on test aspect related to </w:t>
      </w:r>
      <w:r w:rsidR="002F7589">
        <w:t xml:space="preserve">the </w:t>
      </w:r>
      <w:r w:rsidR="00D24351">
        <w:t xml:space="preserve">current CLTA approach and how to evolve </w:t>
      </w:r>
      <w:r w:rsidR="0058284F">
        <w:t xml:space="preserve">the concept in the future. </w:t>
      </w:r>
      <w:r w:rsidR="008F3566">
        <w:t>Technica</w:t>
      </w:r>
      <w:r w:rsidR="00696A28">
        <w:t>l</w:t>
      </w:r>
      <w:r w:rsidR="008F3566">
        <w:t xml:space="preserve"> challenges and issues with current CLTA concept </w:t>
      </w:r>
      <w:r w:rsidR="00FA6925">
        <w:t>are</w:t>
      </w:r>
      <w:r w:rsidR="008F3566">
        <w:t xml:space="preserve"> summarized and some ideas for the future evolution </w:t>
      </w:r>
      <w:r w:rsidR="009537FB">
        <w:t xml:space="preserve">is presented for discussion.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68265633" w14:textId="5A084124" w:rsidR="00E13370" w:rsidRDefault="007A008C" w:rsidP="0062745C">
      <w:pPr>
        <w:pStyle w:val="BodyText"/>
      </w:pPr>
      <w:r>
        <w:t>In this contribution we will summarize issues with the existen</w:t>
      </w:r>
      <w:r w:rsidR="001428BA">
        <w:t>t</w:t>
      </w:r>
      <w:r>
        <w:t xml:space="preserve"> CLTA concept</w:t>
      </w:r>
      <w:r w:rsidR="008D5ED2">
        <w:t xml:space="preserve">, </w:t>
      </w:r>
      <w:r w:rsidR="0058284F">
        <w:t>consequences</w:t>
      </w:r>
      <w:r w:rsidR="008D5ED2">
        <w:t xml:space="preserve"> re-using the coupling loss assumption for </w:t>
      </w:r>
      <w:r w:rsidR="0016291D">
        <w:t xml:space="preserve">all bands in a near-field situation, provide theory to link near-field and coupling loss, </w:t>
      </w:r>
      <w:r w:rsidR="00393579">
        <w:t xml:space="preserve">and provide some measurement results to show that near-field </w:t>
      </w:r>
      <w:r w:rsidR="0058284F">
        <w:t>properties</w:t>
      </w:r>
      <w:r w:rsidR="00393579">
        <w:t xml:space="preserve"> and coupling loss are linked. </w:t>
      </w:r>
    </w:p>
    <w:p w14:paraId="1B1B6A3D" w14:textId="77777777" w:rsidR="00D5244C" w:rsidRDefault="00D5244C" w:rsidP="0062745C">
      <w:pPr>
        <w:pStyle w:val="BodyText"/>
      </w:pPr>
    </w:p>
    <w:p w14:paraId="20DB5236" w14:textId="3F1470AE" w:rsidR="00AF65BE" w:rsidRPr="007A7874" w:rsidRDefault="00AF65BE" w:rsidP="007A7874">
      <w:pPr>
        <w:pStyle w:val="BodyText"/>
        <w:numPr>
          <w:ilvl w:val="1"/>
          <w:numId w:val="5"/>
        </w:numPr>
        <w:ind w:hanging="720"/>
        <w:rPr>
          <w:rFonts w:ascii="Arial" w:hAnsi="Arial" w:cs="Arial"/>
          <w:sz w:val="28"/>
          <w:szCs w:val="28"/>
        </w:rPr>
      </w:pPr>
      <w:r w:rsidRPr="007A7874">
        <w:rPr>
          <w:rFonts w:ascii="Arial" w:hAnsi="Arial" w:cs="Arial"/>
          <w:sz w:val="28"/>
          <w:szCs w:val="28"/>
        </w:rPr>
        <w:t>Issues with existing approach</w:t>
      </w:r>
    </w:p>
    <w:p w14:paraId="0339D8CD" w14:textId="229A933B" w:rsidR="004706CD" w:rsidRDefault="004706CD" w:rsidP="0062745C">
      <w:pPr>
        <w:pStyle w:val="BodyText"/>
      </w:pPr>
      <w:r w:rsidRPr="004706CD">
        <w:t>Co-location of Base Stations (BSs) is a near-field problem. Therefore, the specification of the testing should be defined using parameters relevant for the nearfield. However, the current specification of the CLTA defines the height, the beamwidth and the polarization of the CLTA. It is noted that the beamwidth is a far</w:t>
      </w:r>
      <w:r w:rsidR="0058284F">
        <w:t>-</w:t>
      </w:r>
      <w:r w:rsidRPr="004706CD">
        <w:t>field parameter mostly relevant for in-band operation. Moreover, size and beamwidth are strongly related for in</w:t>
      </w:r>
      <w:r w:rsidR="0058284F">
        <w:t>-</w:t>
      </w:r>
      <w:r w:rsidRPr="004706CD">
        <w:t>band operation, whereas the link between beamwidth and size is weak for out-of-band.</w:t>
      </w:r>
    </w:p>
    <w:p w14:paraId="7407E59F" w14:textId="4151630E" w:rsidR="004706CD" w:rsidRDefault="004706CD" w:rsidP="0062745C">
      <w:pPr>
        <w:pStyle w:val="BodyText"/>
      </w:pPr>
      <w:r w:rsidRPr="000E1F25">
        <w:rPr>
          <w:b/>
          <w:bCs/>
          <w:u w:val="single"/>
        </w:rPr>
        <w:t>Observation 1:</w:t>
      </w:r>
      <w:r>
        <w:t xml:space="preserve"> </w:t>
      </w:r>
      <w:r w:rsidRPr="004706CD">
        <w:t>The CLTA is defined by physical size and far</w:t>
      </w:r>
      <w:r w:rsidR="0058284F">
        <w:t>-</w:t>
      </w:r>
      <w:r w:rsidRPr="004706CD">
        <w:t>field parameters, whereas co-location is a nearfield problem</w:t>
      </w:r>
      <w:r>
        <w:t>.</w:t>
      </w:r>
    </w:p>
    <w:p w14:paraId="5CD880B8" w14:textId="430A6BBE" w:rsidR="00CF77B8" w:rsidRDefault="00CF77B8" w:rsidP="0062745C">
      <w:pPr>
        <w:pStyle w:val="BodyText"/>
      </w:pPr>
      <w:r w:rsidRPr="00CF77B8">
        <w:t>One missing criterion on the CLTA is antenna efficiency. Here, the antenna efficiency is defined as the ratio of the Total radiated power (TRP) and the input power. If the antenna efficiency is not specified, any attenuator can be used on the input port, without violating the CLTA specification. As a direct consequence, the test result would be arbitrary.</w:t>
      </w:r>
    </w:p>
    <w:p w14:paraId="60016A40" w14:textId="0A6AB2A9" w:rsidR="00CF77B8" w:rsidRDefault="00CF77B8" w:rsidP="0062745C">
      <w:pPr>
        <w:pStyle w:val="BodyText"/>
      </w:pPr>
      <w:r w:rsidRPr="000E1F25">
        <w:rPr>
          <w:b/>
          <w:bCs/>
          <w:u w:val="single"/>
        </w:rPr>
        <w:t>Observation 2:</w:t>
      </w:r>
      <w:r>
        <w:t xml:space="preserve"> </w:t>
      </w:r>
      <w:r w:rsidRPr="00CF77B8">
        <w:t>The antenna efficiency is not specified for the CLTA which may lead to arbitrary test results.</w:t>
      </w:r>
    </w:p>
    <w:p w14:paraId="4AC3CA00" w14:textId="3CDF269C" w:rsidR="008074B6" w:rsidRDefault="008074B6" w:rsidP="0062745C">
      <w:pPr>
        <w:pStyle w:val="BodyText"/>
      </w:pPr>
      <w:r w:rsidRPr="008074B6">
        <w:t>Another issue that can lead to increased coupling loss would be the presence of nearfield nulls in the CLTA towards the victim antenna. This is a shortcoming of specifying the forward far</w:t>
      </w:r>
      <w:r w:rsidR="003C28BF">
        <w:t>-</w:t>
      </w:r>
      <w:r w:rsidRPr="008074B6">
        <w:t xml:space="preserve">field spatial properties, when the sideways nearfield spatial performance is the relevant metric.  </w:t>
      </w:r>
    </w:p>
    <w:p w14:paraId="1B2485BE" w14:textId="09B7DC5F" w:rsidR="008074B6" w:rsidRDefault="008074B6" w:rsidP="0062745C">
      <w:pPr>
        <w:pStyle w:val="BodyText"/>
      </w:pPr>
      <w:r w:rsidRPr="000E1F25">
        <w:rPr>
          <w:b/>
          <w:bCs/>
          <w:u w:val="single"/>
        </w:rPr>
        <w:t>Observation 3:</w:t>
      </w:r>
      <w:r>
        <w:t xml:space="preserve"> </w:t>
      </w:r>
      <w:r w:rsidRPr="008074B6">
        <w:t xml:space="preserve">The </w:t>
      </w:r>
      <w:r w:rsidR="00C174E3">
        <w:t xml:space="preserve">specification of the </w:t>
      </w:r>
      <w:r w:rsidRPr="008074B6">
        <w:t>spatial performance of the CLTA may lead to arbitrary test results.</w:t>
      </w:r>
    </w:p>
    <w:p w14:paraId="6BEC8E99" w14:textId="6D8DD744" w:rsidR="008074B6" w:rsidRDefault="00837AE4" w:rsidP="0062745C">
      <w:pPr>
        <w:pStyle w:val="BodyText"/>
      </w:pPr>
      <w:r w:rsidRPr="00837AE4">
        <w:t>Another important aspect of co-location performance is the effect of beam-steering. For devices with dynamic beams, it can be more relevant to perform tests in a dynamic mode. Furthermore, this can lead to simplification of the test method.</w:t>
      </w:r>
    </w:p>
    <w:p w14:paraId="7F213FBF" w14:textId="7824DA7F" w:rsidR="00837AE4" w:rsidRDefault="00837AE4" w:rsidP="0062745C">
      <w:pPr>
        <w:pStyle w:val="BodyText"/>
      </w:pPr>
      <w:r w:rsidRPr="000E1F25">
        <w:rPr>
          <w:b/>
          <w:bCs/>
          <w:u w:val="single"/>
        </w:rPr>
        <w:t>Proposal 1:</w:t>
      </w:r>
      <w:r>
        <w:t xml:space="preserve"> </w:t>
      </w:r>
      <w:r w:rsidRPr="00837AE4">
        <w:t>Beam steering effects should be integrated into the co-location testing and potential test simplifications should be further studied.</w:t>
      </w:r>
    </w:p>
    <w:p w14:paraId="619BE926" w14:textId="77777777" w:rsidR="00837AE4" w:rsidRDefault="00837AE4" w:rsidP="0062745C">
      <w:pPr>
        <w:pStyle w:val="BodyText"/>
      </w:pPr>
    </w:p>
    <w:p w14:paraId="5A5D8985" w14:textId="39BE6F00" w:rsidR="00837AE4" w:rsidRDefault="003261A8" w:rsidP="0062745C">
      <w:pPr>
        <w:pStyle w:val="BodyText"/>
      </w:pPr>
      <w:r w:rsidRPr="003261A8">
        <w:lastRenderedPageBreak/>
        <w:t>Co-location requirements are not tied to a physical entity, as other RAN4 conformance requirements are tied to TRP, EIRP or EIS etc. Nearfield characteristics are traditionally, in EMF and EMC regulations and standards, set as electric or magnetic field strength or power flux. To avoid the above-mentioned risk of arbitrary test results, the co-location requirements should also be declared in terms of relevant nearfield metrics.</w:t>
      </w:r>
    </w:p>
    <w:p w14:paraId="61ABCE39" w14:textId="53CFC9E5" w:rsidR="003261A8" w:rsidRDefault="003261A8" w:rsidP="0062745C">
      <w:pPr>
        <w:pStyle w:val="BodyText"/>
      </w:pPr>
      <w:r w:rsidRPr="000E1F25">
        <w:rPr>
          <w:b/>
          <w:bCs/>
          <w:u w:val="single"/>
        </w:rPr>
        <w:t>Observation 4:</w:t>
      </w:r>
      <w:r>
        <w:t xml:space="preserve"> </w:t>
      </w:r>
      <w:r w:rsidRPr="003261A8">
        <w:t>The co-location requirements are not described in terms of a metric that can be related to the radiated electromagnetic nearfield.</w:t>
      </w:r>
    </w:p>
    <w:p w14:paraId="10B2FFB2" w14:textId="758832BA" w:rsidR="003261A8" w:rsidRDefault="00F30FAA" w:rsidP="0062745C">
      <w:pPr>
        <w:pStyle w:val="BodyText"/>
      </w:pPr>
      <w:r>
        <w:t>It is also noted that f</w:t>
      </w:r>
      <w:r w:rsidR="003261A8" w:rsidRPr="003261A8">
        <w:t xml:space="preserve">ield strength measurement in the </w:t>
      </w:r>
      <w:proofErr w:type="gramStart"/>
      <w:r w:rsidR="003261A8" w:rsidRPr="003261A8">
        <w:t>near</w:t>
      </w:r>
      <w:r w:rsidR="003C28BF">
        <w:t>-</w:t>
      </w:r>
      <w:r w:rsidR="003261A8" w:rsidRPr="003261A8">
        <w:t>field</w:t>
      </w:r>
      <w:proofErr w:type="gramEnd"/>
      <w:r w:rsidR="003261A8" w:rsidRPr="003261A8">
        <w:t xml:space="preserve"> is an established technology.</w:t>
      </w:r>
    </w:p>
    <w:p w14:paraId="420FBB0A" w14:textId="77777777" w:rsidR="00AF65BE" w:rsidRDefault="00AF65BE" w:rsidP="00AF65BE">
      <w:pPr>
        <w:pStyle w:val="BodyText"/>
      </w:pPr>
    </w:p>
    <w:p w14:paraId="7087573B" w14:textId="25892B57" w:rsidR="00AF65BE" w:rsidRPr="00A61CF7" w:rsidRDefault="00AF65BE" w:rsidP="00AF65BE">
      <w:pPr>
        <w:pStyle w:val="BodyText"/>
        <w:numPr>
          <w:ilvl w:val="1"/>
          <w:numId w:val="5"/>
        </w:numPr>
        <w:ind w:hanging="720"/>
        <w:rPr>
          <w:rFonts w:ascii="Arial" w:hAnsi="Arial" w:cs="Arial"/>
          <w:sz w:val="28"/>
          <w:szCs w:val="28"/>
        </w:rPr>
      </w:pPr>
      <w:r>
        <w:rPr>
          <w:rFonts w:ascii="Arial" w:hAnsi="Arial" w:cs="Arial"/>
          <w:sz w:val="28"/>
          <w:szCs w:val="28"/>
        </w:rPr>
        <w:t>Current coupling loss assumption</w:t>
      </w:r>
    </w:p>
    <w:p w14:paraId="596C9980" w14:textId="4AC6F7C5" w:rsidR="00D5244C" w:rsidRDefault="00EB5F01" w:rsidP="0062745C">
      <w:pPr>
        <w:pStyle w:val="BodyText"/>
      </w:pPr>
      <w:r w:rsidRPr="00EB5F01">
        <w:t xml:space="preserve">It has been demonstrated by measurements and simulations in various discussion papers that the coupling loss in the higher FR1 bands is significantly higher than the legacy 30 dB assumption. It is also clear that the coupling loss depends strongly on beam steering and on reference plane definitions, i.e. array-array, subarray-array, etc.  </w:t>
      </w:r>
    </w:p>
    <w:p w14:paraId="7E3A99CA" w14:textId="7898AA91" w:rsidR="00A27C35" w:rsidRDefault="00A27C35" w:rsidP="0062745C">
      <w:pPr>
        <w:pStyle w:val="BodyText"/>
      </w:pPr>
      <w:r w:rsidRPr="000E1F25">
        <w:rPr>
          <w:b/>
          <w:bCs/>
          <w:u w:val="single"/>
        </w:rPr>
        <w:t>Proposal 2:</w:t>
      </w:r>
      <w:r>
        <w:t xml:space="preserve"> </w:t>
      </w:r>
      <w:r w:rsidRPr="00A27C35">
        <w:t>The coupling loss seems to be higher than 30 dB in upper FR1 band. This should be further studied.</w:t>
      </w:r>
    </w:p>
    <w:p w14:paraId="1693016E" w14:textId="586A6D06" w:rsidR="00A27C35" w:rsidRDefault="00A27C35" w:rsidP="0062745C">
      <w:pPr>
        <w:pStyle w:val="BodyText"/>
      </w:pPr>
      <w:r w:rsidRPr="000E1F25">
        <w:rPr>
          <w:b/>
          <w:bCs/>
          <w:u w:val="single"/>
        </w:rPr>
        <w:t>Proposal 3:</w:t>
      </w:r>
      <w:r>
        <w:t xml:space="preserve"> </w:t>
      </w:r>
      <w:r w:rsidRPr="00A27C35">
        <w:t>Requirements should be derived from the new coupling loss figures in the upper FR1 band</w:t>
      </w:r>
      <w:r>
        <w:t>.</w:t>
      </w:r>
    </w:p>
    <w:p w14:paraId="039545AE" w14:textId="7721D847" w:rsidR="00981A5E" w:rsidRDefault="00981A5E" w:rsidP="00981A5E">
      <w:pPr>
        <w:pStyle w:val="BodyText"/>
      </w:pPr>
      <w:r w:rsidRPr="00981A5E">
        <w:t>In modern AASs a plurality of transmitters and receivers are used.</w:t>
      </w:r>
      <w:r w:rsidR="006A3C39">
        <w:t xml:space="preserve"> This implies that the power reference planes (full array or subarray) must be properly selected</w:t>
      </w:r>
      <w:r w:rsidR="00CB7105">
        <w:t xml:space="preserve"> for requirement derivation</w:t>
      </w:r>
      <w:r w:rsidR="006A3C39">
        <w:t xml:space="preserve">. </w:t>
      </w:r>
    </w:p>
    <w:p w14:paraId="263D981B" w14:textId="5240EEE9" w:rsidR="00981A5E" w:rsidRDefault="00981A5E" w:rsidP="00981A5E">
      <w:pPr>
        <w:pStyle w:val="BodyText"/>
      </w:pPr>
      <w:r w:rsidRPr="000E1F25">
        <w:rPr>
          <w:b/>
          <w:bCs/>
          <w:u w:val="single"/>
        </w:rPr>
        <w:t>Proposal 4:</w:t>
      </w:r>
      <w:r>
        <w:t xml:space="preserve"> The correct power reference planes should be defined and agreed </w:t>
      </w:r>
    </w:p>
    <w:p w14:paraId="002B605E" w14:textId="45C727B5" w:rsidR="006A3C39" w:rsidRDefault="006A3C39" w:rsidP="00981A5E">
      <w:pPr>
        <w:pStyle w:val="BodyText"/>
      </w:pPr>
      <w:r>
        <w:t>Moreover, o</w:t>
      </w:r>
      <w:r w:rsidRPr="00981A5E">
        <w:t>ne clear advantage of using a plurality of transceivers is that a small part of them can have poor performance if on average the performance is good enough. This property is not reflected in the requirement derivation</w:t>
      </w:r>
    </w:p>
    <w:p w14:paraId="6587159C" w14:textId="7804E84B" w:rsidR="00981A5E" w:rsidRDefault="00981A5E" w:rsidP="00981A5E">
      <w:pPr>
        <w:pStyle w:val="BodyText"/>
      </w:pPr>
      <w:r w:rsidRPr="000E1F25">
        <w:rPr>
          <w:b/>
          <w:bCs/>
          <w:u w:val="single"/>
        </w:rPr>
        <w:t>Prop</w:t>
      </w:r>
      <w:r w:rsidR="00F500E5" w:rsidRPr="000E1F25">
        <w:rPr>
          <w:b/>
          <w:bCs/>
          <w:u w:val="single"/>
        </w:rPr>
        <w:t>osal 5:</w:t>
      </w:r>
      <w:r w:rsidR="00F500E5">
        <w:t xml:space="preserve"> </w:t>
      </w:r>
      <w:r>
        <w:t xml:space="preserve">The AAS performance distribution should be analysed statistically and reflected in the requirement derivation. </w:t>
      </w:r>
    </w:p>
    <w:p w14:paraId="14EE3F3F" w14:textId="43409282" w:rsidR="00981A5E" w:rsidRDefault="00F500E5" w:rsidP="00981A5E">
      <w:pPr>
        <w:pStyle w:val="BodyText"/>
      </w:pPr>
      <w:r w:rsidRPr="000E1F25">
        <w:rPr>
          <w:b/>
          <w:bCs/>
          <w:u w:val="single"/>
        </w:rPr>
        <w:t>Proposal 6:</w:t>
      </w:r>
      <w:r>
        <w:t xml:space="preserve"> </w:t>
      </w:r>
      <w:r w:rsidR="00981A5E">
        <w:t xml:space="preserve">A percentile level to use in the coupling loss CDF should be agreed upon. </w:t>
      </w:r>
    </w:p>
    <w:p w14:paraId="0B437429" w14:textId="77A13739" w:rsidR="00981A5E" w:rsidRDefault="00981A5E" w:rsidP="00981A5E">
      <w:pPr>
        <w:pStyle w:val="BodyText"/>
      </w:pPr>
      <w:r>
        <w:t xml:space="preserve">As beamforming is massively used in modern AASs this should also be reflected in the derivation of requirement levels.  </w:t>
      </w:r>
    </w:p>
    <w:p w14:paraId="7DC8E6BF" w14:textId="164A469D" w:rsidR="00981A5E" w:rsidRDefault="00F500E5" w:rsidP="00981A5E">
      <w:pPr>
        <w:pStyle w:val="BodyText"/>
      </w:pPr>
      <w:r w:rsidRPr="000E1F25">
        <w:rPr>
          <w:b/>
          <w:bCs/>
          <w:u w:val="single"/>
        </w:rPr>
        <w:t>Proposal 7:</w:t>
      </w:r>
      <w:r>
        <w:t xml:space="preserve"> </w:t>
      </w:r>
      <w:r w:rsidR="00981A5E">
        <w:t>The use of beam steering should be further studied for requirement derivation and test definition</w:t>
      </w:r>
      <w:r w:rsidR="00C71884">
        <w:t>.</w:t>
      </w:r>
    </w:p>
    <w:p w14:paraId="7B4ED4A6" w14:textId="77777777" w:rsidR="00F500E5" w:rsidRDefault="00F500E5" w:rsidP="00981A5E">
      <w:pPr>
        <w:pStyle w:val="BodyText"/>
      </w:pPr>
    </w:p>
    <w:p w14:paraId="6ADA1090" w14:textId="4FBC915B" w:rsidR="00AF65BE" w:rsidRDefault="00AF65BE" w:rsidP="00AF65BE">
      <w:pPr>
        <w:pStyle w:val="BodyText"/>
        <w:numPr>
          <w:ilvl w:val="1"/>
          <w:numId w:val="5"/>
        </w:numPr>
        <w:ind w:hanging="720"/>
        <w:rPr>
          <w:rFonts w:ascii="Arial" w:hAnsi="Arial" w:cs="Arial"/>
          <w:sz w:val="28"/>
          <w:szCs w:val="28"/>
        </w:rPr>
      </w:pPr>
      <w:r>
        <w:rPr>
          <w:rFonts w:ascii="Arial" w:hAnsi="Arial" w:cs="Arial"/>
          <w:sz w:val="28"/>
          <w:szCs w:val="28"/>
        </w:rPr>
        <w:t>Near</w:t>
      </w:r>
      <w:r w:rsidR="004F0AB1">
        <w:rPr>
          <w:rFonts w:ascii="Arial" w:hAnsi="Arial" w:cs="Arial"/>
          <w:sz w:val="28"/>
          <w:szCs w:val="28"/>
        </w:rPr>
        <w:t>field formulation of coupling</w:t>
      </w:r>
    </w:p>
    <w:p w14:paraId="37B137C8" w14:textId="53EB4DA5" w:rsidR="004F0AB1" w:rsidRDefault="004F0AB1" w:rsidP="0062745C">
      <w:pPr>
        <w:pStyle w:val="BodyText"/>
      </w:pPr>
      <w:r w:rsidRPr="004F0AB1">
        <w:t>Coupling loss between two antenna</w:t>
      </w:r>
      <w:r w:rsidR="00845CD0">
        <w:t>s</w:t>
      </w:r>
      <w:r w:rsidRPr="004F0AB1">
        <w:t xml:space="preserve"> depends on the corresponding nearfields. If the coupling is weak, multiple scattering between the antennas can be neglected and formulated in terms of the reaction of fields generated by the aggressor with the currents flowing on the victim antenna. The concept of reaction of electromagnetic fields is a well-known concept in antenna engineering [22, 23] and it enables efficient calculation of antenna-to-antenna coupling loss [24, 25].</w:t>
      </w:r>
    </w:p>
    <w:p w14:paraId="33E5655C" w14:textId="75DD3CEA" w:rsidR="00AD377D" w:rsidRDefault="00343523" w:rsidP="0062745C">
      <w:pPr>
        <w:pStyle w:val="BodyText"/>
      </w:pPr>
      <w:r w:rsidRPr="00343523">
        <w:t>For a pair of antennas, labelled 1 and 2, the reaction is defined as</w:t>
      </w:r>
      <w:r>
        <w:t>:</w:t>
      </w:r>
    </w:p>
    <w:p w14:paraId="4762871F" w14:textId="3443A7AE" w:rsidR="00AD377D" w:rsidRDefault="00980B13" w:rsidP="0062745C">
      <w:pPr>
        <w:pStyle w:val="BodyText"/>
      </w:pPr>
      <m:oMathPara>
        <m:oMath>
          <m:sSub>
            <m:sSubPr>
              <m:ctrlPr>
                <w:rPr>
                  <w:rFonts w:ascii="Cambria Math" w:hAnsi="Cambria Math"/>
                  <w:sz w:val="24"/>
                  <w:szCs w:val="24"/>
                </w:rPr>
              </m:ctrlPr>
            </m:sSubPr>
            <m:e>
              <m:r>
                <w:rPr>
                  <w:rFonts w:ascii="Cambria Math" w:hAnsi="Cambria Math"/>
                  <w:sz w:val="24"/>
                  <w:szCs w:val="24"/>
                </w:rPr>
                <m:t>R</m:t>
              </m:r>
            </m:e>
            <m:sub>
              <m:r>
                <w:rPr>
                  <w:rFonts w:ascii="Cambria Math" w:hAnsi="Cambria Math"/>
                  <w:sz w:val="24"/>
                  <w:szCs w:val="24"/>
                </w:rPr>
                <m:t>21</m:t>
              </m:r>
            </m:sub>
          </m:sSub>
          <m:r>
            <m:rPr>
              <m:sty m:val="p"/>
            </m:rPr>
            <w:rPr>
              <w:rFonts w:ascii="Cambria Math" w:hAnsi="Cambria Math"/>
              <w:sz w:val="24"/>
              <w:szCs w:val="24"/>
            </w:rPr>
            <m:t>=</m:t>
          </m:r>
          <m:nary>
            <m:naryPr>
              <m:chr m:val="∬"/>
              <m:supHide m:val="1"/>
              <m:ctrlPr>
                <w:rPr>
                  <w:rFonts w:ascii="Cambria Math" w:eastAsiaTheme="minorEastAsia" w:hAnsi="Cambria Math"/>
                  <w:sz w:val="24"/>
                  <w:szCs w:val="24"/>
                </w:rPr>
              </m:ctrlPr>
            </m:naryPr>
            <m:sub>
              <m:r>
                <w:rPr>
                  <w:rFonts w:ascii="Cambria Math" w:eastAsiaTheme="minorEastAsia" w:hAnsi="Cambria Math"/>
                  <w:sz w:val="24"/>
                  <w:szCs w:val="24"/>
                </w:rPr>
                <m:t>S</m:t>
              </m:r>
            </m:sub>
            <m:sup/>
            <m:e>
              <m:sSub>
                <m:sSubPr>
                  <m:ctrlPr>
                    <w:rPr>
                      <w:rFonts w:ascii="Cambria Math" w:eastAsiaTheme="minorEastAsia" w:hAnsi="Cambria Math"/>
                      <w:sz w:val="24"/>
                      <w:szCs w:val="24"/>
                    </w:rPr>
                  </m:ctrlPr>
                </m:sSubPr>
                <m:e>
                  <m:acc>
                    <m:accPr>
                      <m:chr m:val="⃗"/>
                      <m:ctrlPr>
                        <w:rPr>
                          <w:rFonts w:ascii="Cambria Math" w:eastAsiaTheme="minorEastAsia" w:hAnsi="Cambria Math"/>
                          <w:sz w:val="24"/>
                          <w:szCs w:val="24"/>
                        </w:rPr>
                      </m:ctrlPr>
                    </m:accPr>
                    <m:e>
                      <m:r>
                        <w:rPr>
                          <w:rFonts w:ascii="Cambria Math" w:eastAsiaTheme="minorEastAsia" w:hAnsi="Cambria Math"/>
                          <w:sz w:val="24"/>
                          <w:szCs w:val="24"/>
                        </w:rPr>
                        <m:t>J</m:t>
                      </m:r>
                    </m:e>
                  </m:acc>
                </m:e>
                <m:sub>
                  <m:r>
                    <m:rPr>
                      <m:sty m:val="p"/>
                    </m:rPr>
                    <w:rPr>
                      <w:rFonts w:ascii="Cambria Math" w:eastAsiaTheme="minorEastAsia" w:hAnsi="Cambria Math"/>
                      <w:sz w:val="24"/>
                      <w:szCs w:val="24"/>
                    </w:rPr>
                    <m:t>2</m:t>
                  </m:r>
                </m:sub>
              </m:sSub>
              <m:r>
                <m:rPr>
                  <m:sty m:val="p"/>
                </m:rPr>
                <w:rPr>
                  <w:rFonts w:ascii="Cambria Math" w:eastAsiaTheme="minorEastAsia" w:hAnsi="Cambria Math"/>
                  <w:sz w:val="24"/>
                  <w:szCs w:val="24"/>
                </w:rPr>
                <m:t>⋅</m:t>
              </m:r>
              <m:sSub>
                <m:sSubPr>
                  <m:ctrlPr>
                    <w:rPr>
                      <w:rFonts w:ascii="Cambria Math" w:eastAsiaTheme="minorEastAsia" w:hAnsi="Cambria Math"/>
                      <w:sz w:val="24"/>
                      <w:szCs w:val="24"/>
                    </w:rPr>
                  </m:ctrlPr>
                </m:sSubPr>
                <m:e>
                  <m:acc>
                    <m:accPr>
                      <m:chr m:val="⃗"/>
                      <m:ctrlPr>
                        <w:rPr>
                          <w:rFonts w:ascii="Cambria Math" w:eastAsiaTheme="minorEastAsia" w:hAnsi="Cambria Math"/>
                          <w:sz w:val="24"/>
                          <w:szCs w:val="24"/>
                        </w:rPr>
                      </m:ctrlPr>
                    </m:accPr>
                    <m:e>
                      <m:r>
                        <w:rPr>
                          <w:rFonts w:ascii="Cambria Math" w:eastAsiaTheme="minorEastAsia" w:hAnsi="Cambria Math"/>
                          <w:sz w:val="24"/>
                          <w:szCs w:val="24"/>
                        </w:rPr>
                        <m:t>E</m:t>
                      </m:r>
                    </m:e>
                  </m:acc>
                </m:e>
                <m:sub>
                  <m:r>
                    <m:rPr>
                      <m:sty m:val="p"/>
                    </m:rPr>
                    <w:rPr>
                      <w:rFonts w:ascii="Cambria Math" w:eastAsiaTheme="minorEastAsia" w:hAnsi="Cambria Math"/>
                      <w:sz w:val="24"/>
                      <w:szCs w:val="24"/>
                    </w:rPr>
                    <m:t>1</m:t>
                  </m:r>
                </m:sub>
              </m:sSub>
              <m:r>
                <m:rPr>
                  <m:sty m:val="p"/>
                </m:rPr>
                <w:rPr>
                  <w:rFonts w:ascii="Cambria Math" w:eastAsiaTheme="minorEastAsia" w:hAnsi="Cambria Math"/>
                  <w:sz w:val="24"/>
                  <w:szCs w:val="24"/>
                </w:rPr>
                <m:t xml:space="preserve"> </m:t>
              </m:r>
              <m:r>
                <w:rPr>
                  <w:rFonts w:ascii="Cambria Math" w:eastAsiaTheme="minorEastAsia" w:hAnsi="Cambria Math"/>
                  <w:sz w:val="24"/>
                  <w:szCs w:val="24"/>
                </w:rPr>
                <m:t>dS</m:t>
              </m:r>
            </m:e>
          </m:nary>
        </m:oMath>
      </m:oMathPara>
    </w:p>
    <w:p w14:paraId="609EAD34" w14:textId="1E4230C0" w:rsidR="005800A4" w:rsidRDefault="001E3E4B" w:rsidP="001E3E4B">
      <w:pPr>
        <w:pStyle w:val="BodyText"/>
      </w:pPr>
      <w:r>
        <w:t>Note that the reaction yields the Friis transmission equation when applied to two antennas in mutual far</w:t>
      </w:r>
      <w:r w:rsidR="00D043AC">
        <w:t>-</w:t>
      </w:r>
      <w:r>
        <w:t xml:space="preserve">field regions [24, 25], and in this case the coupling loss depends only on the antenna gain in the direction towards the other antenna. In the nearfield we note that the coupling loss depends on the field strength </w:t>
      </w:r>
      <w:r w:rsidR="00E41C57">
        <w:t>(</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00E41C57">
        <w:t xml:space="preserve">) </w:t>
      </w:r>
      <w:r>
        <w:t xml:space="preserve">of antenna 1 and its distribution over the area where the currents of antenna 2 </w:t>
      </w:r>
      <w:r w:rsidR="00586A34">
        <w:t>(</w:t>
      </w:r>
      <m:oMath>
        <m:sSub>
          <m:sSubPr>
            <m:ctrlPr>
              <w:rPr>
                <w:rFonts w:ascii="Cambria Math" w:hAnsi="Cambria Math"/>
                <w:i/>
              </w:rPr>
            </m:ctrlPr>
          </m:sSubPr>
          <m:e>
            <m:r>
              <w:rPr>
                <w:rFonts w:ascii="Cambria Math" w:hAnsi="Cambria Math"/>
              </w:rPr>
              <m:t>J</m:t>
            </m:r>
          </m:e>
          <m:sub>
            <m:r>
              <w:rPr>
                <w:rFonts w:ascii="Cambria Math" w:hAnsi="Cambria Math"/>
              </w:rPr>
              <m:t>2</m:t>
            </m:r>
          </m:sub>
        </m:sSub>
      </m:oMath>
      <w:r w:rsidR="00586A34">
        <w:t xml:space="preserve">) </w:t>
      </w:r>
      <w:r>
        <w:t xml:space="preserve">is significant.  </w:t>
      </w:r>
    </w:p>
    <w:p w14:paraId="2756A77F" w14:textId="6A355A81" w:rsidR="0060757D" w:rsidRDefault="005800A4" w:rsidP="001E3E4B">
      <w:pPr>
        <w:pStyle w:val="BodyText"/>
      </w:pPr>
      <w:r w:rsidRPr="000E1F25">
        <w:rPr>
          <w:b/>
          <w:bCs/>
          <w:u w:val="single"/>
        </w:rPr>
        <w:t>Observation 5:</w:t>
      </w:r>
      <w:r>
        <w:t xml:space="preserve"> </w:t>
      </w:r>
      <w:r w:rsidR="0060757D" w:rsidRPr="0060757D">
        <w:t>The coupling loss depends on the electrical field strength</w:t>
      </w:r>
      <w:r w:rsidR="0060757D">
        <w:t>.</w:t>
      </w:r>
    </w:p>
    <w:p w14:paraId="58B63654" w14:textId="7E46454D" w:rsidR="0060757D" w:rsidRDefault="0060757D" w:rsidP="001E3E4B">
      <w:pPr>
        <w:pStyle w:val="BodyText"/>
      </w:pPr>
      <w:r w:rsidRPr="000E1F25">
        <w:rPr>
          <w:b/>
          <w:bCs/>
          <w:u w:val="single"/>
        </w:rPr>
        <w:t>Observation 6:</w:t>
      </w:r>
      <w:r>
        <w:t xml:space="preserve"> </w:t>
      </w:r>
      <w:r w:rsidRPr="0060757D">
        <w:t>The reaction integral formulation is identical to the Friis transmission formula in the far</w:t>
      </w:r>
      <w:r w:rsidR="00586A34">
        <w:t>-</w:t>
      </w:r>
      <w:r w:rsidRPr="0060757D">
        <w:t>field region.</w:t>
      </w:r>
    </w:p>
    <w:p w14:paraId="3470DB2C" w14:textId="2848BAB9" w:rsidR="0060757D" w:rsidRDefault="00124CED" w:rsidP="001E3E4B">
      <w:pPr>
        <w:pStyle w:val="BodyText"/>
      </w:pPr>
      <w:r w:rsidRPr="00124CED">
        <w:t xml:space="preserve">In the figure below the boresight-boresight coupling loss between two identical 9 </w:t>
      </w:r>
      <w:proofErr w:type="spellStart"/>
      <w:r w:rsidRPr="00124CED">
        <w:t>dBi</w:t>
      </w:r>
      <w:proofErr w:type="spellEnd"/>
      <w:r w:rsidRPr="00124CED">
        <w:t xml:space="preserve"> horn antennas are calculated, by using the Friis transmission formula, via the reaction integral, and by a full</w:t>
      </w:r>
      <w:r w:rsidR="00586A34">
        <w:t>-</w:t>
      </w:r>
      <w:r w:rsidRPr="00124CED">
        <w:t>wave simulation in CST.</w:t>
      </w:r>
    </w:p>
    <w:p w14:paraId="2FCE2FAC" w14:textId="1C53BDE8" w:rsidR="00124CED" w:rsidRDefault="006F0339" w:rsidP="001E3E4B">
      <w:pPr>
        <w:pStyle w:val="BodyText"/>
      </w:pPr>
      <w:r>
        <w:t>In Figure 2.2-1, the c</w:t>
      </w:r>
      <w:r w:rsidRPr="006F0339">
        <w:t xml:space="preserve">oupling loss between two 9 </w:t>
      </w:r>
      <w:proofErr w:type="spellStart"/>
      <w:r w:rsidRPr="006F0339">
        <w:t>dBi</w:t>
      </w:r>
      <w:proofErr w:type="spellEnd"/>
      <w:r w:rsidRPr="006F0339">
        <w:t xml:space="preserve"> gain horns with Fraunhofer far</w:t>
      </w:r>
      <w:r w:rsidR="00586A34">
        <w:t>-</w:t>
      </w:r>
      <w:r w:rsidRPr="006F0339">
        <w:t>field distance 44cm, calculated using Friss transmission formula and the reaction integral. The horn apertures are facing each other.</w:t>
      </w:r>
    </w:p>
    <w:p w14:paraId="6CE9BB9F" w14:textId="41F12AC1" w:rsidR="00124CED" w:rsidRDefault="00124CED" w:rsidP="007A7874">
      <w:pPr>
        <w:pStyle w:val="BodyText"/>
        <w:jc w:val="center"/>
      </w:pPr>
      <w:r>
        <w:rPr>
          <w:noProof/>
        </w:rPr>
        <w:lastRenderedPageBreak/>
        <w:drawing>
          <wp:inline distT="0" distB="0" distL="0" distR="0" wp14:anchorId="117ACE8C" wp14:editId="31973564">
            <wp:extent cx="4433463" cy="3133725"/>
            <wp:effectExtent l="0" t="0" r="5715" b="0"/>
            <wp:docPr id="601554093" name="Picture 1"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curve&#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37133" cy="3136319"/>
                    </a:xfrm>
                    <a:prstGeom prst="rect">
                      <a:avLst/>
                    </a:prstGeom>
                    <a:noFill/>
                    <a:ln>
                      <a:noFill/>
                    </a:ln>
                  </pic:spPr>
                </pic:pic>
              </a:graphicData>
            </a:graphic>
          </wp:inline>
        </w:drawing>
      </w:r>
    </w:p>
    <w:p w14:paraId="3EAA2EC6" w14:textId="69437401" w:rsidR="00124CED" w:rsidRDefault="00124CED" w:rsidP="000E1F25">
      <w:pPr>
        <w:keepLines/>
        <w:spacing w:after="240"/>
        <w:jc w:val="center"/>
        <w:outlineLvl w:val="0"/>
      </w:pPr>
      <w:r>
        <w:rPr>
          <w:rFonts w:ascii="Arial" w:hAnsi="Arial"/>
          <w:b/>
          <w:lang w:eastAsia="x-none"/>
        </w:rPr>
        <w:t>Figure 2</w:t>
      </w:r>
      <w:r w:rsidR="006D0518">
        <w:rPr>
          <w:rFonts w:ascii="Arial" w:hAnsi="Arial"/>
          <w:b/>
          <w:lang w:eastAsia="x-none"/>
        </w:rPr>
        <w:t>.2</w:t>
      </w:r>
      <w:r w:rsidRPr="009D1119">
        <w:rPr>
          <w:rFonts w:ascii="Arial" w:hAnsi="Arial"/>
          <w:b/>
          <w:lang w:eastAsia="x-none"/>
        </w:rPr>
        <w:t>-1:</w:t>
      </w:r>
      <w:r>
        <w:rPr>
          <w:rFonts w:ascii="Arial" w:hAnsi="Arial"/>
          <w:b/>
          <w:lang w:eastAsia="x-none"/>
        </w:rPr>
        <w:t xml:space="preserve"> </w:t>
      </w:r>
      <w:r w:rsidR="006F0339" w:rsidRPr="006F0339">
        <w:rPr>
          <w:rFonts w:ascii="Arial" w:hAnsi="Arial"/>
          <w:b/>
          <w:lang w:eastAsia="x-none"/>
        </w:rPr>
        <w:t>Coupling loss</w:t>
      </w:r>
    </w:p>
    <w:p w14:paraId="2F26C507" w14:textId="77777777" w:rsidR="00124CED" w:rsidRDefault="00124CED" w:rsidP="001E3E4B">
      <w:pPr>
        <w:pStyle w:val="BodyText"/>
      </w:pPr>
    </w:p>
    <w:p w14:paraId="31B9FCB7" w14:textId="548C2187" w:rsidR="006D0518" w:rsidRDefault="006D0518" w:rsidP="006D0518">
      <w:pPr>
        <w:pStyle w:val="BodyText"/>
        <w:numPr>
          <w:ilvl w:val="1"/>
          <w:numId w:val="5"/>
        </w:numPr>
        <w:ind w:hanging="720"/>
        <w:rPr>
          <w:rFonts w:ascii="Arial" w:hAnsi="Arial" w:cs="Arial"/>
          <w:sz w:val="28"/>
          <w:szCs w:val="28"/>
        </w:rPr>
      </w:pPr>
      <w:r>
        <w:rPr>
          <w:rFonts w:ascii="Arial" w:hAnsi="Arial" w:cs="Arial"/>
          <w:sz w:val="28"/>
          <w:szCs w:val="28"/>
        </w:rPr>
        <w:t>Verification by measurements</w:t>
      </w:r>
    </w:p>
    <w:p w14:paraId="2232A13A" w14:textId="1298656D" w:rsidR="009A267A" w:rsidRDefault="009A267A" w:rsidP="009A267A">
      <w:pPr>
        <w:pStyle w:val="BodyText"/>
      </w:pPr>
      <w:r>
        <w:t xml:space="preserve">In the previous section, array-array coupling loss in context of interaction of radiated fields and currents was discussed. This technique has been validated through measurements as follows: </w:t>
      </w:r>
    </w:p>
    <w:p w14:paraId="1401925F" w14:textId="4DD9AC12" w:rsidR="009A267A" w:rsidRDefault="009A267A" w:rsidP="009A267A">
      <w:pPr>
        <w:pStyle w:val="BodyText"/>
        <w:numPr>
          <w:ilvl w:val="0"/>
          <w:numId w:val="8"/>
        </w:numPr>
      </w:pPr>
      <w:r>
        <w:t>Two linear arrays of dipole antennas with length 1.2 m &amp; 0.8 m were measured for coupling loss in a side-by-side scenario with 20 cm separation as shown in Fig</w:t>
      </w:r>
      <w:r w:rsidR="006169A4">
        <w:t>ure</w:t>
      </w:r>
      <w:r>
        <w:t xml:space="preserve"> 2.</w:t>
      </w:r>
      <w:r w:rsidR="003A1D90">
        <w:t>4</w:t>
      </w:r>
      <w:r>
        <w:t xml:space="preserve">-1 </w:t>
      </w:r>
    </w:p>
    <w:p w14:paraId="52A1AF36" w14:textId="77777777" w:rsidR="009A267A" w:rsidRDefault="009A267A" w:rsidP="009A267A">
      <w:pPr>
        <w:pStyle w:val="BodyText"/>
        <w:numPr>
          <w:ilvl w:val="0"/>
          <w:numId w:val="8"/>
        </w:numPr>
      </w:pPr>
      <w:r>
        <w:t xml:space="preserve">Near-fields of both antennas were measured separately under free-space condition  </w:t>
      </w:r>
    </w:p>
    <w:p w14:paraId="469244FB" w14:textId="77777777" w:rsidR="009A267A" w:rsidRDefault="009A267A" w:rsidP="009A267A">
      <w:pPr>
        <w:pStyle w:val="BodyText"/>
        <w:numPr>
          <w:ilvl w:val="0"/>
          <w:numId w:val="8"/>
        </w:numPr>
      </w:pPr>
      <w:r>
        <w:t xml:space="preserve">The radiated fields were transformed into equivalent sources separately using inverse methods [26].  </w:t>
      </w:r>
    </w:p>
    <w:p w14:paraId="4DA5C0D0" w14:textId="12DD1599" w:rsidR="009A267A" w:rsidRDefault="009A267A" w:rsidP="007A7874">
      <w:pPr>
        <w:pStyle w:val="BodyText"/>
        <w:numPr>
          <w:ilvl w:val="0"/>
          <w:numId w:val="8"/>
        </w:numPr>
      </w:pPr>
      <w:r>
        <w:t xml:space="preserve">Coupling loss was calculated in post processing from interaction of the equivalent sources &amp; compared with reference. </w:t>
      </w:r>
    </w:p>
    <w:p w14:paraId="30A4A7FA" w14:textId="2ED1172F" w:rsidR="009A267A" w:rsidRDefault="009A267A" w:rsidP="009A267A">
      <w:pPr>
        <w:pStyle w:val="BodyText"/>
      </w:pPr>
      <w:r>
        <w:t xml:space="preserve">Antenna losses (conductive &amp; mismatch) were corrected for. </w:t>
      </w:r>
    </w:p>
    <w:p w14:paraId="0C01CDB6" w14:textId="7C6BA614" w:rsidR="009A267A" w:rsidRDefault="009A267A" w:rsidP="009A267A">
      <w:pPr>
        <w:pStyle w:val="BodyText"/>
      </w:pPr>
      <w:r>
        <w:t>As can be seen in Fig</w:t>
      </w:r>
      <w:r w:rsidR="006169A4">
        <w:t>ure</w:t>
      </w:r>
      <w:r>
        <w:t xml:space="preserve"> 2.</w:t>
      </w:r>
      <w:r w:rsidR="006169A4">
        <w:t>4</w:t>
      </w:r>
      <w:r>
        <w:t>-</w:t>
      </w:r>
      <w:r w:rsidR="00A661C8">
        <w:t>3</w:t>
      </w:r>
      <w:r>
        <w:t>. very good agreement is observed.</w:t>
      </w:r>
    </w:p>
    <w:p w14:paraId="7D7A0843" w14:textId="67D977BA" w:rsidR="003A1D90" w:rsidRDefault="003A1D90" w:rsidP="007A7874">
      <w:pPr>
        <w:pStyle w:val="BodyText"/>
        <w:jc w:val="center"/>
      </w:pPr>
      <w:r>
        <w:rPr>
          <w:noProof/>
        </w:rPr>
        <w:drawing>
          <wp:inline distT="0" distB="0" distL="0" distR="0" wp14:anchorId="311A0AE5" wp14:editId="7EA700DF">
            <wp:extent cx="5600700" cy="2724150"/>
            <wp:effectExtent l="0" t="0" r="0" b="0"/>
            <wp:docPr id="1434642598" name="Picture 2" descr="A group of metal boxes with white plastic li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group of metal boxes with white plastic lid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0700" cy="2724150"/>
                    </a:xfrm>
                    <a:prstGeom prst="rect">
                      <a:avLst/>
                    </a:prstGeom>
                    <a:noFill/>
                    <a:ln>
                      <a:noFill/>
                    </a:ln>
                  </pic:spPr>
                </pic:pic>
              </a:graphicData>
            </a:graphic>
          </wp:inline>
        </w:drawing>
      </w:r>
    </w:p>
    <w:p w14:paraId="0B39817A" w14:textId="0607E147" w:rsidR="009A267A" w:rsidRDefault="009A267A" w:rsidP="000E1F25">
      <w:pPr>
        <w:keepLines/>
        <w:spacing w:after="240"/>
        <w:jc w:val="center"/>
        <w:outlineLvl w:val="0"/>
      </w:pPr>
      <w:r>
        <w:rPr>
          <w:rFonts w:ascii="Arial" w:hAnsi="Arial"/>
          <w:b/>
          <w:lang w:eastAsia="x-none"/>
        </w:rPr>
        <w:t>Figure 2</w:t>
      </w:r>
      <w:r w:rsidR="003A1D90">
        <w:rPr>
          <w:rFonts w:ascii="Arial" w:hAnsi="Arial"/>
          <w:b/>
          <w:lang w:eastAsia="x-none"/>
        </w:rPr>
        <w:t>.4</w:t>
      </w:r>
      <w:r w:rsidRPr="009D1119">
        <w:rPr>
          <w:rFonts w:ascii="Arial" w:hAnsi="Arial"/>
          <w:b/>
          <w:lang w:eastAsia="x-none"/>
        </w:rPr>
        <w:t>-1:</w:t>
      </w:r>
      <w:r>
        <w:rPr>
          <w:rFonts w:ascii="Arial" w:hAnsi="Arial"/>
          <w:b/>
          <w:lang w:eastAsia="x-none"/>
        </w:rPr>
        <w:t xml:space="preserve"> </w:t>
      </w:r>
      <w:r w:rsidR="003A1D90" w:rsidRPr="003A1D90">
        <w:rPr>
          <w:rFonts w:ascii="Arial" w:hAnsi="Arial"/>
          <w:b/>
          <w:lang w:eastAsia="x-none"/>
        </w:rPr>
        <w:t>Coupling loss (reference) measurement of two passive antennas</w:t>
      </w:r>
    </w:p>
    <w:p w14:paraId="04696852" w14:textId="77777777" w:rsidR="0018428B" w:rsidRDefault="0018428B" w:rsidP="009A267A">
      <w:pPr>
        <w:pStyle w:val="BodyText"/>
      </w:pPr>
    </w:p>
    <w:p w14:paraId="1776D579" w14:textId="425ED372" w:rsidR="0018428B" w:rsidRDefault="0018428B" w:rsidP="007A7874">
      <w:pPr>
        <w:pStyle w:val="BodyText"/>
        <w:jc w:val="center"/>
      </w:pPr>
      <w:r>
        <w:rPr>
          <w:noProof/>
        </w:rPr>
        <w:drawing>
          <wp:inline distT="0" distB="0" distL="0" distR="0" wp14:anchorId="413A6047" wp14:editId="00EDEB0C">
            <wp:extent cx="5638800" cy="2647950"/>
            <wp:effectExtent l="0" t="0" r="0" b="0"/>
            <wp:docPr id="436093111" name="Picture 3" descr="A large warehouse with metal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large warehouse with metal beam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8800" cy="2647950"/>
                    </a:xfrm>
                    <a:prstGeom prst="rect">
                      <a:avLst/>
                    </a:prstGeom>
                    <a:noFill/>
                    <a:ln>
                      <a:noFill/>
                    </a:ln>
                  </pic:spPr>
                </pic:pic>
              </a:graphicData>
            </a:graphic>
          </wp:inline>
        </w:drawing>
      </w:r>
    </w:p>
    <w:p w14:paraId="301F40BD" w14:textId="2A45F5B8" w:rsidR="006169A4" w:rsidRDefault="006169A4" w:rsidP="006169A4">
      <w:pPr>
        <w:keepLines/>
        <w:spacing w:after="240"/>
        <w:jc w:val="center"/>
        <w:outlineLvl w:val="0"/>
        <w:rPr>
          <w:rFonts w:ascii="Arial" w:hAnsi="Arial"/>
          <w:b/>
          <w:lang w:eastAsia="x-none"/>
        </w:rPr>
      </w:pPr>
      <w:r>
        <w:rPr>
          <w:rFonts w:ascii="Arial" w:hAnsi="Arial"/>
          <w:b/>
          <w:lang w:eastAsia="x-none"/>
        </w:rPr>
        <w:t>Figure 2.4</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0018428B" w:rsidRPr="0018428B">
        <w:rPr>
          <w:rFonts w:ascii="Arial" w:hAnsi="Arial"/>
          <w:b/>
          <w:lang w:eastAsia="x-none"/>
        </w:rPr>
        <w:t>Antenna pattern measurement of aggressor/victim (spherical NF grid, no co-location arrangement in this case)</w:t>
      </w:r>
    </w:p>
    <w:p w14:paraId="50609775" w14:textId="6EF74385" w:rsidR="0018428B" w:rsidRDefault="00A661C8" w:rsidP="009A267A">
      <w:pPr>
        <w:pStyle w:val="BodyText"/>
      </w:pPr>
      <w:r>
        <w:t>In Figure 2.4-3, the c</w:t>
      </w:r>
      <w:r w:rsidRPr="00A661C8">
        <w:t>oupling loss of two antenna arrays separated by 20 cm is measured directly (red curve). Post-processed coupling loss (blue curve) is obtained by measuring the spherical NF of both antennas, inverse transformation of fields to equivalent sources and interaction of the equivalent sources.</w:t>
      </w:r>
    </w:p>
    <w:p w14:paraId="7F2B37D0" w14:textId="77777777" w:rsidR="0018428B" w:rsidRDefault="0018428B" w:rsidP="009A267A">
      <w:pPr>
        <w:pStyle w:val="BodyText"/>
      </w:pPr>
    </w:p>
    <w:p w14:paraId="6A846212" w14:textId="7D113B95" w:rsidR="0018428B" w:rsidRDefault="00A661C8" w:rsidP="007A7874">
      <w:pPr>
        <w:pStyle w:val="BodyText"/>
        <w:jc w:val="center"/>
      </w:pPr>
      <w:r>
        <w:rPr>
          <w:noProof/>
        </w:rPr>
        <w:drawing>
          <wp:inline distT="0" distB="0" distL="0" distR="0" wp14:anchorId="14E76FF3" wp14:editId="5D7C930C">
            <wp:extent cx="4962525" cy="2637887"/>
            <wp:effectExtent l="0" t="0" r="0" b="0"/>
            <wp:docPr id="201574407" name="Picture 4" descr="A graph showing a line of measur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showing a line of measurement&#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7230" cy="2640388"/>
                    </a:xfrm>
                    <a:prstGeom prst="rect">
                      <a:avLst/>
                    </a:prstGeom>
                    <a:noFill/>
                    <a:ln>
                      <a:noFill/>
                    </a:ln>
                  </pic:spPr>
                </pic:pic>
              </a:graphicData>
            </a:graphic>
          </wp:inline>
        </w:drawing>
      </w:r>
    </w:p>
    <w:p w14:paraId="471B6E1C" w14:textId="77777777" w:rsidR="0018428B" w:rsidRDefault="0018428B" w:rsidP="009A267A">
      <w:pPr>
        <w:pStyle w:val="BodyText"/>
      </w:pPr>
    </w:p>
    <w:p w14:paraId="380E380F" w14:textId="46A17D6B" w:rsidR="0018428B" w:rsidRDefault="0018428B" w:rsidP="000E1F25">
      <w:pPr>
        <w:keepLines/>
        <w:spacing w:after="240"/>
        <w:jc w:val="center"/>
        <w:outlineLvl w:val="0"/>
      </w:pPr>
      <w:r>
        <w:rPr>
          <w:rFonts w:ascii="Arial" w:hAnsi="Arial"/>
          <w:b/>
          <w:lang w:eastAsia="x-none"/>
        </w:rPr>
        <w:t>Figure 2.4</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Coupling loss</w:t>
      </w:r>
    </w:p>
    <w:p w14:paraId="6C81F87E" w14:textId="68100284" w:rsidR="0018428B" w:rsidRDefault="00A661C8" w:rsidP="009A267A">
      <w:pPr>
        <w:pStyle w:val="BodyText"/>
      </w:pPr>
      <w:r w:rsidRPr="000E1F25">
        <w:rPr>
          <w:b/>
          <w:bCs/>
          <w:u w:val="single"/>
        </w:rPr>
        <w:t>Observation 7:</w:t>
      </w:r>
      <w:r>
        <w:t xml:space="preserve"> </w:t>
      </w:r>
      <w:r w:rsidR="00B629DF" w:rsidRPr="00B629DF">
        <w:t xml:space="preserve">Field-current reaction provides a powerful tool to understand </w:t>
      </w:r>
      <w:r w:rsidR="0059718B">
        <w:t>and</w:t>
      </w:r>
      <w:r w:rsidR="00B629DF" w:rsidRPr="00B629DF">
        <w:t xml:space="preserve"> devise co-location test methods.</w:t>
      </w:r>
    </w:p>
    <w:p w14:paraId="56C0A142" w14:textId="77777777" w:rsidR="00E90322" w:rsidRDefault="00E90322" w:rsidP="001E3E4B">
      <w:pPr>
        <w:pStyle w:val="BodyText"/>
      </w:pPr>
    </w:p>
    <w:p w14:paraId="7FC1E553" w14:textId="77777777" w:rsidR="008E687B" w:rsidRDefault="008E687B" w:rsidP="0062745C">
      <w:pPr>
        <w:pStyle w:val="BodyText"/>
      </w:pPr>
    </w:p>
    <w:p w14:paraId="33F4C420" w14:textId="77777777" w:rsidR="008E687B" w:rsidRDefault="008E687B" w:rsidP="0062745C">
      <w:pPr>
        <w:pStyle w:val="BodyText"/>
      </w:pPr>
    </w:p>
    <w:p w14:paraId="32F70869" w14:textId="77777777" w:rsidR="008E687B" w:rsidRDefault="008E687B" w:rsidP="0062745C">
      <w:pPr>
        <w:pStyle w:val="BodyText"/>
      </w:pPr>
    </w:p>
    <w:p w14:paraId="7182D24D" w14:textId="77777777" w:rsidR="008E687B" w:rsidRDefault="008E687B" w:rsidP="0062745C">
      <w:pPr>
        <w:pStyle w:val="BodyText"/>
      </w:pPr>
    </w:p>
    <w:p w14:paraId="67D087E3" w14:textId="77777777" w:rsidR="008E687B" w:rsidRDefault="008E687B" w:rsidP="0062745C">
      <w:pPr>
        <w:pStyle w:val="BodyText"/>
      </w:pP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4971F4FC" w14:textId="7B8C1FDE" w:rsidR="008325A9" w:rsidRDefault="00482587" w:rsidP="003B61A8">
      <w:pPr>
        <w:pStyle w:val="BodyText"/>
      </w:pPr>
      <w:r>
        <w:t xml:space="preserve">Based on the information provided in this contribution we can conclude that there are two main </w:t>
      </w:r>
      <w:r w:rsidR="00C72462">
        <w:t>approaches to consider for how to continue the work to improve the co-location requirements:</w:t>
      </w:r>
    </w:p>
    <w:p w14:paraId="524EEC07" w14:textId="19BF4010" w:rsidR="00C72462" w:rsidRDefault="000A70C1" w:rsidP="000A70C1">
      <w:pPr>
        <w:pStyle w:val="BodyText"/>
        <w:numPr>
          <w:ilvl w:val="0"/>
          <w:numId w:val="9"/>
        </w:numPr>
      </w:pPr>
      <w:r>
        <w:t xml:space="preserve">Based on more relevant coupling loss assumptions </w:t>
      </w:r>
      <w:r w:rsidR="00F23EE1">
        <w:t>indi</w:t>
      </w:r>
      <w:r w:rsidR="004B7AD5">
        <w:t xml:space="preserve">cating larger isolation </w:t>
      </w:r>
      <w:r>
        <w:t>study impact on requirement levels</w:t>
      </w:r>
      <w:r w:rsidR="00F23EE1">
        <w:t xml:space="preserve"> using traditional parameters such as (EIRP, TRP, EIS)</w:t>
      </w:r>
      <w:r w:rsidR="004B7AD5">
        <w:t xml:space="preserve">. This would allow possibility to define co-location requirements based </w:t>
      </w:r>
      <w:r w:rsidR="00DA1A04">
        <w:t xml:space="preserve">without need for dedicated CLTA antennas. </w:t>
      </w:r>
    </w:p>
    <w:p w14:paraId="4A70A7C3" w14:textId="1459FE13" w:rsidR="008325A9" w:rsidRDefault="00DA1A04" w:rsidP="0059718B">
      <w:pPr>
        <w:pStyle w:val="BodyText"/>
        <w:numPr>
          <w:ilvl w:val="0"/>
          <w:numId w:val="9"/>
        </w:numPr>
      </w:pPr>
      <w:r>
        <w:t xml:space="preserve">Further study near-field </w:t>
      </w:r>
      <w:r w:rsidR="00B86926">
        <w:t>behaviour</w:t>
      </w:r>
      <w:r>
        <w:t xml:space="preserve"> f</w:t>
      </w:r>
      <w:r w:rsidR="00193702">
        <w:t xml:space="preserve">or a co-location </w:t>
      </w:r>
      <w:r w:rsidR="00B86926">
        <w:t>situation</w:t>
      </w:r>
      <w:r w:rsidR="00193702">
        <w:t xml:space="preserve"> (e.g. Side-by-Side) and develop co-location requirements based on </w:t>
      </w:r>
      <w:r w:rsidR="00B86926">
        <w:t>field-strength or power density levels</w:t>
      </w:r>
      <w:r w:rsidR="00BC3DFD">
        <w:t xml:space="preserve"> avoiding the need for dedicated CLTA antennas.</w:t>
      </w:r>
    </w:p>
    <w:p w14:paraId="789156C1" w14:textId="2F181880" w:rsidR="00B629DF" w:rsidRDefault="001F5759" w:rsidP="003B61A8">
      <w:pPr>
        <w:pStyle w:val="BodyText"/>
      </w:pPr>
      <w:r>
        <w:t xml:space="preserve">In this contribution we have identified following </w:t>
      </w:r>
      <w:r w:rsidR="003A67A9">
        <w:t>observations:</w:t>
      </w:r>
    </w:p>
    <w:p w14:paraId="77722E9A" w14:textId="77777777" w:rsidR="00054EA5" w:rsidRDefault="00054EA5" w:rsidP="00054EA5">
      <w:pPr>
        <w:pStyle w:val="BodyText"/>
      </w:pPr>
      <w:r w:rsidRPr="000E1F25">
        <w:rPr>
          <w:b/>
          <w:bCs/>
          <w:u w:val="single"/>
        </w:rPr>
        <w:t>Observation 1:</w:t>
      </w:r>
      <w:r>
        <w:t xml:space="preserve"> </w:t>
      </w:r>
      <w:r w:rsidRPr="004706CD">
        <w:t>The CLTA is defined by physical size and far</w:t>
      </w:r>
      <w:r>
        <w:t>-</w:t>
      </w:r>
      <w:r w:rsidRPr="004706CD">
        <w:t>field parameters, whereas co-location is a nearfield problem</w:t>
      </w:r>
      <w:r>
        <w:t>.</w:t>
      </w:r>
    </w:p>
    <w:p w14:paraId="25656B81" w14:textId="77777777" w:rsidR="00054EA5" w:rsidRDefault="00054EA5" w:rsidP="00054EA5">
      <w:pPr>
        <w:pStyle w:val="BodyText"/>
      </w:pPr>
      <w:r w:rsidRPr="000E1F25">
        <w:rPr>
          <w:b/>
          <w:bCs/>
          <w:u w:val="single"/>
        </w:rPr>
        <w:t>Observation 2:</w:t>
      </w:r>
      <w:r>
        <w:t xml:space="preserve"> </w:t>
      </w:r>
      <w:r w:rsidRPr="00CF77B8">
        <w:t>The antenna efficiency is not specified for the CLTA which may lead to arbitrary test results.</w:t>
      </w:r>
    </w:p>
    <w:p w14:paraId="66D013D3" w14:textId="77777777" w:rsidR="00054EA5" w:rsidRDefault="00054EA5" w:rsidP="00054EA5">
      <w:pPr>
        <w:pStyle w:val="BodyText"/>
      </w:pPr>
      <w:r w:rsidRPr="000E1F25">
        <w:rPr>
          <w:b/>
          <w:bCs/>
          <w:u w:val="single"/>
        </w:rPr>
        <w:t>Observation 3:</w:t>
      </w:r>
      <w:r>
        <w:t xml:space="preserve"> </w:t>
      </w:r>
      <w:r w:rsidRPr="008074B6">
        <w:t>The spatial performance of the CLTA is not specified by considering adequate nearfield characteristics which may lead to arbitrary test results.</w:t>
      </w:r>
    </w:p>
    <w:p w14:paraId="06156270" w14:textId="4125F65E" w:rsidR="003A67A9" w:rsidRDefault="00593BBB" w:rsidP="003B61A8">
      <w:pPr>
        <w:pStyle w:val="BodyText"/>
      </w:pPr>
      <w:r w:rsidRPr="000E1F25">
        <w:rPr>
          <w:b/>
          <w:bCs/>
          <w:u w:val="single"/>
        </w:rPr>
        <w:t>Observation 4:</w:t>
      </w:r>
      <w:r>
        <w:t xml:space="preserve"> </w:t>
      </w:r>
      <w:r w:rsidRPr="003261A8">
        <w:t>The co-location requirements are not described in terms of a metric that can be related to the radiated electromagnetic nearfield.</w:t>
      </w:r>
    </w:p>
    <w:p w14:paraId="162D8775" w14:textId="77777777" w:rsidR="00C71884" w:rsidRDefault="00C71884" w:rsidP="00C71884">
      <w:pPr>
        <w:pStyle w:val="BodyText"/>
      </w:pPr>
      <w:r w:rsidRPr="000E1F25">
        <w:rPr>
          <w:b/>
          <w:bCs/>
          <w:u w:val="single"/>
        </w:rPr>
        <w:t>Observation 5:</w:t>
      </w:r>
      <w:r>
        <w:t xml:space="preserve"> </w:t>
      </w:r>
      <w:r w:rsidRPr="0060757D">
        <w:t>The coupling loss depends on the electrical field strength</w:t>
      </w:r>
      <w:r>
        <w:t>.</w:t>
      </w:r>
    </w:p>
    <w:p w14:paraId="6BB2573D" w14:textId="77777777" w:rsidR="00C71884" w:rsidRDefault="00C71884" w:rsidP="00C71884">
      <w:pPr>
        <w:pStyle w:val="BodyText"/>
      </w:pPr>
      <w:r w:rsidRPr="000E1F25">
        <w:rPr>
          <w:b/>
          <w:bCs/>
          <w:u w:val="single"/>
        </w:rPr>
        <w:t>Observation 6:</w:t>
      </w:r>
      <w:r>
        <w:t xml:space="preserve"> </w:t>
      </w:r>
      <w:r w:rsidRPr="0060757D">
        <w:t>The reaction integral formulation is identical to the Friis transmission formula in the far</w:t>
      </w:r>
      <w:r>
        <w:t>-</w:t>
      </w:r>
      <w:r w:rsidRPr="0060757D">
        <w:t>field region.</w:t>
      </w:r>
    </w:p>
    <w:p w14:paraId="7A8D087F" w14:textId="616E388A" w:rsidR="003A67A9" w:rsidRDefault="002572E3" w:rsidP="003B61A8">
      <w:pPr>
        <w:pStyle w:val="BodyText"/>
      </w:pPr>
      <w:r w:rsidRPr="000E1F25">
        <w:rPr>
          <w:b/>
          <w:bCs/>
          <w:u w:val="single"/>
        </w:rPr>
        <w:t>Observation 7:</w:t>
      </w:r>
      <w:r>
        <w:t xml:space="preserve"> </w:t>
      </w:r>
      <w:r w:rsidRPr="00B629DF">
        <w:t xml:space="preserve">Field-current reaction provides a powerful tool to understand </w:t>
      </w:r>
      <w:r w:rsidR="0059718B">
        <w:t>and</w:t>
      </w:r>
      <w:r w:rsidRPr="00B629DF">
        <w:t xml:space="preserve"> devise co-location test methods.</w:t>
      </w:r>
    </w:p>
    <w:p w14:paraId="7923DFFC" w14:textId="37AB6F70" w:rsidR="003A67A9" w:rsidRDefault="003A67A9" w:rsidP="003B61A8">
      <w:pPr>
        <w:pStyle w:val="BodyText"/>
      </w:pPr>
      <w:r>
        <w:t xml:space="preserve">Based on the observations we propose </w:t>
      </w:r>
      <w:r w:rsidR="008F1DD6">
        <w:t xml:space="preserve">the </w:t>
      </w:r>
      <w:r>
        <w:t>following:</w:t>
      </w:r>
    </w:p>
    <w:p w14:paraId="08DE17A1" w14:textId="25EA95E8" w:rsidR="003A67A9" w:rsidRDefault="007746EE" w:rsidP="003B61A8">
      <w:pPr>
        <w:pStyle w:val="BodyText"/>
      </w:pPr>
      <w:r w:rsidRPr="000E1F25">
        <w:rPr>
          <w:b/>
          <w:bCs/>
          <w:u w:val="single"/>
        </w:rPr>
        <w:t>Proposal 1:</w:t>
      </w:r>
      <w:r>
        <w:t xml:space="preserve"> </w:t>
      </w:r>
      <w:r w:rsidRPr="00837AE4">
        <w:t>Beam steering effects should be integrated into the co-location testing and potential test simplifications should be further studied.</w:t>
      </w:r>
    </w:p>
    <w:p w14:paraId="69201553" w14:textId="77777777" w:rsidR="00C71884" w:rsidRDefault="00C71884" w:rsidP="00C71884">
      <w:pPr>
        <w:pStyle w:val="BodyText"/>
      </w:pPr>
      <w:r w:rsidRPr="000E1F25">
        <w:rPr>
          <w:b/>
          <w:bCs/>
          <w:u w:val="single"/>
        </w:rPr>
        <w:t>Proposal 2:</w:t>
      </w:r>
      <w:r>
        <w:t xml:space="preserve"> </w:t>
      </w:r>
      <w:r w:rsidRPr="00A27C35">
        <w:t>The coupling loss seems to be higher than 30 dB in upper FR1 band. This should be further studied.</w:t>
      </w:r>
    </w:p>
    <w:p w14:paraId="763E439C" w14:textId="56AE361B" w:rsidR="00B629DF" w:rsidRDefault="00C71884" w:rsidP="003B61A8">
      <w:pPr>
        <w:pStyle w:val="BodyText"/>
      </w:pPr>
      <w:r w:rsidRPr="000E1F25">
        <w:rPr>
          <w:b/>
          <w:bCs/>
          <w:u w:val="single"/>
        </w:rPr>
        <w:t>Proposal 3:</w:t>
      </w:r>
      <w:r>
        <w:t xml:space="preserve"> </w:t>
      </w:r>
      <w:r w:rsidRPr="00A27C35">
        <w:t>Requirements should be derived from the new coupling loss figures in the upper FR1 band</w:t>
      </w:r>
      <w:r>
        <w:t>.</w:t>
      </w:r>
    </w:p>
    <w:p w14:paraId="0EE5A359" w14:textId="77777777" w:rsidR="00C71884" w:rsidRDefault="00C71884" w:rsidP="00C71884">
      <w:pPr>
        <w:pStyle w:val="BodyText"/>
      </w:pPr>
      <w:r w:rsidRPr="000E1F25">
        <w:rPr>
          <w:b/>
          <w:bCs/>
          <w:u w:val="single"/>
        </w:rPr>
        <w:t>Proposal 4:</w:t>
      </w:r>
      <w:r>
        <w:t xml:space="preserve"> The correct power reference planes should be defined and agreed </w:t>
      </w:r>
    </w:p>
    <w:p w14:paraId="1AB83F9D" w14:textId="77777777" w:rsidR="00C71884" w:rsidRDefault="00C71884" w:rsidP="00C71884">
      <w:pPr>
        <w:pStyle w:val="BodyText"/>
      </w:pPr>
      <w:r w:rsidRPr="000E1F25">
        <w:rPr>
          <w:b/>
          <w:bCs/>
          <w:u w:val="single"/>
        </w:rPr>
        <w:t>Proposal 5:</w:t>
      </w:r>
      <w:r>
        <w:t xml:space="preserve"> The AAS performance distribution should be analysed statistically and reflected in the requirement derivation. </w:t>
      </w:r>
    </w:p>
    <w:p w14:paraId="296D18F1" w14:textId="77777777" w:rsidR="00C71884" w:rsidRDefault="00C71884" w:rsidP="00C71884">
      <w:pPr>
        <w:pStyle w:val="BodyText"/>
      </w:pPr>
      <w:r w:rsidRPr="000E1F25">
        <w:rPr>
          <w:b/>
          <w:bCs/>
          <w:u w:val="single"/>
        </w:rPr>
        <w:t>Proposal 6:</w:t>
      </w:r>
      <w:r>
        <w:t xml:space="preserve"> A percentile level to use in the coupling loss CDF should be agreed upon. </w:t>
      </w:r>
    </w:p>
    <w:p w14:paraId="4491FD2F" w14:textId="77777777" w:rsidR="00C71884" w:rsidRDefault="00C71884" w:rsidP="00C71884">
      <w:pPr>
        <w:pStyle w:val="BodyText"/>
      </w:pPr>
      <w:r w:rsidRPr="000E1F25">
        <w:rPr>
          <w:b/>
          <w:bCs/>
          <w:u w:val="single"/>
        </w:rPr>
        <w:t>Proposal 7:</w:t>
      </w:r>
      <w:r>
        <w:t xml:space="preserve"> The use of beam steering should be further studied for requirement derivation and test definition.</w:t>
      </w:r>
    </w:p>
    <w:p w14:paraId="5B85D645" w14:textId="77777777" w:rsidR="00B629DF" w:rsidRDefault="00B629DF" w:rsidP="003B61A8">
      <w:pPr>
        <w:pStyle w:val="BodyText"/>
      </w:pPr>
    </w:p>
    <w:p w14:paraId="4D70E47E" w14:textId="77777777" w:rsidR="00B629DF" w:rsidRDefault="00B629DF" w:rsidP="003B61A8">
      <w:pPr>
        <w:pStyle w:val="BodyText"/>
      </w:pPr>
    </w:p>
    <w:p w14:paraId="7A63C43C" w14:textId="77777777" w:rsidR="00702E2B" w:rsidRDefault="00702E2B" w:rsidP="003B61A8">
      <w:pPr>
        <w:pStyle w:val="BodyText"/>
      </w:pPr>
    </w:p>
    <w:p w14:paraId="1B72A93E" w14:textId="77777777" w:rsidR="00702E2B" w:rsidRDefault="00702E2B" w:rsidP="003B61A8">
      <w:pPr>
        <w:pStyle w:val="BodyText"/>
      </w:pPr>
    </w:p>
    <w:p w14:paraId="7C5DF7A7" w14:textId="77777777" w:rsidR="00702E2B" w:rsidRDefault="00702E2B" w:rsidP="003B61A8">
      <w:pPr>
        <w:pStyle w:val="BodyText"/>
      </w:pPr>
    </w:p>
    <w:p w14:paraId="43487F5E" w14:textId="77777777" w:rsidR="00702E2B" w:rsidRDefault="00702E2B" w:rsidP="003B61A8">
      <w:pPr>
        <w:pStyle w:val="BodyText"/>
      </w:pPr>
    </w:p>
    <w:p w14:paraId="2676FCC6" w14:textId="77777777" w:rsidR="00702E2B" w:rsidRDefault="00702E2B" w:rsidP="003B61A8">
      <w:pPr>
        <w:pStyle w:val="BodyText"/>
      </w:pPr>
    </w:p>
    <w:p w14:paraId="0A68B084" w14:textId="77777777" w:rsidR="0059718B" w:rsidRDefault="0059718B" w:rsidP="003B61A8">
      <w:pPr>
        <w:pStyle w:val="BodyText"/>
      </w:pPr>
    </w:p>
    <w:p w14:paraId="6639A3C6" w14:textId="77777777" w:rsidR="00702E2B" w:rsidRDefault="00702E2B" w:rsidP="003B61A8">
      <w:pPr>
        <w:pStyle w:val="BodyText"/>
      </w:pPr>
    </w:p>
    <w:p w14:paraId="6F2F5F62" w14:textId="77777777" w:rsidR="00702E2B" w:rsidRDefault="00702E2B" w:rsidP="003B61A8">
      <w:pPr>
        <w:pStyle w:val="BodyText"/>
      </w:pPr>
    </w:p>
    <w:p w14:paraId="78CB7114" w14:textId="77777777" w:rsidR="00702E2B" w:rsidRDefault="00702E2B" w:rsidP="003B61A8">
      <w:pPr>
        <w:pStyle w:val="BodyText"/>
      </w:pPr>
    </w:p>
    <w:p w14:paraId="76E0597C" w14:textId="77777777" w:rsidR="00702E2B" w:rsidRDefault="00702E2B" w:rsidP="003B61A8">
      <w:pPr>
        <w:pStyle w:val="BodyText"/>
      </w:pPr>
    </w:p>
    <w:p w14:paraId="1A4722DC" w14:textId="77777777" w:rsidR="00B629DF" w:rsidRPr="007D610C" w:rsidRDefault="00B629DF" w:rsidP="003B61A8">
      <w:pPr>
        <w:pStyle w:val="BodyText"/>
      </w:pP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5A882809" w:rsidR="003B61A8" w:rsidRDefault="003B61A8" w:rsidP="003B61A8">
      <w:pPr>
        <w:ind w:left="709" w:hanging="709"/>
      </w:pPr>
      <w:r>
        <w:t>[1]</w:t>
      </w:r>
      <w:r>
        <w:tab/>
      </w:r>
      <w:r w:rsidR="0028776C">
        <w:t>R4</w:t>
      </w:r>
      <w:r w:rsidR="00E87375">
        <w:t>-</w:t>
      </w:r>
      <w:r w:rsidR="0028776C">
        <w:t xml:space="preserve">2415674, </w:t>
      </w:r>
      <w:r w:rsidR="00BF7D0C" w:rsidRPr="00BF7D0C">
        <w:t xml:space="preserve">“OTA test enhancements </w:t>
      </w:r>
      <w:r w:rsidR="00BF7D0C">
        <w:t>–</w:t>
      </w:r>
      <w:r w:rsidR="00BF7D0C" w:rsidRPr="00BF7D0C">
        <w:t xml:space="preserve"> CLTA</w:t>
      </w:r>
      <w:r w:rsidR="00BF7D0C">
        <w:t>”, Nokia</w:t>
      </w:r>
    </w:p>
    <w:p w14:paraId="4A4A3B05" w14:textId="48136AA1" w:rsidR="00B629DF" w:rsidRDefault="00BF7D0C" w:rsidP="003B61A8">
      <w:pPr>
        <w:ind w:left="709" w:hanging="709"/>
      </w:pPr>
      <w:r>
        <w:t>[2]</w:t>
      </w:r>
      <w:r>
        <w:tab/>
      </w:r>
      <w:r w:rsidR="002F6113">
        <w:t>R4</w:t>
      </w:r>
      <w:r w:rsidR="00B64AD3">
        <w:t>-</w:t>
      </w:r>
      <w:r w:rsidR="002F6113">
        <w:t>2415971, “</w:t>
      </w:r>
      <w:r w:rsidR="002F6113" w:rsidRPr="002F6113">
        <w:t>On the topic of aspects related to BS-to-BS co-location</w:t>
      </w:r>
      <w:r w:rsidR="002F6113">
        <w:t>”, Ericsson</w:t>
      </w:r>
    </w:p>
    <w:p w14:paraId="12B8CF97" w14:textId="6DBF7E2D" w:rsidR="002F6113" w:rsidRDefault="002F6113" w:rsidP="003B61A8">
      <w:pPr>
        <w:ind w:left="709" w:hanging="709"/>
      </w:pPr>
      <w:r>
        <w:t>[3]</w:t>
      </w:r>
      <w:r>
        <w:tab/>
      </w:r>
      <w:r w:rsidR="00B64AD3">
        <w:t>R4-2415972, “</w:t>
      </w:r>
      <w:r w:rsidR="00B64AD3" w:rsidRPr="00B64AD3">
        <w:t>On the topic of focus area for BS RF evolution</w:t>
      </w:r>
      <w:r w:rsidR="00B64AD3">
        <w:t>”, Ericsson</w:t>
      </w:r>
    </w:p>
    <w:p w14:paraId="595F22A7" w14:textId="197BC78B" w:rsidR="00B629DF" w:rsidRDefault="00B64AD3" w:rsidP="003B61A8">
      <w:pPr>
        <w:ind w:left="709" w:hanging="709"/>
      </w:pPr>
      <w:r>
        <w:t>[4]</w:t>
      </w:r>
      <w:r>
        <w:tab/>
      </w:r>
      <w:r w:rsidR="00FE37FD">
        <w:t>R4</w:t>
      </w:r>
      <w:r w:rsidR="000A4C8D">
        <w:t>-</w:t>
      </w:r>
      <w:r w:rsidR="00FE37FD">
        <w:t>2416238, “</w:t>
      </w:r>
      <w:r w:rsidR="001C0BDD" w:rsidRPr="001C0BDD">
        <w:t>Further discussion on OTA test enhancement</w:t>
      </w:r>
      <w:r w:rsidR="00FE37FD">
        <w:t xml:space="preserve">”, </w:t>
      </w:r>
      <w:r w:rsidR="001C0BDD">
        <w:t>ZTE</w:t>
      </w:r>
    </w:p>
    <w:p w14:paraId="09510251" w14:textId="5F2AE567" w:rsidR="004A7540" w:rsidRDefault="004A7540" w:rsidP="003B61A8">
      <w:pPr>
        <w:ind w:left="709" w:hanging="709"/>
      </w:pPr>
      <w:r>
        <w:t>[5]</w:t>
      </w:r>
      <w:r>
        <w:tab/>
      </w:r>
      <w:r w:rsidR="00AC0317" w:rsidRPr="00AC0317">
        <w:t>R4</w:t>
      </w:r>
      <w:r w:rsidR="00AC0317">
        <w:t>-</w:t>
      </w:r>
      <w:r w:rsidR="00AC0317" w:rsidRPr="00AC0317">
        <w:t>2416276</w:t>
      </w:r>
      <w:r w:rsidR="00AC0317">
        <w:t>, “</w:t>
      </w:r>
      <w:r w:rsidR="00AC0317" w:rsidRPr="00AC0317">
        <w:t>Discussion on CLRA/CLTA</w:t>
      </w:r>
      <w:r w:rsidR="00AC0317">
        <w:t>”, Huawei</w:t>
      </w:r>
    </w:p>
    <w:p w14:paraId="2C86E405" w14:textId="54F126DA" w:rsidR="00782857" w:rsidRDefault="00AC0317" w:rsidP="003B61A8">
      <w:pPr>
        <w:ind w:left="709" w:hanging="709"/>
      </w:pPr>
      <w:r>
        <w:t>[6]</w:t>
      </w:r>
      <w:r>
        <w:tab/>
      </w:r>
      <w:r w:rsidR="00FA51C0" w:rsidRPr="00FA51C0">
        <w:t>R4</w:t>
      </w:r>
      <w:r w:rsidR="00782857">
        <w:t>-</w:t>
      </w:r>
      <w:r w:rsidR="00FA51C0" w:rsidRPr="00FA51C0">
        <w:t>2416279</w:t>
      </w:r>
      <w:r w:rsidR="00782857">
        <w:t>, “</w:t>
      </w:r>
      <w:r w:rsidR="00782857" w:rsidRPr="00782857">
        <w:t>TX IMD test for high frequency band in FR1</w:t>
      </w:r>
      <w:r w:rsidR="00782857">
        <w:t>”, Huawei</w:t>
      </w:r>
    </w:p>
    <w:p w14:paraId="410FFED5" w14:textId="3E70C084" w:rsidR="00782857" w:rsidRDefault="00782857" w:rsidP="003B61A8">
      <w:pPr>
        <w:ind w:left="709" w:hanging="709"/>
      </w:pPr>
      <w:r>
        <w:t>[7]</w:t>
      </w:r>
      <w:r>
        <w:tab/>
      </w:r>
      <w:r w:rsidR="00496D3D">
        <w:t>R4-241</w:t>
      </w:r>
      <w:r w:rsidR="0031202B">
        <w:t>6517, “</w:t>
      </w:r>
      <w:r w:rsidR="0031202B" w:rsidRPr="0031202B">
        <w:t>Consideration of co-existence and co-location requirements optimisation</w:t>
      </w:r>
      <w:r w:rsidR="0031202B">
        <w:t>”, Huawei</w:t>
      </w:r>
    </w:p>
    <w:p w14:paraId="7C2852DF" w14:textId="0967B662" w:rsidR="0031202B" w:rsidRDefault="0031202B" w:rsidP="003B61A8">
      <w:pPr>
        <w:ind w:left="709" w:hanging="709"/>
      </w:pPr>
      <w:r>
        <w:t>[8]</w:t>
      </w:r>
      <w:r>
        <w:tab/>
      </w:r>
      <w:r w:rsidRPr="0031202B">
        <w:t>R4</w:t>
      </w:r>
      <w:r>
        <w:t>-</w:t>
      </w:r>
      <w:r w:rsidRPr="0031202B">
        <w:t>2416524</w:t>
      </w:r>
      <w:r>
        <w:t>, “</w:t>
      </w:r>
      <w:r w:rsidR="00BB02CC" w:rsidRPr="00BB02CC">
        <w:t>Topic summary for [112bis][303] NR_BS_RF_Part2_CLTA</w:t>
      </w:r>
      <w:r>
        <w:t xml:space="preserve">”, </w:t>
      </w:r>
      <w:r w:rsidR="00BB02CC" w:rsidRPr="00BB02CC">
        <w:t>Moderator (Huawei)</w:t>
      </w:r>
    </w:p>
    <w:p w14:paraId="761036A4" w14:textId="75FE712A" w:rsidR="00BB02CC" w:rsidRDefault="00BB02CC" w:rsidP="003B61A8">
      <w:pPr>
        <w:ind w:left="709" w:hanging="709"/>
      </w:pPr>
      <w:r>
        <w:t>[9]</w:t>
      </w:r>
      <w:r>
        <w:tab/>
      </w:r>
      <w:r w:rsidR="00F82CA9" w:rsidRPr="00F82CA9">
        <w:t>R4</w:t>
      </w:r>
      <w:r w:rsidR="00F82CA9">
        <w:t>-</w:t>
      </w:r>
      <w:r w:rsidR="00F82CA9" w:rsidRPr="00F82CA9">
        <w:t>2418018</w:t>
      </w:r>
      <w:r w:rsidR="00F82CA9">
        <w:t>, “</w:t>
      </w:r>
      <w:r w:rsidR="00684D01" w:rsidRPr="00684D01">
        <w:t>On OTA test enhancements</w:t>
      </w:r>
      <w:r w:rsidR="00F82CA9">
        <w:t xml:space="preserve">”, </w:t>
      </w:r>
      <w:r w:rsidR="00684D01">
        <w:t>Nokia</w:t>
      </w:r>
    </w:p>
    <w:p w14:paraId="4F8E694E" w14:textId="37459D42" w:rsidR="00684D01" w:rsidRDefault="00684D01" w:rsidP="003B61A8">
      <w:pPr>
        <w:ind w:left="709" w:hanging="709"/>
      </w:pPr>
      <w:r>
        <w:t>[10]</w:t>
      </w:r>
      <w:r>
        <w:tab/>
      </w:r>
      <w:r w:rsidR="001F23A4" w:rsidRPr="001F23A4">
        <w:t>R4</w:t>
      </w:r>
      <w:r w:rsidR="00086175">
        <w:t>-</w:t>
      </w:r>
      <w:r w:rsidR="001F23A4" w:rsidRPr="001F23A4">
        <w:t>2418398</w:t>
      </w:r>
      <w:r w:rsidR="001F23A4">
        <w:t>, “</w:t>
      </w:r>
      <w:r w:rsidR="001F23A4" w:rsidRPr="001F23A4">
        <w:t>Simulation of BS-to-BS isolation for edge-to-edge co-location scenario</w:t>
      </w:r>
      <w:r w:rsidR="001F23A4">
        <w:t>”, Ericsson</w:t>
      </w:r>
    </w:p>
    <w:p w14:paraId="6FD350E2" w14:textId="533D2C38" w:rsidR="001F23A4" w:rsidRDefault="001F23A4" w:rsidP="003B61A8">
      <w:pPr>
        <w:ind w:left="709" w:hanging="709"/>
      </w:pPr>
      <w:r>
        <w:t>[11]</w:t>
      </w:r>
      <w:r>
        <w:tab/>
      </w:r>
      <w:r w:rsidR="00DE4018" w:rsidRPr="00DE4018">
        <w:t>R4</w:t>
      </w:r>
      <w:r w:rsidR="00DE4018">
        <w:t>-</w:t>
      </w:r>
      <w:r w:rsidR="00DE4018" w:rsidRPr="00DE4018">
        <w:t>2419208</w:t>
      </w:r>
      <w:r w:rsidR="00DE4018">
        <w:t>, “</w:t>
      </w:r>
      <w:r w:rsidR="00615421">
        <w:t>Further discussion on OTA test enhancement</w:t>
      </w:r>
      <w:r w:rsidR="00DE4018">
        <w:t xml:space="preserve">”, </w:t>
      </w:r>
      <w:r w:rsidR="00615421">
        <w:t>ZTE</w:t>
      </w:r>
    </w:p>
    <w:p w14:paraId="26B0D1D5" w14:textId="1713316A" w:rsidR="00140E83" w:rsidRDefault="00140E83" w:rsidP="003B61A8">
      <w:pPr>
        <w:ind w:left="709" w:hanging="709"/>
      </w:pPr>
      <w:r>
        <w:t>[12]</w:t>
      </w:r>
      <w:r>
        <w:tab/>
        <w:t>R4-2500564, “</w:t>
      </w:r>
      <w:r w:rsidR="00085BD4" w:rsidRPr="00085BD4">
        <w:t>Topic summary for [114][303] NR_BS_RF_Part2_CLTA</w:t>
      </w:r>
      <w:r>
        <w:t xml:space="preserve">”, </w:t>
      </w:r>
      <w:r w:rsidR="00085BD4">
        <w:t>Moderator (Huawei)</w:t>
      </w:r>
    </w:p>
    <w:p w14:paraId="7E4DB420" w14:textId="0830F052" w:rsidR="000F0EF9" w:rsidRDefault="000F0EF9" w:rsidP="007F2A0D">
      <w:pPr>
        <w:ind w:left="709" w:hanging="709"/>
      </w:pPr>
      <w:r>
        <w:t>[13]</w:t>
      </w:r>
      <w:r>
        <w:tab/>
        <w:t>R4-2501323, “</w:t>
      </w:r>
      <w:r w:rsidRPr="000F0EF9">
        <w:t>On OTA test enhancements</w:t>
      </w:r>
      <w:r>
        <w:t>”, Nokia</w:t>
      </w:r>
    </w:p>
    <w:p w14:paraId="6990CA9F" w14:textId="27BE1EB3" w:rsidR="000F0EF9" w:rsidRDefault="000F0EF9" w:rsidP="007F2A0D">
      <w:pPr>
        <w:ind w:left="709" w:hanging="709"/>
      </w:pPr>
      <w:r>
        <w:t>[14]</w:t>
      </w:r>
      <w:r>
        <w:tab/>
      </w:r>
      <w:r w:rsidR="00A352FA" w:rsidRPr="00A352FA">
        <w:t>R4</w:t>
      </w:r>
      <w:r w:rsidR="00A352FA">
        <w:t>-</w:t>
      </w:r>
      <w:r w:rsidR="00A352FA" w:rsidRPr="00A352FA">
        <w:t>2502160</w:t>
      </w:r>
      <w:r w:rsidR="00A352FA">
        <w:t>, “</w:t>
      </w:r>
      <w:r w:rsidR="00EB7861" w:rsidRPr="00EB7861">
        <w:t>Simulation of BS-to-BS isolation for edge-to-edge co-location isolation at 7 GHz</w:t>
      </w:r>
      <w:r w:rsidR="00A352FA">
        <w:t>”, Ericsson</w:t>
      </w:r>
    </w:p>
    <w:p w14:paraId="55725CAE" w14:textId="0600123F" w:rsidR="00F361D3" w:rsidRDefault="00F361D3" w:rsidP="007F2A0D">
      <w:pPr>
        <w:ind w:left="709" w:hanging="709"/>
      </w:pPr>
      <w:r>
        <w:t>[15]</w:t>
      </w:r>
      <w:r>
        <w:tab/>
        <w:t>R4-2503726, “Rel-19 BS RF evolution overview”, Ericsson</w:t>
      </w:r>
    </w:p>
    <w:p w14:paraId="5DBF195F" w14:textId="13FC8064" w:rsidR="00F361D3" w:rsidRDefault="00F361D3" w:rsidP="007F2A0D">
      <w:pPr>
        <w:ind w:left="709" w:hanging="709"/>
      </w:pPr>
      <w:r>
        <w:t>[16]</w:t>
      </w:r>
      <w:r>
        <w:tab/>
      </w:r>
      <w:r w:rsidR="00AD04E2" w:rsidRPr="00AD04E2">
        <w:t>R4–2504013</w:t>
      </w:r>
      <w:r w:rsidR="00AD04E2">
        <w:t>, “</w:t>
      </w:r>
      <w:r w:rsidR="00AD04E2" w:rsidRPr="00AD04E2">
        <w:t xml:space="preserve">Simulation of BS-to-BS out-of-band isolation for edge-to-edge co-location isolation between </w:t>
      </w:r>
      <w:r w:rsidR="00AF7B47">
        <w:t>3</w:t>
      </w:r>
      <w:r w:rsidR="00AD04E2" w:rsidRPr="00AD04E2">
        <w:t>.5 and 7 GHz</w:t>
      </w:r>
      <w:r w:rsidR="00AD04E2">
        <w:t>”, Ericsson</w:t>
      </w:r>
    </w:p>
    <w:p w14:paraId="46B4B8A4" w14:textId="11B00A31" w:rsidR="00AD04E2" w:rsidRDefault="00AD04E2" w:rsidP="007F2A0D">
      <w:pPr>
        <w:ind w:left="709" w:hanging="709"/>
      </w:pPr>
      <w:r>
        <w:t>[17]</w:t>
      </w:r>
      <w:r>
        <w:tab/>
        <w:t>R4-2506307, “Overview of BS-to-BS coupling loss simulation results”, Ericsson</w:t>
      </w:r>
    </w:p>
    <w:p w14:paraId="021A36E2" w14:textId="22EE1D55" w:rsidR="00AD04E2" w:rsidRDefault="00AD04E2" w:rsidP="007F2A0D">
      <w:pPr>
        <w:ind w:left="709" w:hanging="709"/>
      </w:pPr>
      <w:r>
        <w:t>[18]</w:t>
      </w:r>
      <w:r>
        <w:tab/>
        <w:t>R4-2507445, “</w:t>
      </w:r>
      <w:r w:rsidRPr="00AD04E2">
        <w:t>Discussion on CLTA-related aspects</w:t>
      </w:r>
      <w:r>
        <w:t>”, Huawei</w:t>
      </w:r>
    </w:p>
    <w:p w14:paraId="15FBE071" w14:textId="44AE6F87" w:rsidR="00AF7B47" w:rsidRDefault="00AF7B47" w:rsidP="007F2A0D">
      <w:pPr>
        <w:ind w:left="709" w:hanging="709"/>
      </w:pPr>
      <w:r>
        <w:t>[19]</w:t>
      </w:r>
      <w:r>
        <w:tab/>
        <w:t>R4-2507511, “Further discussion on OTA test enhancement”, ZTE</w:t>
      </w:r>
    </w:p>
    <w:p w14:paraId="49ACCB32" w14:textId="0221848E" w:rsidR="00AF7B47" w:rsidRDefault="00AF7B47" w:rsidP="007F2A0D">
      <w:pPr>
        <w:ind w:left="709" w:hanging="709"/>
      </w:pPr>
      <w:r>
        <w:t>[20]</w:t>
      </w:r>
      <w:r>
        <w:tab/>
      </w:r>
      <w:r w:rsidR="00702E2B">
        <w:t>R4-2507633, “</w:t>
      </w:r>
      <w:r w:rsidR="00702E2B" w:rsidRPr="00702E2B">
        <w:t>On OTA test enhancements</w:t>
      </w:r>
      <w:r w:rsidR="00702E2B">
        <w:t>”, Nokia</w:t>
      </w:r>
    </w:p>
    <w:p w14:paraId="5E91569A" w14:textId="39AC3CA3" w:rsidR="00702E2B" w:rsidRDefault="00702E2B" w:rsidP="007F2A0D">
      <w:pPr>
        <w:ind w:left="709" w:hanging="709"/>
      </w:pPr>
      <w:r>
        <w:t>[21]</w:t>
      </w:r>
      <w:r>
        <w:tab/>
        <w:t>R4-2507835, “</w:t>
      </w:r>
      <w:r w:rsidR="00F6203F">
        <w:t>Topic summary for [115][303] NR_BS_RF_Part2_CLTA_SE</w:t>
      </w:r>
      <w:r>
        <w:t xml:space="preserve">”, </w:t>
      </w:r>
      <w:r w:rsidR="00F6203F" w:rsidRPr="00F6203F">
        <w:t>Moderator (Huawei)</w:t>
      </w:r>
    </w:p>
    <w:p w14:paraId="03FA3BB6" w14:textId="22341E1D" w:rsidR="00F6203F" w:rsidRDefault="00F6203F" w:rsidP="007F2A0D">
      <w:pPr>
        <w:ind w:left="709" w:hanging="709"/>
      </w:pPr>
      <w:r>
        <w:t>[22]</w:t>
      </w:r>
      <w:r>
        <w:tab/>
      </w:r>
      <w:r w:rsidR="007A2A0F" w:rsidRPr="007A2A0F">
        <w:t>V. H. Rumsey, “Reaction Concept in Electromagnetic Theory,” Physical Review, vol. 94, no. 6, pp. 1483–1491, 1954-06.</w:t>
      </w:r>
    </w:p>
    <w:p w14:paraId="51B66686" w14:textId="1A919007" w:rsidR="007A2A0F" w:rsidRDefault="007A2A0F" w:rsidP="007F2A0D">
      <w:pPr>
        <w:ind w:left="709" w:hanging="709"/>
      </w:pPr>
      <w:r>
        <w:t>[23]</w:t>
      </w:r>
      <w:r>
        <w:tab/>
      </w:r>
      <w:r w:rsidRPr="007A2A0F">
        <w:t>J. Richmond, “A reaction theorem and its application to antenna impedance calculations,” IRE Transactions on Antennas and Propagation, vol. 9, no. 6, pp. 515–520, 1961-11</w:t>
      </w:r>
    </w:p>
    <w:p w14:paraId="784E826C" w14:textId="77777777" w:rsidR="007A2A0F" w:rsidRDefault="007A2A0F" w:rsidP="007A2A0F">
      <w:pPr>
        <w:ind w:left="709" w:hanging="709"/>
      </w:pPr>
      <w:r>
        <w:t>[24]</w:t>
      </w:r>
      <w:r>
        <w:tab/>
        <w:t>A. </w:t>
      </w:r>
      <w:proofErr w:type="spellStart"/>
      <w:r>
        <w:t>Yaghjian</w:t>
      </w:r>
      <w:proofErr w:type="spellEnd"/>
      <w:r>
        <w:t xml:space="preserve">, “Efficient computation of antenna coupling and fields within the near-field region,” IEEE Transactions on Antennas and Propagation, vol. 30, no. 1, pp. 113–128, 1982-01 </w:t>
      </w:r>
    </w:p>
    <w:p w14:paraId="3D9E4736" w14:textId="77777777" w:rsidR="00227CE9" w:rsidRDefault="00227CE9" w:rsidP="00227CE9">
      <w:pPr>
        <w:ind w:left="709" w:hanging="709"/>
      </w:pPr>
      <w:r>
        <w:t>[25]</w:t>
      </w:r>
      <w:r>
        <w:tab/>
        <w:t xml:space="preserve">O. Neitz, R. A. M. </w:t>
      </w:r>
      <w:proofErr w:type="spellStart"/>
      <w:r>
        <w:t>Mauermayer</w:t>
      </w:r>
      <w:proofErr w:type="spellEnd"/>
      <w:r>
        <w:t xml:space="preserve">, Y. Weitsch, and T. F. Eibert, “A Propagating Plane-Wave-Based Near-Field Transmission Equation for Antenna Gain Determination from Irregular Measurement Samples,” IEEE Transactions on Antennas and Propagation, vol. 65, no. 8, pp. 4230–4238, 2017-08 </w:t>
      </w:r>
    </w:p>
    <w:p w14:paraId="329D938D" w14:textId="77777777" w:rsidR="00227CE9" w:rsidRDefault="00227CE9" w:rsidP="00227CE9">
      <w:pPr>
        <w:ind w:left="709" w:hanging="709"/>
      </w:pPr>
      <w:r>
        <w:t>[26]</w:t>
      </w:r>
      <w:r>
        <w:tab/>
        <w:t xml:space="preserve">T. Eibert, E. Kılıç, C. Lopez, R. A. M. </w:t>
      </w:r>
      <w:proofErr w:type="spellStart"/>
      <w:r>
        <w:t>Mauermayer</w:t>
      </w:r>
      <w:proofErr w:type="spellEnd"/>
      <w:r>
        <w:t xml:space="preserve">, O. Neitz, and G. </w:t>
      </w:r>
      <w:proofErr w:type="spellStart"/>
      <w:r>
        <w:t>Schnattinger</w:t>
      </w:r>
      <w:proofErr w:type="spellEnd"/>
      <w:r>
        <w:t xml:space="preserve">, “Electromagnetic Field Transformations for Measurements and Simulations,” in Progress </w:t>
      </w:r>
      <w:proofErr w:type="gramStart"/>
      <w:r>
        <w:t>In</w:t>
      </w:r>
      <w:proofErr w:type="gramEnd"/>
      <w:r>
        <w:t xml:space="preserve"> Electromagnetics Research, Vol. 151, 127–150, 2015, vol. 151, pp. 127–150. </w:t>
      </w:r>
    </w:p>
    <w:bookmarkEnd w:id="0"/>
    <w:p w14:paraId="7185828F" w14:textId="77777777" w:rsidR="005C7173" w:rsidRDefault="005C7173" w:rsidP="005C7173"/>
    <w:sectPr w:rsidR="005C7173">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96A034" w14:textId="77777777" w:rsidR="001123E3" w:rsidRDefault="001123E3">
      <w:r>
        <w:separator/>
      </w:r>
    </w:p>
  </w:endnote>
  <w:endnote w:type="continuationSeparator" w:id="0">
    <w:p w14:paraId="70607DB1" w14:textId="77777777" w:rsidR="001123E3" w:rsidRDefault="001123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E5F963" w14:textId="77777777" w:rsidR="001123E3" w:rsidRDefault="001123E3">
      <w:r>
        <w:separator/>
      </w:r>
    </w:p>
  </w:footnote>
  <w:footnote w:type="continuationSeparator" w:id="0">
    <w:p w14:paraId="58686440" w14:textId="77777777" w:rsidR="001123E3" w:rsidRDefault="001123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48B209C6"/>
    <w:multiLevelType w:val="multilevel"/>
    <w:tmpl w:val="1AEE64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3D15B51"/>
    <w:multiLevelType w:val="hybridMultilevel"/>
    <w:tmpl w:val="BF0846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77BA77E3"/>
    <w:multiLevelType w:val="hybridMultilevel"/>
    <w:tmpl w:val="0ACA43FA"/>
    <w:lvl w:ilvl="0" w:tplc="4CBE652E">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7D365898"/>
    <w:multiLevelType w:val="hybridMultilevel"/>
    <w:tmpl w:val="1DA6E1F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1"/>
  </w:num>
  <w:num w:numId="4" w16cid:durableId="458424953">
    <w:abstractNumId w:val="2"/>
  </w:num>
  <w:num w:numId="5" w16cid:durableId="922879894">
    <w:abstractNumId w:val="3"/>
  </w:num>
  <w:num w:numId="6" w16cid:durableId="1466200772">
    <w:abstractNumId w:val="4"/>
  </w:num>
  <w:num w:numId="7" w16cid:durableId="342705952">
    <w:abstractNumId w:val="5"/>
  </w:num>
  <w:num w:numId="8" w16cid:durableId="1406495127">
    <w:abstractNumId w:val="7"/>
  </w:num>
  <w:num w:numId="9" w16cid:durableId="138262973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594"/>
    <w:rsid w:val="00011C1E"/>
    <w:rsid w:val="00016CBB"/>
    <w:rsid w:val="00033397"/>
    <w:rsid w:val="00040095"/>
    <w:rsid w:val="00051834"/>
    <w:rsid w:val="00054A22"/>
    <w:rsid w:val="00054EA5"/>
    <w:rsid w:val="000560CC"/>
    <w:rsid w:val="000655A6"/>
    <w:rsid w:val="00070795"/>
    <w:rsid w:val="00080512"/>
    <w:rsid w:val="00085BD4"/>
    <w:rsid w:val="00086175"/>
    <w:rsid w:val="00091EA0"/>
    <w:rsid w:val="00092201"/>
    <w:rsid w:val="00094D53"/>
    <w:rsid w:val="00096009"/>
    <w:rsid w:val="00097811"/>
    <w:rsid w:val="000A4C8D"/>
    <w:rsid w:val="000A70C1"/>
    <w:rsid w:val="000B0CA1"/>
    <w:rsid w:val="000C7F62"/>
    <w:rsid w:val="000D3699"/>
    <w:rsid w:val="000D58AB"/>
    <w:rsid w:val="000D59CF"/>
    <w:rsid w:val="000D696C"/>
    <w:rsid w:val="000E1DEA"/>
    <w:rsid w:val="000E1F25"/>
    <w:rsid w:val="000E632F"/>
    <w:rsid w:val="000E7E2E"/>
    <w:rsid w:val="000F0805"/>
    <w:rsid w:val="000F0EF9"/>
    <w:rsid w:val="00102C39"/>
    <w:rsid w:val="00106F91"/>
    <w:rsid w:val="001123E3"/>
    <w:rsid w:val="00123275"/>
    <w:rsid w:val="00124CED"/>
    <w:rsid w:val="00126E2F"/>
    <w:rsid w:val="00130B10"/>
    <w:rsid w:val="00140E83"/>
    <w:rsid w:val="001428BA"/>
    <w:rsid w:val="00152EDD"/>
    <w:rsid w:val="00155B44"/>
    <w:rsid w:val="0016291D"/>
    <w:rsid w:val="001678A7"/>
    <w:rsid w:val="001768D8"/>
    <w:rsid w:val="00176C71"/>
    <w:rsid w:val="00177A6F"/>
    <w:rsid w:val="0018428B"/>
    <w:rsid w:val="001862BC"/>
    <w:rsid w:val="00191E6B"/>
    <w:rsid w:val="00193702"/>
    <w:rsid w:val="00196273"/>
    <w:rsid w:val="001B0597"/>
    <w:rsid w:val="001B3783"/>
    <w:rsid w:val="001C08E3"/>
    <w:rsid w:val="001C0BDD"/>
    <w:rsid w:val="001C1DF4"/>
    <w:rsid w:val="001D02C2"/>
    <w:rsid w:val="001E3E4B"/>
    <w:rsid w:val="001E62AA"/>
    <w:rsid w:val="001E7A16"/>
    <w:rsid w:val="001F168B"/>
    <w:rsid w:val="001F23A4"/>
    <w:rsid w:val="001F33FD"/>
    <w:rsid w:val="001F4A89"/>
    <w:rsid w:val="001F5759"/>
    <w:rsid w:val="001F6232"/>
    <w:rsid w:val="001F6868"/>
    <w:rsid w:val="00212F54"/>
    <w:rsid w:val="00214458"/>
    <w:rsid w:val="00227CE9"/>
    <w:rsid w:val="00231DE5"/>
    <w:rsid w:val="0023254C"/>
    <w:rsid w:val="002347A2"/>
    <w:rsid w:val="0024033F"/>
    <w:rsid w:val="00241D8F"/>
    <w:rsid w:val="00243290"/>
    <w:rsid w:val="00251ACF"/>
    <w:rsid w:val="002572E3"/>
    <w:rsid w:val="00273A6B"/>
    <w:rsid w:val="002770E8"/>
    <w:rsid w:val="0027787D"/>
    <w:rsid w:val="00277E67"/>
    <w:rsid w:val="00280CDB"/>
    <w:rsid w:val="0028776C"/>
    <w:rsid w:val="00297309"/>
    <w:rsid w:val="002A0978"/>
    <w:rsid w:val="002A682D"/>
    <w:rsid w:val="002B067D"/>
    <w:rsid w:val="002B0AA9"/>
    <w:rsid w:val="002B0B48"/>
    <w:rsid w:val="002E2D39"/>
    <w:rsid w:val="002F1E03"/>
    <w:rsid w:val="002F6113"/>
    <w:rsid w:val="002F7589"/>
    <w:rsid w:val="0031202B"/>
    <w:rsid w:val="003172DC"/>
    <w:rsid w:val="00321A21"/>
    <w:rsid w:val="003261A8"/>
    <w:rsid w:val="00332D64"/>
    <w:rsid w:val="003348D7"/>
    <w:rsid w:val="00343523"/>
    <w:rsid w:val="00350486"/>
    <w:rsid w:val="0035462D"/>
    <w:rsid w:val="00361E87"/>
    <w:rsid w:val="00367B5A"/>
    <w:rsid w:val="003743A7"/>
    <w:rsid w:val="003848C4"/>
    <w:rsid w:val="00393579"/>
    <w:rsid w:val="003A1D90"/>
    <w:rsid w:val="003A2576"/>
    <w:rsid w:val="003A67A9"/>
    <w:rsid w:val="003A72E1"/>
    <w:rsid w:val="003B1D4A"/>
    <w:rsid w:val="003B61A8"/>
    <w:rsid w:val="003C0B2F"/>
    <w:rsid w:val="003C28BF"/>
    <w:rsid w:val="003C3971"/>
    <w:rsid w:val="003E6D67"/>
    <w:rsid w:val="003F0B6B"/>
    <w:rsid w:val="003F17A2"/>
    <w:rsid w:val="003F1F15"/>
    <w:rsid w:val="003F299C"/>
    <w:rsid w:val="003F387A"/>
    <w:rsid w:val="003F7077"/>
    <w:rsid w:val="00423391"/>
    <w:rsid w:val="004239C7"/>
    <w:rsid w:val="00424BFB"/>
    <w:rsid w:val="00445137"/>
    <w:rsid w:val="00460E9A"/>
    <w:rsid w:val="004618B2"/>
    <w:rsid w:val="004706CD"/>
    <w:rsid w:val="00482587"/>
    <w:rsid w:val="0048399D"/>
    <w:rsid w:val="00496D3D"/>
    <w:rsid w:val="004970E0"/>
    <w:rsid w:val="004A4210"/>
    <w:rsid w:val="004A7540"/>
    <w:rsid w:val="004B372C"/>
    <w:rsid w:val="004B5078"/>
    <w:rsid w:val="004B7AD5"/>
    <w:rsid w:val="004C43A9"/>
    <w:rsid w:val="004C4F3F"/>
    <w:rsid w:val="004D3578"/>
    <w:rsid w:val="004E0C1D"/>
    <w:rsid w:val="004E213A"/>
    <w:rsid w:val="004E29CC"/>
    <w:rsid w:val="004E40F4"/>
    <w:rsid w:val="004E50B2"/>
    <w:rsid w:val="004F0AB1"/>
    <w:rsid w:val="004F4B1D"/>
    <w:rsid w:val="004F4D5A"/>
    <w:rsid w:val="00527742"/>
    <w:rsid w:val="00531DE7"/>
    <w:rsid w:val="00542EAC"/>
    <w:rsid w:val="00543E6C"/>
    <w:rsid w:val="00562810"/>
    <w:rsid w:val="00562CB7"/>
    <w:rsid w:val="00564348"/>
    <w:rsid w:val="00565087"/>
    <w:rsid w:val="00567D27"/>
    <w:rsid w:val="0057246B"/>
    <w:rsid w:val="005772F3"/>
    <w:rsid w:val="005800A4"/>
    <w:rsid w:val="0058284F"/>
    <w:rsid w:val="00586A34"/>
    <w:rsid w:val="00592A9D"/>
    <w:rsid w:val="00593BBB"/>
    <w:rsid w:val="00594E26"/>
    <w:rsid w:val="0059718B"/>
    <w:rsid w:val="00597C9B"/>
    <w:rsid w:val="005B0A86"/>
    <w:rsid w:val="005B0AD0"/>
    <w:rsid w:val="005B3C08"/>
    <w:rsid w:val="005B3C73"/>
    <w:rsid w:val="005B4A0A"/>
    <w:rsid w:val="005C2897"/>
    <w:rsid w:val="005C29B7"/>
    <w:rsid w:val="005C7173"/>
    <w:rsid w:val="005D2E01"/>
    <w:rsid w:val="005D3EE8"/>
    <w:rsid w:val="005E4890"/>
    <w:rsid w:val="005F31E0"/>
    <w:rsid w:val="005F6E2A"/>
    <w:rsid w:val="00601A10"/>
    <w:rsid w:val="0060757D"/>
    <w:rsid w:val="00612061"/>
    <w:rsid w:val="00614FDF"/>
    <w:rsid w:val="00615421"/>
    <w:rsid w:val="006169A4"/>
    <w:rsid w:val="00625621"/>
    <w:rsid w:val="0062745C"/>
    <w:rsid w:val="006437A9"/>
    <w:rsid w:val="00647309"/>
    <w:rsid w:val="00652641"/>
    <w:rsid w:val="006563CD"/>
    <w:rsid w:val="006639DB"/>
    <w:rsid w:val="00674E7D"/>
    <w:rsid w:val="00684D01"/>
    <w:rsid w:val="00696A28"/>
    <w:rsid w:val="006A3C39"/>
    <w:rsid w:val="006C00FA"/>
    <w:rsid w:val="006C791A"/>
    <w:rsid w:val="006D0518"/>
    <w:rsid w:val="006D1100"/>
    <w:rsid w:val="006D4FF2"/>
    <w:rsid w:val="006D60B5"/>
    <w:rsid w:val="006E0184"/>
    <w:rsid w:val="006E5C86"/>
    <w:rsid w:val="006F0339"/>
    <w:rsid w:val="006F3271"/>
    <w:rsid w:val="00702E2B"/>
    <w:rsid w:val="00705B99"/>
    <w:rsid w:val="00712421"/>
    <w:rsid w:val="007148E4"/>
    <w:rsid w:val="00714AEA"/>
    <w:rsid w:val="007170B2"/>
    <w:rsid w:val="00734A5B"/>
    <w:rsid w:val="007353F4"/>
    <w:rsid w:val="00744E76"/>
    <w:rsid w:val="00756FB7"/>
    <w:rsid w:val="007577CB"/>
    <w:rsid w:val="00763249"/>
    <w:rsid w:val="00771315"/>
    <w:rsid w:val="007746EE"/>
    <w:rsid w:val="007817BC"/>
    <w:rsid w:val="00781F0F"/>
    <w:rsid w:val="00782857"/>
    <w:rsid w:val="007A008C"/>
    <w:rsid w:val="007A0F21"/>
    <w:rsid w:val="007A2A0F"/>
    <w:rsid w:val="007A2E78"/>
    <w:rsid w:val="007A7874"/>
    <w:rsid w:val="007B4A73"/>
    <w:rsid w:val="007B6960"/>
    <w:rsid w:val="007C4C45"/>
    <w:rsid w:val="007D01A4"/>
    <w:rsid w:val="007D0379"/>
    <w:rsid w:val="007D51F3"/>
    <w:rsid w:val="007E129B"/>
    <w:rsid w:val="007F2A0D"/>
    <w:rsid w:val="007F52D4"/>
    <w:rsid w:val="008028A4"/>
    <w:rsid w:val="00805820"/>
    <w:rsid w:val="008074B6"/>
    <w:rsid w:val="00813491"/>
    <w:rsid w:val="008169BA"/>
    <w:rsid w:val="00826F97"/>
    <w:rsid w:val="008325A9"/>
    <w:rsid w:val="00837AE4"/>
    <w:rsid w:val="00843454"/>
    <w:rsid w:val="00845CD0"/>
    <w:rsid w:val="00857E16"/>
    <w:rsid w:val="00857FDD"/>
    <w:rsid w:val="00872E34"/>
    <w:rsid w:val="008768CA"/>
    <w:rsid w:val="008774BC"/>
    <w:rsid w:val="00881EAD"/>
    <w:rsid w:val="00883C80"/>
    <w:rsid w:val="008877E6"/>
    <w:rsid w:val="008947E2"/>
    <w:rsid w:val="008A1955"/>
    <w:rsid w:val="008A3F5A"/>
    <w:rsid w:val="008A656E"/>
    <w:rsid w:val="008A7C7A"/>
    <w:rsid w:val="008B735F"/>
    <w:rsid w:val="008C0085"/>
    <w:rsid w:val="008C0DA0"/>
    <w:rsid w:val="008C2529"/>
    <w:rsid w:val="008C307C"/>
    <w:rsid w:val="008D0A45"/>
    <w:rsid w:val="008D5ED2"/>
    <w:rsid w:val="008E1496"/>
    <w:rsid w:val="008E687B"/>
    <w:rsid w:val="008F1DD6"/>
    <w:rsid w:val="008F3566"/>
    <w:rsid w:val="008F6912"/>
    <w:rsid w:val="0090271F"/>
    <w:rsid w:val="00902E23"/>
    <w:rsid w:val="0090598A"/>
    <w:rsid w:val="00907978"/>
    <w:rsid w:val="00912648"/>
    <w:rsid w:val="0091348E"/>
    <w:rsid w:val="00917CCB"/>
    <w:rsid w:val="009228DF"/>
    <w:rsid w:val="0092774C"/>
    <w:rsid w:val="00937B72"/>
    <w:rsid w:val="00942EC2"/>
    <w:rsid w:val="00944C13"/>
    <w:rsid w:val="009537FB"/>
    <w:rsid w:val="00974355"/>
    <w:rsid w:val="00980B13"/>
    <w:rsid w:val="00981A5E"/>
    <w:rsid w:val="00982050"/>
    <w:rsid w:val="009A0A2A"/>
    <w:rsid w:val="009A267A"/>
    <w:rsid w:val="009A2D2D"/>
    <w:rsid w:val="009A5EB8"/>
    <w:rsid w:val="009B13F6"/>
    <w:rsid w:val="009B5100"/>
    <w:rsid w:val="009C0BBE"/>
    <w:rsid w:val="009E03AD"/>
    <w:rsid w:val="009F2FCA"/>
    <w:rsid w:val="009F37B7"/>
    <w:rsid w:val="00A0430A"/>
    <w:rsid w:val="00A07D9F"/>
    <w:rsid w:val="00A10F02"/>
    <w:rsid w:val="00A164B4"/>
    <w:rsid w:val="00A22570"/>
    <w:rsid w:val="00A27C35"/>
    <w:rsid w:val="00A352FA"/>
    <w:rsid w:val="00A53724"/>
    <w:rsid w:val="00A6396C"/>
    <w:rsid w:val="00A6421D"/>
    <w:rsid w:val="00A661C8"/>
    <w:rsid w:val="00A81D3C"/>
    <w:rsid w:val="00A82346"/>
    <w:rsid w:val="00AA3116"/>
    <w:rsid w:val="00AB0B6C"/>
    <w:rsid w:val="00AB1B7C"/>
    <w:rsid w:val="00AC0317"/>
    <w:rsid w:val="00AC17A1"/>
    <w:rsid w:val="00AD04E2"/>
    <w:rsid w:val="00AD377D"/>
    <w:rsid w:val="00AD48B7"/>
    <w:rsid w:val="00AF09C5"/>
    <w:rsid w:val="00AF396B"/>
    <w:rsid w:val="00AF65BE"/>
    <w:rsid w:val="00AF7B47"/>
    <w:rsid w:val="00B01CAA"/>
    <w:rsid w:val="00B06CF4"/>
    <w:rsid w:val="00B1355D"/>
    <w:rsid w:val="00B14246"/>
    <w:rsid w:val="00B15449"/>
    <w:rsid w:val="00B2300F"/>
    <w:rsid w:val="00B476B7"/>
    <w:rsid w:val="00B57386"/>
    <w:rsid w:val="00B57A40"/>
    <w:rsid w:val="00B629DF"/>
    <w:rsid w:val="00B64AD3"/>
    <w:rsid w:val="00B67296"/>
    <w:rsid w:val="00B7524C"/>
    <w:rsid w:val="00B80A0A"/>
    <w:rsid w:val="00B81C39"/>
    <w:rsid w:val="00B86926"/>
    <w:rsid w:val="00B96C0C"/>
    <w:rsid w:val="00BB02CC"/>
    <w:rsid w:val="00BC0F7D"/>
    <w:rsid w:val="00BC3DFD"/>
    <w:rsid w:val="00BD5C61"/>
    <w:rsid w:val="00BF1095"/>
    <w:rsid w:val="00BF1C81"/>
    <w:rsid w:val="00BF624E"/>
    <w:rsid w:val="00BF7D0C"/>
    <w:rsid w:val="00C174E3"/>
    <w:rsid w:val="00C17A60"/>
    <w:rsid w:val="00C316CA"/>
    <w:rsid w:val="00C33079"/>
    <w:rsid w:val="00C371B3"/>
    <w:rsid w:val="00C42538"/>
    <w:rsid w:val="00C45231"/>
    <w:rsid w:val="00C6035E"/>
    <w:rsid w:val="00C628DE"/>
    <w:rsid w:val="00C71884"/>
    <w:rsid w:val="00C72462"/>
    <w:rsid w:val="00C72833"/>
    <w:rsid w:val="00C745B2"/>
    <w:rsid w:val="00C91B3C"/>
    <w:rsid w:val="00C92C8B"/>
    <w:rsid w:val="00C93F40"/>
    <w:rsid w:val="00CA3B1D"/>
    <w:rsid w:val="00CA3D0C"/>
    <w:rsid w:val="00CA3D41"/>
    <w:rsid w:val="00CA47BF"/>
    <w:rsid w:val="00CA5726"/>
    <w:rsid w:val="00CB380A"/>
    <w:rsid w:val="00CB7105"/>
    <w:rsid w:val="00CC3F7F"/>
    <w:rsid w:val="00CD110C"/>
    <w:rsid w:val="00CD2E52"/>
    <w:rsid w:val="00CD2FEB"/>
    <w:rsid w:val="00CD3A9F"/>
    <w:rsid w:val="00CD7B97"/>
    <w:rsid w:val="00CE4DE3"/>
    <w:rsid w:val="00CE5AE6"/>
    <w:rsid w:val="00CF6E46"/>
    <w:rsid w:val="00CF77B8"/>
    <w:rsid w:val="00D043AC"/>
    <w:rsid w:val="00D11B3A"/>
    <w:rsid w:val="00D12A83"/>
    <w:rsid w:val="00D15384"/>
    <w:rsid w:val="00D209A0"/>
    <w:rsid w:val="00D24351"/>
    <w:rsid w:val="00D2544C"/>
    <w:rsid w:val="00D3471C"/>
    <w:rsid w:val="00D4682F"/>
    <w:rsid w:val="00D5244C"/>
    <w:rsid w:val="00D56072"/>
    <w:rsid w:val="00D56778"/>
    <w:rsid w:val="00D6450C"/>
    <w:rsid w:val="00D65EF6"/>
    <w:rsid w:val="00D738D6"/>
    <w:rsid w:val="00D74F6F"/>
    <w:rsid w:val="00D755EB"/>
    <w:rsid w:val="00D81A3E"/>
    <w:rsid w:val="00D878CB"/>
    <w:rsid w:val="00D87E00"/>
    <w:rsid w:val="00D9134D"/>
    <w:rsid w:val="00D9546E"/>
    <w:rsid w:val="00D96451"/>
    <w:rsid w:val="00DA1A04"/>
    <w:rsid w:val="00DA2DBA"/>
    <w:rsid w:val="00DA7A03"/>
    <w:rsid w:val="00DB1818"/>
    <w:rsid w:val="00DB79C1"/>
    <w:rsid w:val="00DC309B"/>
    <w:rsid w:val="00DC4DA2"/>
    <w:rsid w:val="00DE4018"/>
    <w:rsid w:val="00DF2B1F"/>
    <w:rsid w:val="00DF4AD9"/>
    <w:rsid w:val="00DF4F6E"/>
    <w:rsid w:val="00DF62CD"/>
    <w:rsid w:val="00E01242"/>
    <w:rsid w:val="00E13370"/>
    <w:rsid w:val="00E20B05"/>
    <w:rsid w:val="00E2369D"/>
    <w:rsid w:val="00E25BCE"/>
    <w:rsid w:val="00E35C92"/>
    <w:rsid w:val="00E3622A"/>
    <w:rsid w:val="00E41C4A"/>
    <w:rsid w:val="00E41C57"/>
    <w:rsid w:val="00E448DE"/>
    <w:rsid w:val="00E51AF8"/>
    <w:rsid w:val="00E67E32"/>
    <w:rsid w:val="00E72121"/>
    <w:rsid w:val="00E73B83"/>
    <w:rsid w:val="00E77645"/>
    <w:rsid w:val="00E80506"/>
    <w:rsid w:val="00E87375"/>
    <w:rsid w:val="00E90322"/>
    <w:rsid w:val="00E95F22"/>
    <w:rsid w:val="00EA7C61"/>
    <w:rsid w:val="00EB5F01"/>
    <w:rsid w:val="00EB7861"/>
    <w:rsid w:val="00EC4A25"/>
    <w:rsid w:val="00EF1994"/>
    <w:rsid w:val="00EF1FC5"/>
    <w:rsid w:val="00EF696B"/>
    <w:rsid w:val="00F025A2"/>
    <w:rsid w:val="00F025F7"/>
    <w:rsid w:val="00F03195"/>
    <w:rsid w:val="00F04712"/>
    <w:rsid w:val="00F13E6C"/>
    <w:rsid w:val="00F1421F"/>
    <w:rsid w:val="00F22EC7"/>
    <w:rsid w:val="00F23EE1"/>
    <w:rsid w:val="00F264EF"/>
    <w:rsid w:val="00F26CEE"/>
    <w:rsid w:val="00F2792B"/>
    <w:rsid w:val="00F27A4F"/>
    <w:rsid w:val="00F30FAA"/>
    <w:rsid w:val="00F361D3"/>
    <w:rsid w:val="00F4128A"/>
    <w:rsid w:val="00F45F10"/>
    <w:rsid w:val="00F4623A"/>
    <w:rsid w:val="00F465E8"/>
    <w:rsid w:val="00F500E5"/>
    <w:rsid w:val="00F6203F"/>
    <w:rsid w:val="00F623AE"/>
    <w:rsid w:val="00F653B8"/>
    <w:rsid w:val="00F71AF4"/>
    <w:rsid w:val="00F73192"/>
    <w:rsid w:val="00F82CA9"/>
    <w:rsid w:val="00F9489A"/>
    <w:rsid w:val="00FA1266"/>
    <w:rsid w:val="00FA215D"/>
    <w:rsid w:val="00FA51C0"/>
    <w:rsid w:val="00FA5947"/>
    <w:rsid w:val="00FA6925"/>
    <w:rsid w:val="00FB6B36"/>
    <w:rsid w:val="00FC1192"/>
    <w:rsid w:val="00FD74A7"/>
    <w:rsid w:val="00FE11B9"/>
    <w:rsid w:val="00FE181B"/>
    <w:rsid w:val="00FE37FD"/>
    <w:rsid w:val="00FE4D30"/>
    <w:rsid w:val="00FF1F52"/>
    <w:rsid w:val="00FF74A1"/>
  </w:rsids>
  <m:mathPr>
    <m:mathFont m:val="Cambria Math"/>
    <m:brkBin m:val="before"/>
    <m:brkBinSub m:val="--"/>
    <m:smallFrac m:val="0"/>
    <m:dispDef/>
    <m:lMargin m:val="0"/>
    <m:rMargin m:val="0"/>
    <m:defJc m:val="centerGroup"/>
    <m:wrapIndent m:val="1440"/>
    <m:intLim m:val="subSup"/>
    <m:naryLim m:val="undOvr"/>
  </m:mathPr>
  <w:themeFontLang w:val="sv-S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B9183615-F4C2-4CFA-B722-F5C8306817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uiPriority w:val="99"/>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5244C"/>
    <w:rPr>
      <w:rFonts w:ascii="Arial" w:hAnsi="Arial"/>
      <w:sz w:val="32"/>
      <w:lang w:val="en-GB" w:eastAsia="en-US"/>
    </w:rPr>
  </w:style>
  <w:style w:type="table" w:styleId="TableGrid">
    <w:name w:val="Table Grid"/>
    <w:aliases w:val="TableGrid"/>
    <w:basedOn w:val="TableNormal"/>
    <w:uiPriority w:val="39"/>
    <w:qFormat/>
    <w:rsid w:val="00D5244C"/>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31DE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594171383">
      <w:bodyDiv w:val="1"/>
      <w:marLeft w:val="0"/>
      <w:marRight w:val="0"/>
      <w:marTop w:val="0"/>
      <w:marBottom w:val="0"/>
      <w:divBdr>
        <w:top w:val="none" w:sz="0" w:space="0" w:color="auto"/>
        <w:left w:val="none" w:sz="0" w:space="0" w:color="auto"/>
        <w:bottom w:val="none" w:sz="0" w:space="0" w:color="auto"/>
        <w:right w:val="none" w:sz="0" w:space="0" w:color="auto"/>
      </w:divBdr>
    </w:div>
    <w:div w:id="1190799374">
      <w:bodyDiv w:val="1"/>
      <w:marLeft w:val="0"/>
      <w:marRight w:val="0"/>
      <w:marTop w:val="0"/>
      <w:marBottom w:val="0"/>
      <w:divBdr>
        <w:top w:val="none" w:sz="0" w:space="0" w:color="auto"/>
        <w:left w:val="none" w:sz="0" w:space="0" w:color="auto"/>
        <w:bottom w:val="none" w:sz="0" w:space="0" w:color="auto"/>
        <w:right w:val="none" w:sz="0" w:space="0" w:color="auto"/>
      </w:divBdr>
    </w:div>
    <w:div w:id="1294941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11A66687-AA1B-438E-BCF9-B367E7C0CD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3.xml><?xml version="1.0" encoding="utf-8"?>
<ds:datastoreItem xmlns:ds="http://schemas.openxmlformats.org/officeDocument/2006/customXml" ds:itemID="{399021F9-C5C0-478C-8E36-39CF6F2604EF}">
  <ds:schemaRefs>
    <ds:schemaRef ds:uri="http://schemas.microsoft.com/sharepoint/v3/contenttype/forms"/>
  </ds:schemaRefs>
</ds:datastoreItem>
</file>

<file path=customXml/itemProps4.xml><?xml version="1.0" encoding="utf-8"?>
<ds:datastoreItem xmlns:ds="http://schemas.openxmlformats.org/officeDocument/2006/customXml" ds:itemID="{72D2486F-487F-4D39-A0FC-C240EF3E78B0}">
  <ds:schemaRefs>
    <ds:schemaRef ds:uri="9b239327-9e80-40e4-b1b7-4394fed77a33"/>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http://purl.org/dc/terms/"/>
    <ds:schemaRef ds:uri="d8762117-8292-4133-b1c7-eab5c6487cfd"/>
    <ds:schemaRef ds:uri="2f282d3b-eb4a-4b09-b61f-b9593442e286"/>
    <ds:schemaRef ds:uri="http://purl.org/dc/elements/1.1/"/>
    <ds:schemaRef ds:uri="http://schemas.microsoft.com/sharepoint/v3"/>
    <ds:schemaRef ds:uri="http://schemas.microsoft.com/office/2006/metadata/properties"/>
    <ds:schemaRef ds:uri="http://www.w3.org/XML/1998/namespace"/>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3</TotalTime>
  <Pages>6</Pages>
  <Words>2016</Words>
  <Characters>11601</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9</cp:revision>
  <dcterms:created xsi:type="dcterms:W3CDTF">2025-08-15T06:39:00Z</dcterms:created>
  <dcterms:modified xsi:type="dcterms:W3CDTF">2025-08-15T14:18:00Z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