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0E9107B0" w:rsidR="00841BCD" w:rsidRPr="008B1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00ED7600" w:rsidRPr="008B136E">
        <w:rPr>
          <w:rFonts w:ascii="Arial" w:eastAsia="SimSun" w:hAnsi="Arial" w:cs="Times New Roman"/>
          <w:b/>
          <w:sz w:val="24"/>
          <w:szCs w:val="20"/>
        </w:rPr>
        <w:t>WG4 Meeting #</w:t>
      </w:r>
      <w:r w:rsidR="00DE7064" w:rsidRPr="008B136E">
        <w:rPr>
          <w:rFonts w:ascii="Arial" w:eastAsia="SimSun" w:hAnsi="Arial" w:cs="Times New Roman"/>
          <w:b/>
          <w:sz w:val="24"/>
          <w:szCs w:val="20"/>
        </w:rPr>
        <w:t>1</w:t>
      </w:r>
      <w:r w:rsidR="00381F95" w:rsidRPr="008B136E">
        <w:rPr>
          <w:rFonts w:ascii="Arial" w:eastAsia="SimSun" w:hAnsi="Arial" w:cs="Times New Roman"/>
          <w:b/>
          <w:sz w:val="24"/>
          <w:szCs w:val="20"/>
        </w:rPr>
        <w:t>1</w:t>
      </w:r>
      <w:r w:rsidR="001D0F13">
        <w:rPr>
          <w:rFonts w:ascii="Arial" w:eastAsia="SimSun" w:hAnsi="Arial" w:cs="Times New Roman"/>
          <w:b/>
          <w:sz w:val="24"/>
          <w:szCs w:val="20"/>
        </w:rPr>
        <w:t>6</w:t>
      </w:r>
      <w:r w:rsidRPr="008B136E">
        <w:rPr>
          <w:rFonts w:ascii="Arial" w:eastAsia="SimSun" w:hAnsi="Arial" w:cs="Times New Roman"/>
          <w:b/>
          <w:bCs/>
          <w:sz w:val="24"/>
          <w:szCs w:val="20"/>
        </w:rPr>
        <w:tab/>
      </w:r>
      <w:r w:rsidR="00527D77" w:rsidRPr="00527D77">
        <w:rPr>
          <w:rFonts w:ascii="Arial" w:eastAsia="SimSun" w:hAnsi="Arial" w:cs="Times New Roman"/>
          <w:b/>
          <w:bCs/>
          <w:sz w:val="24"/>
          <w:szCs w:val="20"/>
          <w:lang w:eastAsia="ja-JP"/>
        </w:rPr>
        <w:t>R4-2509160</w:t>
      </w:r>
    </w:p>
    <w:bookmarkEnd w:id="0"/>
    <w:bookmarkEnd w:id="1"/>
    <w:p w14:paraId="043000CC" w14:textId="5C83BE62" w:rsidR="00B26A8A" w:rsidRPr="008B136E" w:rsidRDefault="00D85B6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Bangalore, India</w:t>
      </w:r>
      <w:r w:rsidR="00B26A8A" w:rsidRPr="008B136E">
        <w:rPr>
          <w:rFonts w:ascii="Arial" w:eastAsia="SimSun" w:hAnsi="Arial" w:cs="Times New Roman"/>
          <w:b/>
          <w:sz w:val="24"/>
          <w:szCs w:val="20"/>
        </w:rPr>
        <w:t xml:space="preserve">, </w:t>
      </w:r>
      <w:r w:rsidR="009A7297">
        <w:rPr>
          <w:rFonts w:ascii="Arial" w:eastAsia="SimSun" w:hAnsi="Arial" w:cs="Times New Roman"/>
          <w:b/>
          <w:sz w:val="24"/>
          <w:szCs w:val="20"/>
        </w:rPr>
        <w:t xml:space="preserve">25-29 </w:t>
      </w:r>
      <w:proofErr w:type="gramStart"/>
      <w:r w:rsidR="009A7297">
        <w:rPr>
          <w:rFonts w:ascii="Arial" w:eastAsia="SimSun" w:hAnsi="Arial" w:cs="Times New Roman"/>
          <w:b/>
          <w:sz w:val="24"/>
          <w:szCs w:val="20"/>
        </w:rPr>
        <w:t>August</w:t>
      </w:r>
      <w:r w:rsidR="00B26A8A" w:rsidRPr="008B136E">
        <w:rPr>
          <w:rFonts w:ascii="Arial" w:eastAsia="SimSun" w:hAnsi="Arial" w:cs="Times New Roman"/>
          <w:b/>
          <w:sz w:val="24"/>
          <w:szCs w:val="20"/>
        </w:rPr>
        <w:t>,</w:t>
      </w:r>
      <w:proofErr w:type="gramEnd"/>
      <w:r w:rsidR="00B26A8A" w:rsidRPr="008B136E">
        <w:rPr>
          <w:rFonts w:ascii="Arial" w:eastAsia="SimSun" w:hAnsi="Arial" w:cs="Times New Roman"/>
          <w:b/>
          <w:sz w:val="24"/>
          <w:szCs w:val="20"/>
        </w:rPr>
        <w:t xml:space="preserve"> 2025</w:t>
      </w:r>
    </w:p>
    <w:p w14:paraId="409B431D" w14:textId="77777777" w:rsidR="00841BCD" w:rsidRPr="008B13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B136E">
        <w:rPr>
          <w:rFonts w:ascii="Arial" w:eastAsia="Calibri" w:hAnsi="Arial" w:cs="Arial"/>
          <w:b/>
          <w:bCs/>
          <w:sz w:val="24"/>
        </w:rPr>
        <w:t>Source:</w:t>
      </w:r>
      <w:r w:rsidRPr="008B136E">
        <w:rPr>
          <w:rFonts w:ascii="Arial" w:eastAsia="Calibri" w:hAnsi="Arial" w:cs="Arial"/>
          <w:b/>
          <w:bCs/>
          <w:sz w:val="24"/>
        </w:rPr>
        <w:tab/>
        <w:t>Nokia</w:t>
      </w:r>
    </w:p>
    <w:p w14:paraId="53F44741" w14:textId="42CF8FD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516DC" w:rsidRPr="00B516DC">
        <w:rPr>
          <w:rFonts w:ascii="Arial" w:eastAsia="Calibri" w:hAnsi="Arial" w:cs="Arial"/>
          <w:b/>
          <w:bCs/>
          <w:sz w:val="24"/>
        </w:rPr>
        <w:t xml:space="preserve">On </w:t>
      </w:r>
      <w:r w:rsidR="0025315B">
        <w:rPr>
          <w:rFonts w:ascii="Arial" w:eastAsia="Calibri" w:hAnsi="Arial" w:cs="Arial"/>
          <w:b/>
          <w:bCs/>
          <w:sz w:val="24"/>
        </w:rPr>
        <w:t>LTM event-triggered L1 reporting</w:t>
      </w:r>
    </w:p>
    <w:p w14:paraId="18643AED" w14:textId="7B19BD78" w:rsidR="004C6008"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C6008">
        <w:rPr>
          <w:rFonts w:ascii="Arial" w:eastAsia="MS Mincho" w:hAnsi="Arial" w:cs="Arial"/>
          <w:b/>
          <w:bCs/>
          <w:sz w:val="24"/>
          <w:szCs w:val="20"/>
        </w:rPr>
        <w:t>7.25.3.1</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4E34133" w14:textId="0FCF95BD" w:rsidR="00C838F3" w:rsidRPr="008F786B" w:rsidRDefault="00805A99" w:rsidP="005C23A4">
      <w:r>
        <w:t xml:space="preserve">In the last meeting, RAN4 agreed CRs for the </w:t>
      </w:r>
      <w:r w:rsidR="00A60B0E">
        <w:t xml:space="preserve">LTM </w:t>
      </w:r>
      <w:r>
        <w:t>event-triggered reporting delay requirements, including also event-triggered periodic reporting requirements. In this contribution we discuss the issues that remained open regarding event-triggered L1 reporting requirements.</w:t>
      </w:r>
    </w:p>
    <w:p w14:paraId="211F79F7" w14:textId="77777777" w:rsidR="00B66B7D" w:rsidRDefault="003B659E" w:rsidP="00B66B7D">
      <w:pPr>
        <w:pStyle w:val="RAN4H1"/>
      </w:pPr>
      <w:bookmarkStart w:id="4" w:name="_Toc116995842"/>
      <w:r w:rsidRPr="008F786B">
        <w:t>Discussion</w:t>
      </w:r>
      <w:bookmarkEnd w:id="4"/>
    </w:p>
    <w:p w14:paraId="46DF46D4" w14:textId="2661D0BE" w:rsidR="000D78BB" w:rsidRDefault="00FD2F7D" w:rsidP="00805A99">
      <w:pPr>
        <w:pStyle w:val="RAN4H2"/>
      </w:pPr>
      <w:r>
        <w:t>Requirement applicability</w:t>
      </w:r>
    </w:p>
    <w:p w14:paraId="37B4E0AE" w14:textId="7D2D28D8" w:rsidR="001A6E5F" w:rsidRPr="001A6E5F" w:rsidRDefault="001A6E5F" w:rsidP="001A6E5F">
      <w:r>
        <w:t>The following agreements and proposals were made earlier regarding applicability of cell switch delay requirements:</w:t>
      </w:r>
    </w:p>
    <w:tbl>
      <w:tblPr>
        <w:tblStyle w:val="TableGrid"/>
        <w:tblW w:w="0" w:type="auto"/>
        <w:tblLook w:val="04A0" w:firstRow="1" w:lastRow="0" w:firstColumn="1" w:lastColumn="0" w:noHBand="0" w:noVBand="1"/>
      </w:tblPr>
      <w:tblGrid>
        <w:gridCol w:w="9617"/>
      </w:tblGrid>
      <w:tr w:rsidR="00331456" w14:paraId="4148A3D6" w14:textId="77777777" w:rsidTr="00331456">
        <w:tc>
          <w:tcPr>
            <w:tcW w:w="9617" w:type="dxa"/>
          </w:tcPr>
          <w:p w14:paraId="0F97605B" w14:textId="77777777" w:rsidR="00331456" w:rsidRPr="00B33CF9" w:rsidRDefault="00331456" w:rsidP="00331456">
            <w:pPr>
              <w:spacing w:before="120" w:after="180"/>
              <w:ind w:left="540"/>
              <w:rPr>
                <w:rFonts w:ascii="Arial" w:eastAsia="Times New Roman" w:hAnsi="Arial" w:cs="Arial"/>
                <w:sz w:val="18"/>
                <w:szCs w:val="18"/>
                <w:lang w:val="en-US"/>
              </w:rPr>
            </w:pPr>
            <w:r w:rsidRPr="00B33CF9">
              <w:rPr>
                <w:rFonts w:ascii="Arial" w:eastAsia="Times New Roman" w:hAnsi="Arial" w:cs="Arial"/>
                <w:sz w:val="18"/>
                <w:szCs w:val="18"/>
                <w:lang w:val="en-US"/>
              </w:rPr>
              <w:t>Issue 2-4: Impact on other LTM requirements</w:t>
            </w:r>
          </w:p>
          <w:p w14:paraId="3D583F87" w14:textId="77777777" w:rsidR="00331456" w:rsidRPr="00B33CF9" w:rsidRDefault="00331456" w:rsidP="00331456">
            <w:pPr>
              <w:spacing w:after="120"/>
              <w:ind w:left="540"/>
              <w:rPr>
                <w:rFonts w:eastAsia="Times New Roman" w:cs="Times New Roman"/>
                <w:color w:val="4472C4"/>
                <w:sz w:val="18"/>
                <w:szCs w:val="18"/>
                <w:lang w:val="en-US"/>
              </w:rPr>
            </w:pPr>
            <w:r w:rsidRPr="00B33CF9">
              <w:rPr>
                <w:rFonts w:eastAsia="Times New Roman" w:cs="Times New Roman"/>
                <w:b/>
                <w:bCs/>
                <w:color w:val="4472C4"/>
                <w:sz w:val="18"/>
                <w:szCs w:val="18"/>
                <w:lang w:val="en-US"/>
              </w:rPr>
              <w:t>Agreement in RAN4#114bis:</w:t>
            </w:r>
          </w:p>
          <w:p w14:paraId="7D89E7EB" w14:textId="77777777" w:rsidR="00331456" w:rsidRPr="00B33CF9" w:rsidRDefault="00331456" w:rsidP="00E44ED8">
            <w:pPr>
              <w:numPr>
                <w:ilvl w:val="0"/>
                <w:numId w:val="8"/>
              </w:numPr>
              <w:spacing w:after="120"/>
              <w:textAlignment w:val="center"/>
              <w:rPr>
                <w:rFonts w:ascii="Calibri" w:eastAsia="Times New Roman" w:hAnsi="Calibri" w:cs="Calibri"/>
                <w:sz w:val="16"/>
                <w:szCs w:val="16"/>
                <w:lang w:val="en-US"/>
              </w:rPr>
            </w:pPr>
            <w:r w:rsidRPr="00B33CF9">
              <w:rPr>
                <w:rFonts w:eastAsia="Times New Roman" w:cs="Times New Roman"/>
                <w:color w:val="4472C4"/>
                <w:sz w:val="18"/>
                <w:szCs w:val="18"/>
                <w:lang w:val="en-US"/>
              </w:rPr>
              <w:t xml:space="preserve">For FR1: </w:t>
            </w:r>
          </w:p>
          <w:p w14:paraId="2E932652" w14:textId="77777777" w:rsidR="00331456" w:rsidRPr="00B33CF9" w:rsidRDefault="00331456" w:rsidP="00E44ED8">
            <w:pPr>
              <w:numPr>
                <w:ilvl w:val="1"/>
                <w:numId w:val="8"/>
              </w:numPr>
              <w:spacing w:after="120"/>
              <w:textAlignment w:val="center"/>
              <w:rPr>
                <w:rFonts w:ascii="Calibri" w:eastAsia="Times New Roman" w:hAnsi="Calibri" w:cs="Calibri"/>
                <w:sz w:val="16"/>
                <w:szCs w:val="16"/>
                <w:lang w:val="en-US"/>
              </w:rPr>
            </w:pPr>
            <w:r w:rsidRPr="00B33CF9">
              <w:rPr>
                <w:rFonts w:eastAsia="Times New Roman" w:cs="Times New Roman"/>
                <w:color w:val="4472C4"/>
                <w:sz w:val="18"/>
                <w:szCs w:val="18"/>
                <w:lang w:val="en-US"/>
              </w:rPr>
              <w:t xml:space="preserve">UE has sent an event-triggered L1 </w:t>
            </w:r>
            <w:proofErr w:type="gramStart"/>
            <w:r w:rsidRPr="00B33CF9">
              <w:rPr>
                <w:rFonts w:eastAsia="Times New Roman" w:cs="Times New Roman"/>
                <w:color w:val="4472C4"/>
                <w:sz w:val="18"/>
                <w:szCs w:val="18"/>
                <w:lang w:val="en-US"/>
              </w:rPr>
              <w:t>report</w:t>
            </w:r>
            <w:proofErr w:type="gramEnd"/>
            <w:r w:rsidRPr="00B33CF9">
              <w:rPr>
                <w:rFonts w:eastAsia="Times New Roman" w:cs="Times New Roman"/>
                <w:color w:val="4472C4"/>
                <w:sz w:val="18"/>
                <w:szCs w:val="18"/>
                <w:lang w:val="en-US"/>
              </w:rPr>
              <w:t xml:space="preserve"> and the reporting condition continues to be met at the time of receiving the cell switch command or TCI state activation command, </w:t>
            </w:r>
          </w:p>
          <w:p w14:paraId="5E31ECAE" w14:textId="77777777" w:rsidR="00331456" w:rsidRPr="00B33CF9" w:rsidRDefault="00331456" w:rsidP="00E44ED8">
            <w:pPr>
              <w:numPr>
                <w:ilvl w:val="2"/>
                <w:numId w:val="8"/>
              </w:numPr>
              <w:spacing w:after="120"/>
              <w:textAlignment w:val="center"/>
              <w:rPr>
                <w:rFonts w:ascii="Calibri" w:eastAsia="Times New Roman" w:hAnsi="Calibri" w:cs="Calibri"/>
                <w:sz w:val="16"/>
                <w:szCs w:val="16"/>
                <w:lang w:val="en-US"/>
              </w:rPr>
            </w:pPr>
            <w:r w:rsidRPr="00B33CF9">
              <w:rPr>
                <w:rFonts w:eastAsia="Times New Roman" w:cs="Times New Roman"/>
                <w:color w:val="4472C4"/>
                <w:sz w:val="18"/>
                <w:szCs w:val="18"/>
                <w:lang w:val="en-US"/>
              </w:rPr>
              <w:t>Case 1: leaving condition of the event is configured and corresponding condition is not met,</w:t>
            </w:r>
          </w:p>
          <w:p w14:paraId="3C51C7B2" w14:textId="77777777" w:rsidR="00331456" w:rsidRPr="00B33CF9" w:rsidRDefault="00331456" w:rsidP="00E44ED8">
            <w:pPr>
              <w:numPr>
                <w:ilvl w:val="3"/>
                <w:numId w:val="8"/>
              </w:numPr>
              <w:spacing w:after="120"/>
              <w:textAlignment w:val="center"/>
              <w:rPr>
                <w:rFonts w:ascii="Calibri" w:eastAsia="Times New Roman" w:hAnsi="Calibri" w:cs="Calibri"/>
                <w:sz w:val="16"/>
                <w:szCs w:val="16"/>
                <w:lang w:val="en-US"/>
              </w:rPr>
            </w:pPr>
            <w:r w:rsidRPr="00B33CF9">
              <w:rPr>
                <w:rFonts w:eastAsia="Times New Roman" w:cs="Times New Roman"/>
                <w:color w:val="4472C4"/>
                <w:sz w:val="18"/>
                <w:szCs w:val="18"/>
                <w:lang w:val="en-US"/>
              </w:rPr>
              <w:t>the related cell switch delay and TCI state activation requirements are applicable</w:t>
            </w:r>
          </w:p>
          <w:p w14:paraId="2866D481" w14:textId="77777777" w:rsidR="00331456" w:rsidRPr="00B33CF9" w:rsidRDefault="00331456" w:rsidP="00E44ED8">
            <w:pPr>
              <w:numPr>
                <w:ilvl w:val="2"/>
                <w:numId w:val="8"/>
              </w:numPr>
              <w:spacing w:after="120"/>
              <w:textAlignment w:val="center"/>
              <w:rPr>
                <w:rFonts w:ascii="Calibri" w:eastAsia="Times New Roman" w:hAnsi="Calibri" w:cs="Calibri"/>
                <w:sz w:val="16"/>
                <w:szCs w:val="16"/>
                <w:lang w:val="en-US"/>
              </w:rPr>
            </w:pPr>
            <w:r w:rsidRPr="00B33CF9">
              <w:rPr>
                <w:rFonts w:eastAsia="Times New Roman" w:cs="Times New Roman"/>
                <w:color w:val="4472C4"/>
                <w:sz w:val="18"/>
                <w:szCs w:val="18"/>
                <w:lang w:val="en-US"/>
              </w:rPr>
              <w:t>Case 2: leaving condition of the event is NOT configured, FFS</w:t>
            </w:r>
          </w:p>
          <w:p w14:paraId="0BF30E5E" w14:textId="77777777" w:rsidR="00331456" w:rsidRPr="00B33CF9" w:rsidRDefault="00331456" w:rsidP="00E44ED8">
            <w:pPr>
              <w:numPr>
                <w:ilvl w:val="0"/>
                <w:numId w:val="8"/>
              </w:numPr>
              <w:spacing w:after="120"/>
              <w:textAlignment w:val="center"/>
              <w:rPr>
                <w:rFonts w:ascii="Calibri" w:eastAsia="Times New Roman" w:hAnsi="Calibri" w:cs="Calibri"/>
                <w:sz w:val="16"/>
                <w:szCs w:val="16"/>
                <w:lang w:val="en-US"/>
              </w:rPr>
            </w:pPr>
            <w:r w:rsidRPr="00B33CF9">
              <w:rPr>
                <w:rFonts w:eastAsia="Times New Roman" w:cs="Times New Roman"/>
                <w:color w:val="4472C4"/>
                <w:sz w:val="18"/>
                <w:szCs w:val="18"/>
                <w:lang w:val="en-US"/>
              </w:rPr>
              <w:t>For FR2: FFS</w:t>
            </w:r>
          </w:p>
          <w:p w14:paraId="067AD3CA" w14:textId="77777777" w:rsidR="00331456" w:rsidRPr="00B33CF9" w:rsidRDefault="00331456" w:rsidP="00331456">
            <w:pPr>
              <w:spacing w:after="120"/>
              <w:ind w:left="540"/>
              <w:rPr>
                <w:rFonts w:eastAsia="Times New Roman" w:cs="Times New Roman"/>
                <w:color w:val="000000"/>
                <w:sz w:val="18"/>
                <w:szCs w:val="18"/>
                <w:lang w:val="en-US"/>
              </w:rPr>
            </w:pPr>
            <w:r w:rsidRPr="00B33CF9">
              <w:rPr>
                <w:rFonts w:eastAsia="Times New Roman" w:cs="Times New Roman"/>
                <w:b/>
                <w:bCs/>
                <w:color w:val="000000"/>
                <w:sz w:val="18"/>
                <w:szCs w:val="18"/>
                <w:lang w:val="en-US"/>
              </w:rPr>
              <w:t>Candidate options:</w:t>
            </w:r>
          </w:p>
          <w:p w14:paraId="311BA33B"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 xml:space="preserve">Proposal 1: considering </w:t>
            </w:r>
            <w:r w:rsidRPr="00B33CF9">
              <w:rPr>
                <w:rFonts w:eastAsia="Times New Roman" w:cs="Times New Roman"/>
                <w:color w:val="000000"/>
                <w:sz w:val="18"/>
                <w:szCs w:val="18"/>
              </w:rPr>
              <w:t xml:space="preserve">it is invalid that only event entering condition is configured and leaving condition is not configured, update previous agreement to: </w:t>
            </w:r>
            <w:r w:rsidRPr="00B33CF9">
              <w:rPr>
                <w:rFonts w:eastAsia="Times New Roman" w:cs="Times New Roman"/>
                <w:color w:val="000000"/>
                <w:sz w:val="18"/>
                <w:szCs w:val="18"/>
                <w:lang w:val="en-US"/>
              </w:rPr>
              <w:t>(Huawei)</w:t>
            </w:r>
          </w:p>
          <w:p w14:paraId="0C51E6C7" w14:textId="77777777" w:rsidR="00331456" w:rsidRPr="00B33CF9" w:rsidRDefault="00331456" w:rsidP="00E44ED8">
            <w:pPr>
              <w:numPr>
                <w:ilvl w:val="1"/>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 xml:space="preserve">For FR1: </w:t>
            </w:r>
          </w:p>
          <w:p w14:paraId="3D0F19B0" w14:textId="77777777" w:rsidR="00331456" w:rsidRPr="00B33CF9" w:rsidRDefault="00331456" w:rsidP="00E44ED8">
            <w:pPr>
              <w:numPr>
                <w:ilvl w:val="2"/>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07595406" w14:textId="77777777" w:rsidR="00331456" w:rsidRPr="00B33CF9" w:rsidRDefault="00331456" w:rsidP="00E44ED8">
            <w:pPr>
              <w:numPr>
                <w:ilvl w:val="2"/>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The related cell switch delay and TCI state activation requirements are applicable</w:t>
            </w:r>
          </w:p>
          <w:p w14:paraId="08F930EA" w14:textId="77777777" w:rsidR="00331456" w:rsidRPr="00B33CF9" w:rsidRDefault="00331456" w:rsidP="00E44ED8">
            <w:pPr>
              <w:numPr>
                <w:ilvl w:val="1"/>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The above optimization is not applicable to FR2</w:t>
            </w:r>
          </w:p>
          <w:p w14:paraId="5AD64677"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 xml:space="preserve">Proposal 2: </w:t>
            </w:r>
            <w:r w:rsidRPr="00B33CF9">
              <w:rPr>
                <w:rFonts w:eastAsia="Times New Roman" w:cs="Times New Roman"/>
                <w:color w:val="000000"/>
                <w:sz w:val="18"/>
                <w:szCs w:val="18"/>
              </w:rPr>
              <w:t xml:space="preserve">Apply to both FR1 and FR2: When UE has sent event-triggered L1 report and leave condition of the event is configured and UE has not sent report on leave before receiving the cell switch command, delay requirements are applicable. </w:t>
            </w:r>
            <w:r w:rsidRPr="00B33CF9">
              <w:rPr>
                <w:rFonts w:eastAsia="Times New Roman" w:cs="Times New Roman"/>
                <w:color w:val="000000"/>
                <w:sz w:val="18"/>
                <w:szCs w:val="18"/>
                <w:lang w:val="en-US"/>
              </w:rPr>
              <w:t>(Nokia)</w:t>
            </w:r>
          </w:p>
          <w:p w14:paraId="695A2BAE"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Proposal 3: Either a) introduce no further conditions than UE having sent L1 event-triggered report and condition continuing to be met for the case without leave condition configured, or b) extend applicability from the existing e.g. to 5 seconds based on event-triggered L1 report.</w:t>
            </w:r>
          </w:p>
          <w:p w14:paraId="434A93FE"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 xml:space="preserve">Proposal 4: </w:t>
            </w:r>
            <w:r w:rsidRPr="00B33CF9">
              <w:rPr>
                <w:rFonts w:eastAsia="Times New Roman" w:cs="Times New Roman"/>
                <w:color w:val="000000"/>
                <w:sz w:val="18"/>
                <w:szCs w:val="18"/>
              </w:rPr>
              <w:t>Add the following additional condition for T</w:t>
            </w:r>
            <w:r w:rsidRPr="00B33CF9">
              <w:rPr>
                <w:rFonts w:eastAsia="Times New Roman" w:cs="Times New Roman"/>
                <w:color w:val="000000"/>
                <w:sz w:val="18"/>
                <w:szCs w:val="18"/>
                <w:vertAlign w:val="subscript"/>
              </w:rPr>
              <w:t>first-RS</w:t>
            </w:r>
            <w:r w:rsidRPr="00B33CF9">
              <w:rPr>
                <w:rFonts w:eastAsia="Times New Roman" w:cs="Times New Roman"/>
                <w:color w:val="000000"/>
                <w:sz w:val="18"/>
                <w:szCs w:val="18"/>
              </w:rPr>
              <w:t xml:space="preserve"> and T</w:t>
            </w:r>
            <w:r w:rsidRPr="00B33CF9">
              <w:rPr>
                <w:rFonts w:eastAsia="Times New Roman" w:cs="Times New Roman"/>
                <w:color w:val="000000"/>
                <w:sz w:val="18"/>
                <w:szCs w:val="18"/>
                <w:vertAlign w:val="subscript"/>
              </w:rPr>
              <w:t>RS-proc</w:t>
            </w:r>
            <w:r w:rsidRPr="00B33CF9">
              <w:rPr>
                <w:rFonts w:eastAsia="Times New Roman" w:cs="Times New Roman"/>
                <w:color w:val="000000"/>
                <w:sz w:val="18"/>
                <w:szCs w:val="18"/>
              </w:rPr>
              <w:t xml:space="preserve"> = 0: The target TCI state is on the active TCI state list, and the UE has sent an event-triggered L1 report associated to the target TCI state no longer than 160 </w:t>
            </w:r>
            <w:proofErr w:type="spellStart"/>
            <w:r w:rsidRPr="00B33CF9">
              <w:rPr>
                <w:rFonts w:eastAsia="Times New Roman" w:cs="Times New Roman"/>
                <w:color w:val="000000"/>
                <w:sz w:val="18"/>
                <w:szCs w:val="18"/>
              </w:rPr>
              <w:t>ms</w:t>
            </w:r>
            <w:proofErr w:type="spellEnd"/>
            <w:r w:rsidRPr="00B33CF9">
              <w:rPr>
                <w:rFonts w:eastAsia="Times New Roman" w:cs="Times New Roman"/>
                <w:color w:val="000000"/>
                <w:sz w:val="18"/>
                <w:szCs w:val="18"/>
              </w:rPr>
              <w:t xml:space="preserve"> before reception of the cell switch command. (Nokia)</w:t>
            </w:r>
          </w:p>
          <w:p w14:paraId="1F1C52B0"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lastRenderedPageBreak/>
              <w:t>Proposal 5: add the following condition on agreements under issue 2-7 in RAN4#114bis: (Apple)</w:t>
            </w:r>
          </w:p>
          <w:p w14:paraId="1C9CF47E" w14:textId="77777777" w:rsidR="00331456" w:rsidRPr="00B33CF9" w:rsidRDefault="00331456" w:rsidP="00E44ED8">
            <w:pPr>
              <w:numPr>
                <w:ilvl w:val="1"/>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Number of active TCI does not exceed that UE can support.</w:t>
            </w:r>
          </w:p>
          <w:p w14:paraId="4C5C5559"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Proposal 6: For FR1, if UE has sent an event-triggered L1 report and the reporting condition continues to be met at the time of receiving the cell switch command or TCI state activation command, leaving condition of the event is configured and corresponding condition is not met, the related cell switch delay and TCI state activation requirements are applicable. Not to extend the optimization to other cases. (MTK)</w:t>
            </w:r>
          </w:p>
          <w:p w14:paraId="0D430D6E"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Proposal 7: For both FR1 and FR2, the TCI state is considered as known during 1280ms after event-triggered L1 report. And the related cell switch delay and TCI state activation requirements are applicable. (ZTE)</w:t>
            </w:r>
          </w:p>
          <w:p w14:paraId="6066DD1F" w14:textId="77777777" w:rsidR="00331456" w:rsidRPr="00B33CF9" w:rsidRDefault="00331456" w:rsidP="00E44ED8">
            <w:pPr>
              <w:numPr>
                <w:ilvl w:val="0"/>
                <w:numId w:val="9"/>
              </w:numPr>
              <w:spacing w:after="120"/>
              <w:textAlignment w:val="center"/>
              <w:rPr>
                <w:rFonts w:ascii="Calibri" w:eastAsia="Times New Roman" w:hAnsi="Calibri" w:cs="Calibri"/>
                <w:sz w:val="16"/>
                <w:szCs w:val="16"/>
                <w:lang w:val="en-US"/>
              </w:rPr>
            </w:pPr>
            <w:r w:rsidRPr="00B33CF9">
              <w:rPr>
                <w:rFonts w:eastAsia="Times New Roman" w:cs="Times New Roman"/>
                <w:color w:val="000000"/>
                <w:sz w:val="18"/>
                <w:szCs w:val="18"/>
                <w:lang w:val="en-US"/>
              </w:rPr>
              <w:t>Proposal 8: RAN4 to revisit the definition of TCI state known condition to accommodate event triggered LTM reporting. Potential spec change is highlighted in the following: (E///)</w:t>
            </w:r>
          </w:p>
          <w:p w14:paraId="0E111B15" w14:textId="78B7CDAC" w:rsidR="00331456" w:rsidRPr="00B33CF9" w:rsidRDefault="00331456" w:rsidP="00B33CF9">
            <w:pPr>
              <w:numPr>
                <w:ilvl w:val="1"/>
                <w:numId w:val="9"/>
              </w:numPr>
              <w:spacing w:after="120"/>
              <w:textAlignment w:val="center"/>
              <w:rPr>
                <w:rFonts w:ascii="Calibri" w:eastAsia="Times New Roman" w:hAnsi="Calibri" w:cs="Calibri"/>
                <w:sz w:val="16"/>
                <w:szCs w:val="16"/>
              </w:rPr>
            </w:pPr>
            <w:r w:rsidRPr="00B33CF9">
              <w:rPr>
                <w:rFonts w:eastAsia="Times New Roman" w:cs="Times New Roman"/>
                <w:color w:val="000000"/>
                <w:sz w:val="18"/>
                <w:szCs w:val="18"/>
              </w:rPr>
              <w:t>The UE has sent at least 1 valid L1-RSRP report for the target downlink TCI state before the MAC CE command is received. Or UE has sent at least one L3-RSRP report with beam index corresponding to the candidate cell on which the L1 event is configured</w:t>
            </w:r>
          </w:p>
        </w:tc>
      </w:tr>
    </w:tbl>
    <w:p w14:paraId="25428F7B" w14:textId="77777777" w:rsidR="00331456" w:rsidRDefault="00331456" w:rsidP="00572C91"/>
    <w:p w14:paraId="3DA96CCA" w14:textId="084F714F" w:rsidR="00CB0324" w:rsidRDefault="00416D93" w:rsidP="00572C91">
      <w:r>
        <w:t xml:space="preserve">One company pointed out in their contribution in the last meeting that leave condition is mandatory in the LTM L1 event-triggered reporting configuration. Hence, including such condition has no </w:t>
      </w:r>
      <w:r w:rsidR="00D678C2">
        <w:t xml:space="preserve">meaning in the RAN4#114bis agreement for requirement applicability. </w:t>
      </w:r>
    </w:p>
    <w:p w14:paraId="6D6EBDD3" w14:textId="33A50499" w:rsidR="004D6EEA" w:rsidRDefault="00AD0932" w:rsidP="004D6EEA">
      <w:pPr>
        <w:pStyle w:val="RAN4observation0"/>
      </w:pPr>
      <w:bookmarkStart w:id="5" w:name="_Toc205900220"/>
      <w:r>
        <w:t>Leave condition configuration is mandatory and hence always present in the event-triggered reporting configuration.</w:t>
      </w:r>
      <w:bookmarkEnd w:id="5"/>
    </w:p>
    <w:p w14:paraId="2047B125" w14:textId="6325834B" w:rsidR="00AD0932" w:rsidRDefault="006B22AB" w:rsidP="00AD0932">
      <w:r>
        <w:t xml:space="preserve">As we have proposed, in our view it is sufficient to define that the condition continues to apply after the report is sent. However, </w:t>
      </w:r>
      <w:r w:rsidR="00701E5C">
        <w:t xml:space="preserve">some </w:t>
      </w:r>
      <w:r>
        <w:t xml:space="preserve">companies wanted to include the leave condition in the requirement. </w:t>
      </w:r>
      <w:r w:rsidR="00AD0932">
        <w:t>We believe that the intention of the “</w:t>
      </w:r>
      <w:r w:rsidR="00AD0932" w:rsidRPr="00D678C2">
        <w:t>leaving condition of the event is configured and corresponding condition is not met</w:t>
      </w:r>
      <w:r w:rsidR="00AD0932">
        <w:t>” scenario was to refer to on leave reporting being configured and</w:t>
      </w:r>
      <w:r w:rsidR="0098752C">
        <w:t xml:space="preserve"> on leave</w:t>
      </w:r>
      <w:r w:rsidR="00AD0932">
        <w:t xml:space="preserve"> report not being sent</w:t>
      </w:r>
      <w:r w:rsidR="0098752C">
        <w:t xml:space="preserve"> after the event-triggered L1 report</w:t>
      </w:r>
      <w:r w:rsidR="006F7A2D">
        <w:t>.</w:t>
      </w:r>
      <w:r w:rsidR="001D3F73">
        <w:t xml:space="preserve"> To respond to companies’ concerns, we believe that the agreement can be updated to:</w:t>
      </w:r>
    </w:p>
    <w:p w14:paraId="6571A148" w14:textId="3211EC45" w:rsidR="001D3F73" w:rsidRPr="001D3F73" w:rsidRDefault="00AA36B6" w:rsidP="00656DD0">
      <w:pPr>
        <w:pStyle w:val="RAN4proposal"/>
        <w:rPr>
          <w:lang w:val="en-US"/>
        </w:rPr>
      </w:pPr>
      <w:bookmarkStart w:id="6" w:name="_Toc205900221"/>
      <w:r>
        <w:rPr>
          <w:lang w:val="en-US"/>
        </w:rPr>
        <w:t>In FR1, c</w:t>
      </w:r>
      <w:r w:rsidR="00496171">
        <w:rPr>
          <w:lang w:val="en-US"/>
        </w:rPr>
        <w:t xml:space="preserve">ell switch and TCI state requirements are applicable if the UE is configured with event-triggered L1 reporting and on leave reporting, and the </w:t>
      </w:r>
      <w:r w:rsidR="001D3F73" w:rsidRPr="00331456">
        <w:rPr>
          <w:lang w:val="en-US"/>
        </w:rPr>
        <w:t xml:space="preserve">UE has sent an event-triggered L1 report </w:t>
      </w:r>
      <w:r w:rsidR="00496171">
        <w:rPr>
          <w:lang w:val="en-US"/>
        </w:rPr>
        <w:t>for the target cell and has not sent on leave report before reception of the cell switch command</w:t>
      </w:r>
      <w:r w:rsidR="00656DD0">
        <w:rPr>
          <w:lang w:val="en-US"/>
        </w:rPr>
        <w:t>.</w:t>
      </w:r>
      <w:bookmarkEnd w:id="6"/>
    </w:p>
    <w:p w14:paraId="08BC300B" w14:textId="1317A2E0" w:rsidR="00DE69D0" w:rsidRDefault="00DE69D0" w:rsidP="00AD0932">
      <w:r>
        <w:t xml:space="preserve">When on leave reporting is not configured, </w:t>
      </w:r>
      <w:r w:rsidR="00AB6333">
        <w:t xml:space="preserve">requirement applicability could be extended to apply for </w:t>
      </w:r>
      <w:r w:rsidR="003B2F32">
        <w:t xml:space="preserve">a longer time than the 1280 </w:t>
      </w:r>
      <w:proofErr w:type="spellStart"/>
      <w:r w:rsidR="003B2F32">
        <w:t>ms</w:t>
      </w:r>
      <w:proofErr w:type="spellEnd"/>
      <w:r w:rsidR="003B2F32">
        <w:t xml:space="preserve"> th</w:t>
      </w:r>
      <w:r w:rsidR="001F304A">
        <w:t>e requirements</w:t>
      </w:r>
      <w:r w:rsidR="003B2F32">
        <w:t xml:space="preserve"> apply currently. </w:t>
      </w:r>
      <w:r w:rsidR="00635599">
        <w:t>We can consider e.g. 5 second applicability based on L1 event-triggered report without on leave reporting configuration.</w:t>
      </w:r>
    </w:p>
    <w:p w14:paraId="14F2F81A" w14:textId="042BDC41" w:rsidR="00D450BB" w:rsidRDefault="00AA36B6" w:rsidP="00D450BB">
      <w:pPr>
        <w:pStyle w:val="RAN4proposal"/>
      </w:pPr>
      <w:bookmarkStart w:id="7" w:name="_Toc205900222"/>
      <w:r>
        <w:rPr>
          <w:lang w:val="en-US"/>
        </w:rPr>
        <w:t>In FR1, c</w:t>
      </w:r>
      <w:r w:rsidR="00D450BB">
        <w:rPr>
          <w:lang w:val="en-US"/>
        </w:rPr>
        <w:t xml:space="preserve">ell switch and TCI state requirements are applicable if the UE is configured with event-triggered L1 reporting without on leave reporting, and the </w:t>
      </w:r>
      <w:r w:rsidR="00D450BB" w:rsidRPr="00331456">
        <w:rPr>
          <w:lang w:val="en-US"/>
        </w:rPr>
        <w:t xml:space="preserve">UE has sent an event-triggered L1 report </w:t>
      </w:r>
      <w:r w:rsidR="00D450BB">
        <w:rPr>
          <w:lang w:val="en-US"/>
        </w:rPr>
        <w:t>for the target cell within [5 seconds] before reception of the cell switch command</w:t>
      </w:r>
      <w:bookmarkEnd w:id="7"/>
    </w:p>
    <w:p w14:paraId="18FA6613" w14:textId="247A73E0" w:rsidR="00BA64CC" w:rsidRDefault="00BA64CC" w:rsidP="00AD0932">
      <w:r>
        <w:t xml:space="preserve">Furthermore, it was pointed out that in FR2, if event-triggered report is followed by TCI state activation, the UE may be allowed to stop </w:t>
      </w:r>
      <w:r w:rsidR="00FC54B5">
        <w:t xml:space="preserve">L1 measurements on cells </w:t>
      </w:r>
      <w:r>
        <w:t xml:space="preserve">without active TCI states. Hence, </w:t>
      </w:r>
      <w:r w:rsidR="00FC54B5">
        <w:t>cell switch delay applicability cannot be guaranteed based on the L1 report</w:t>
      </w:r>
      <w:r w:rsidR="00602C6D">
        <w:t xml:space="preserve"> after TCI state activation</w:t>
      </w:r>
      <w:r w:rsidR="00822532">
        <w:t xml:space="preserve"> for these cells</w:t>
      </w:r>
      <w:r w:rsidR="00FC54B5">
        <w:t xml:space="preserve">. </w:t>
      </w:r>
      <w:r w:rsidR="00602C6D">
        <w:t>Here the options are either to limit the enhanced applicability outside of this scenari</w:t>
      </w:r>
      <w:r w:rsidR="006B22AB">
        <w:t>o</w:t>
      </w:r>
      <w:r w:rsidR="00FB0105">
        <w:t xml:space="preserve"> or keep the legacy requirements for FR2. </w:t>
      </w:r>
    </w:p>
    <w:p w14:paraId="32DF0F97" w14:textId="60C3D422" w:rsidR="00DF742A" w:rsidRDefault="00635599" w:rsidP="00DF742A">
      <w:pPr>
        <w:pStyle w:val="RAN4proposal"/>
      </w:pPr>
      <w:bookmarkStart w:id="8" w:name="_Toc205900223"/>
      <w:r>
        <w:t xml:space="preserve">Either </w:t>
      </w:r>
      <w:r w:rsidR="00AA36B6">
        <w:t xml:space="preserve">limit proposals 1 and 2 to the scenario where the UE is required to </w:t>
      </w:r>
      <w:r w:rsidR="00D31928">
        <w:t>perform</w:t>
      </w:r>
      <w:r w:rsidR="00AA36B6">
        <w:t xml:space="preserve"> L1 measurements on the target cell according to measurement requirements, or limit proposals 1 and 2 to FR1 only.</w:t>
      </w:r>
      <w:bookmarkEnd w:id="8"/>
    </w:p>
    <w:p w14:paraId="465FD306" w14:textId="77777777" w:rsidR="005E59A7" w:rsidRDefault="005E59A7" w:rsidP="005E59A7"/>
    <w:p w14:paraId="63352C00" w14:textId="4C04F833" w:rsidR="00FD2F7D" w:rsidRDefault="00FD2F7D" w:rsidP="005E59A7">
      <w:pPr>
        <w:pStyle w:val="RAN4H2"/>
      </w:pPr>
      <w:r>
        <w:t>DL synchronization with event-triggered L1 reporting</w:t>
      </w:r>
    </w:p>
    <w:p w14:paraId="3CB703B1" w14:textId="0DDF478A" w:rsidR="005E59A7" w:rsidRDefault="005E59A7" w:rsidP="005E59A7">
      <w:r>
        <w:t xml:space="preserve">When UE is configured with event-triggered L1 reporting, the UE may send an event-triggered L1 report, which may be followed by TCI state activation. Alternatively, TCI state activation may happen based on L3 report, and L1 report may </w:t>
      </w:r>
      <w:proofErr w:type="gramStart"/>
      <w:r>
        <w:t>follow after</w:t>
      </w:r>
      <w:proofErr w:type="gramEnd"/>
      <w:r>
        <w:t xml:space="preserve"> this, as has been brought up by </w:t>
      </w:r>
      <w:r w:rsidR="009E00A9">
        <w:t xml:space="preserve">one </w:t>
      </w:r>
      <w:r>
        <w:t>company in the last meeting. Additionally, there may be a second L1 report triggered after TCI state activation, if cell switch command is not sent shortly after TCI state activation command.</w:t>
      </w:r>
    </w:p>
    <w:p w14:paraId="541583E0" w14:textId="50759723" w:rsidR="005E59A7" w:rsidRDefault="005E59A7" w:rsidP="005E59A7">
      <w:r>
        <w:t xml:space="preserve">For the scenario where TCI state activation is followed by a L1 report, the UE may no longer have DL synchronization with the activated TCI state, as the current requirements allow the UE to stop keeping track of the DL sync after </w:t>
      </w:r>
      <w:r>
        <w:lastRenderedPageBreak/>
        <w:t xml:space="preserve">160/480 </w:t>
      </w:r>
      <w:proofErr w:type="spellStart"/>
      <w:r>
        <w:t>ms</w:t>
      </w:r>
      <w:proofErr w:type="spellEnd"/>
      <w:r w:rsidR="00BC5A51">
        <w:t xml:space="preserve"> in most cases</w:t>
      </w:r>
      <w:r>
        <w:t>, and event-triggered repor</w:t>
      </w:r>
      <w:r w:rsidR="007A7A9E">
        <w:t>t</w:t>
      </w:r>
      <w:r>
        <w:t>ing condition may not become fulfilled within this time. When the UE sends an event-triggered report associated to an activated TCI state, we think it makes sense that the UE would renew the DL synchronization for this TCI state based on the report, if the UE does not have the DL sync already. This should be captured as an additional condition for T</w:t>
      </w:r>
      <w:r w:rsidRPr="00FA170D">
        <w:rPr>
          <w:vertAlign w:val="subscript"/>
        </w:rPr>
        <w:t>first-RS</w:t>
      </w:r>
      <w:r>
        <w:t xml:space="preserve"> and T</w:t>
      </w:r>
      <w:r w:rsidRPr="00FA170D">
        <w:rPr>
          <w:vertAlign w:val="subscript"/>
        </w:rPr>
        <w:t>RS-proc</w:t>
      </w:r>
      <w:r>
        <w:t xml:space="preserve"> = 0 as:</w:t>
      </w:r>
    </w:p>
    <w:p w14:paraId="58711BC3" w14:textId="5115A8B8" w:rsidR="005E59A7" w:rsidRPr="00207A08" w:rsidRDefault="005E59A7" w:rsidP="005E59A7">
      <w:pPr>
        <w:pStyle w:val="RAN4proposal"/>
        <w:rPr>
          <w:rFonts w:ascii="Arial" w:eastAsia="SimSun" w:hAnsi="Arial" w:cs="Times New Roman"/>
          <w:sz w:val="36"/>
          <w:szCs w:val="20"/>
        </w:rPr>
      </w:pPr>
      <w:bookmarkStart w:id="9" w:name="_Toc197674421"/>
      <w:bookmarkStart w:id="10" w:name="_Toc205900224"/>
      <w:r>
        <w:t>Add the following additional condition for T</w:t>
      </w:r>
      <w:r w:rsidRPr="00E65EFB">
        <w:rPr>
          <w:vertAlign w:val="subscript"/>
        </w:rPr>
        <w:t>first-RS</w:t>
      </w:r>
      <w:r>
        <w:t xml:space="preserve"> and T</w:t>
      </w:r>
      <w:r w:rsidRPr="00E65EFB">
        <w:rPr>
          <w:vertAlign w:val="subscript"/>
        </w:rPr>
        <w:t>RS-proc</w:t>
      </w:r>
      <w:r>
        <w:t xml:space="preserve"> = 0: The target TCI state is on the active TCI state list, and the UE has sent an event-triggered L1 report associated to the target TCI state no longer than 160 </w:t>
      </w:r>
      <w:proofErr w:type="spellStart"/>
      <w:r>
        <w:t>ms</w:t>
      </w:r>
      <w:proofErr w:type="spellEnd"/>
      <w:r>
        <w:t xml:space="preserve"> before reception of the cell switch command.</w:t>
      </w:r>
      <w:bookmarkEnd w:id="9"/>
      <w:bookmarkEnd w:id="10"/>
    </w:p>
    <w:p w14:paraId="674AD414" w14:textId="77777777" w:rsidR="005E59A7" w:rsidRPr="005E59A7" w:rsidRDefault="005E59A7" w:rsidP="005E59A7"/>
    <w:p w14:paraId="3DF6E3B3" w14:textId="5853BA3F" w:rsidR="00805A99" w:rsidRDefault="00805A99" w:rsidP="00805A99">
      <w:pPr>
        <w:pStyle w:val="RAN4H2"/>
      </w:pPr>
      <w:r>
        <w:t>UE capability</w:t>
      </w:r>
    </w:p>
    <w:tbl>
      <w:tblPr>
        <w:tblStyle w:val="TableGrid"/>
        <w:tblW w:w="0" w:type="auto"/>
        <w:tblLook w:val="04A0" w:firstRow="1" w:lastRow="0" w:firstColumn="1" w:lastColumn="0" w:noHBand="0" w:noVBand="1"/>
      </w:tblPr>
      <w:tblGrid>
        <w:gridCol w:w="9617"/>
      </w:tblGrid>
      <w:tr w:rsidR="00805A99" w14:paraId="03BCE714" w14:textId="77777777" w:rsidTr="00054B4B">
        <w:tc>
          <w:tcPr>
            <w:tcW w:w="9617" w:type="dxa"/>
          </w:tcPr>
          <w:p w14:paraId="438A16D4" w14:textId="77777777" w:rsidR="00805A99" w:rsidRPr="00331456" w:rsidRDefault="00805A99" w:rsidP="00054B4B">
            <w:pPr>
              <w:spacing w:before="120" w:after="180"/>
              <w:ind w:left="540"/>
              <w:rPr>
                <w:rFonts w:ascii="Arial" w:eastAsia="Times New Roman" w:hAnsi="Arial" w:cs="Arial"/>
                <w:szCs w:val="20"/>
                <w:lang w:val="en-US"/>
              </w:rPr>
            </w:pPr>
            <w:r w:rsidRPr="00331456">
              <w:rPr>
                <w:rFonts w:ascii="Arial" w:eastAsia="Times New Roman" w:hAnsi="Arial" w:cs="Arial"/>
                <w:szCs w:val="20"/>
                <w:lang w:val="en-US"/>
              </w:rPr>
              <w:t>Issue 2-3: whether to introduce/update requirements for reporting criteria per measurement category</w:t>
            </w:r>
          </w:p>
          <w:p w14:paraId="239AA3D3" w14:textId="77777777" w:rsidR="00805A99" w:rsidRPr="00331456" w:rsidRDefault="00805A99" w:rsidP="00054B4B">
            <w:pPr>
              <w:spacing w:after="120"/>
              <w:ind w:left="540"/>
              <w:rPr>
                <w:rFonts w:eastAsia="Times New Roman" w:cs="Times New Roman"/>
                <w:color w:val="000000"/>
                <w:szCs w:val="20"/>
                <w:lang w:val="en-US"/>
              </w:rPr>
            </w:pPr>
            <w:r w:rsidRPr="00331456">
              <w:rPr>
                <w:rFonts w:eastAsia="Times New Roman" w:cs="Times New Roman"/>
                <w:b/>
                <w:bCs/>
                <w:color w:val="000000"/>
                <w:szCs w:val="20"/>
                <w:lang w:val="en-US"/>
              </w:rPr>
              <w:t>Candidate options:</w:t>
            </w:r>
          </w:p>
          <w:p w14:paraId="7E8BA333" w14:textId="77777777" w:rsidR="00805A99" w:rsidRPr="00331456" w:rsidRDefault="00805A99" w:rsidP="00054B4B">
            <w:pPr>
              <w:numPr>
                <w:ilvl w:val="0"/>
                <w:numId w:val="7"/>
              </w:numPr>
              <w:spacing w:after="120"/>
              <w:textAlignment w:val="center"/>
              <w:rPr>
                <w:rFonts w:ascii="Calibri" w:eastAsia="Times New Roman" w:hAnsi="Calibri" w:cs="Calibri"/>
                <w:sz w:val="18"/>
                <w:szCs w:val="18"/>
                <w:lang w:val="en-US"/>
              </w:rPr>
            </w:pPr>
            <w:r w:rsidRPr="00331456">
              <w:rPr>
                <w:rFonts w:eastAsia="Times New Roman" w:cs="Times New Roman"/>
                <w:color w:val="000000"/>
                <w:szCs w:val="20"/>
                <w:lang w:val="en-US"/>
              </w:rPr>
              <w:t>Option 1: Define a separate capability for supported number of events triggered L1 measurement reporting. (CTC, Nokia, Xiaomi, CATT, vivo, MTK, ZTE, CMCC, E///)</w:t>
            </w:r>
          </w:p>
          <w:p w14:paraId="4E00DBA7" w14:textId="77777777" w:rsidR="00805A99" w:rsidRPr="00331456" w:rsidRDefault="00805A99" w:rsidP="00054B4B">
            <w:pPr>
              <w:numPr>
                <w:ilvl w:val="1"/>
                <w:numId w:val="7"/>
              </w:numPr>
              <w:spacing w:after="120"/>
              <w:textAlignment w:val="center"/>
              <w:rPr>
                <w:rFonts w:ascii="Calibri" w:eastAsia="Times New Roman" w:hAnsi="Calibri" w:cs="Calibri"/>
                <w:sz w:val="18"/>
                <w:szCs w:val="18"/>
              </w:rPr>
            </w:pPr>
            <w:r w:rsidRPr="00331456">
              <w:rPr>
                <w:rFonts w:eastAsia="Times New Roman" w:cs="Times New Roman"/>
                <w:color w:val="000000"/>
                <w:szCs w:val="20"/>
              </w:rPr>
              <w:t xml:space="preserve">Details: </w:t>
            </w:r>
          </w:p>
          <w:p w14:paraId="11F786E3" w14:textId="77777777" w:rsidR="00805A99" w:rsidRPr="00331456" w:rsidRDefault="00805A99" w:rsidP="00054B4B">
            <w:pPr>
              <w:numPr>
                <w:ilvl w:val="2"/>
                <w:numId w:val="7"/>
              </w:numPr>
              <w:spacing w:after="120"/>
              <w:textAlignment w:val="center"/>
              <w:rPr>
                <w:rFonts w:ascii="Calibri" w:eastAsia="Times New Roman" w:hAnsi="Calibri" w:cs="Calibri"/>
                <w:sz w:val="18"/>
                <w:szCs w:val="18"/>
              </w:rPr>
            </w:pPr>
            <w:r w:rsidRPr="00331456">
              <w:rPr>
                <w:rFonts w:eastAsia="Times New Roman" w:cs="Times New Roman"/>
                <w:color w:val="000000"/>
                <w:szCs w:val="20"/>
              </w:rPr>
              <w:t>Option 1a:(vivo)</w:t>
            </w:r>
          </w:p>
          <w:p w14:paraId="5FFE778C" w14:textId="77777777" w:rsidR="00805A99" w:rsidRPr="00331456" w:rsidRDefault="00805A99" w:rsidP="00054B4B">
            <w:pPr>
              <w:numPr>
                <w:ilvl w:val="3"/>
                <w:numId w:val="7"/>
              </w:numPr>
              <w:spacing w:after="120"/>
              <w:textAlignment w:val="center"/>
              <w:rPr>
                <w:rFonts w:ascii="Calibri" w:eastAsia="Times New Roman" w:hAnsi="Calibri" w:cs="Calibri"/>
                <w:sz w:val="18"/>
                <w:szCs w:val="18"/>
              </w:rPr>
            </w:pPr>
            <w:r w:rsidRPr="00331456">
              <w:rPr>
                <w:rFonts w:eastAsia="Times New Roman" w:cs="Times New Roman"/>
                <w:color w:val="000000"/>
                <w:szCs w:val="20"/>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403D21D5" w14:textId="77777777" w:rsidR="00805A99" w:rsidRPr="00331456" w:rsidRDefault="00805A99" w:rsidP="00054B4B">
            <w:pPr>
              <w:numPr>
                <w:ilvl w:val="3"/>
                <w:numId w:val="7"/>
              </w:numPr>
              <w:spacing w:after="120"/>
              <w:textAlignment w:val="center"/>
              <w:rPr>
                <w:rFonts w:ascii="Calibri" w:eastAsia="Times New Roman" w:hAnsi="Calibri" w:cs="Calibri"/>
                <w:sz w:val="18"/>
                <w:szCs w:val="18"/>
              </w:rPr>
            </w:pPr>
            <w:r w:rsidRPr="00331456">
              <w:rPr>
                <w:rFonts w:eastAsia="Times New Roman" w:cs="Times New Roman"/>
                <w:color w:val="000000"/>
                <w:szCs w:val="20"/>
              </w:rPr>
              <w:t>Reporting criteria for LTM event triggered reporting is 4 per frequency layer.</w:t>
            </w:r>
          </w:p>
          <w:p w14:paraId="0447B868" w14:textId="77777777" w:rsidR="00805A99" w:rsidRPr="00331456" w:rsidRDefault="00805A99" w:rsidP="00054B4B">
            <w:pPr>
              <w:numPr>
                <w:ilvl w:val="3"/>
                <w:numId w:val="7"/>
              </w:numPr>
              <w:spacing w:after="120"/>
              <w:textAlignment w:val="center"/>
              <w:rPr>
                <w:rFonts w:ascii="Calibri" w:eastAsia="Times New Roman" w:hAnsi="Calibri" w:cs="Calibri"/>
                <w:sz w:val="18"/>
                <w:szCs w:val="18"/>
              </w:rPr>
            </w:pPr>
            <w:r w:rsidRPr="00331456">
              <w:rPr>
                <w:rFonts w:eastAsia="Times New Roman" w:cs="Times New Roman"/>
                <w:color w:val="000000"/>
                <w:szCs w:val="20"/>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4E7A20F5" w14:textId="77777777" w:rsidR="00805A99" w:rsidRPr="00331456" w:rsidRDefault="00805A99" w:rsidP="00054B4B">
            <w:pPr>
              <w:numPr>
                <w:ilvl w:val="2"/>
                <w:numId w:val="7"/>
              </w:numPr>
              <w:spacing w:after="120"/>
              <w:textAlignment w:val="center"/>
              <w:rPr>
                <w:rFonts w:ascii="Calibri" w:eastAsia="Times New Roman" w:hAnsi="Calibri" w:cs="Calibri"/>
                <w:sz w:val="18"/>
                <w:szCs w:val="18"/>
              </w:rPr>
            </w:pPr>
            <w:r w:rsidRPr="00331456">
              <w:rPr>
                <w:rFonts w:eastAsia="Times New Roman" w:cs="Times New Roman"/>
                <w:color w:val="000000"/>
                <w:szCs w:val="20"/>
              </w:rPr>
              <w:t>Option 1b: E///</w:t>
            </w:r>
          </w:p>
          <w:p w14:paraId="3E4F332B" w14:textId="77777777" w:rsidR="00805A99" w:rsidRPr="00331456" w:rsidRDefault="00805A99" w:rsidP="00054B4B">
            <w:pPr>
              <w:numPr>
                <w:ilvl w:val="3"/>
                <w:numId w:val="7"/>
              </w:numPr>
              <w:spacing w:after="120"/>
              <w:textAlignment w:val="center"/>
              <w:rPr>
                <w:rFonts w:ascii="Calibri" w:eastAsia="Times New Roman" w:hAnsi="Calibri" w:cs="Calibri"/>
                <w:sz w:val="18"/>
                <w:szCs w:val="18"/>
                <w:lang w:val="en-US"/>
              </w:rPr>
            </w:pPr>
            <w:r w:rsidRPr="00331456">
              <w:rPr>
                <w:rFonts w:eastAsia="Times New Roman" w:cs="Times New Roman"/>
                <w:color w:val="000000"/>
                <w:szCs w:val="20"/>
                <w:lang w:val="en-US"/>
              </w:rPr>
              <w:t xml:space="preserve">RAN4 to support a common LTM </w:t>
            </w:r>
            <w:proofErr w:type="spellStart"/>
            <w:r w:rsidRPr="00331456">
              <w:rPr>
                <w:rFonts w:eastAsia="Times New Roman" w:cs="Times New Roman"/>
                <w:color w:val="000000"/>
                <w:szCs w:val="20"/>
                <w:lang w:val="en-US"/>
              </w:rPr>
              <w:t>Ecat</w:t>
            </w:r>
            <w:proofErr w:type="spellEnd"/>
            <w:r w:rsidRPr="00331456">
              <w:rPr>
                <w:rFonts w:eastAsia="Times New Roman" w:cs="Times New Roman"/>
                <w:color w:val="000000"/>
                <w:szCs w:val="20"/>
                <w:lang w:val="en-US"/>
              </w:rPr>
              <w:t xml:space="preserve"> capability to be shared between intra- and inter-frequency candidate cells.</w:t>
            </w:r>
          </w:p>
          <w:p w14:paraId="7F6ABC21" w14:textId="77777777" w:rsidR="00805A99" w:rsidRPr="00331456" w:rsidRDefault="00805A99" w:rsidP="00054B4B">
            <w:pPr>
              <w:numPr>
                <w:ilvl w:val="3"/>
                <w:numId w:val="7"/>
              </w:numPr>
              <w:spacing w:after="120"/>
              <w:textAlignment w:val="center"/>
              <w:rPr>
                <w:rFonts w:ascii="Calibri" w:eastAsia="Times New Roman" w:hAnsi="Calibri" w:cs="Calibri"/>
                <w:sz w:val="18"/>
                <w:szCs w:val="18"/>
                <w:lang w:val="en-US"/>
              </w:rPr>
            </w:pPr>
            <w:r w:rsidRPr="00331456">
              <w:rPr>
                <w:rFonts w:eastAsia="Times New Roman" w:cs="Times New Roman"/>
                <w:color w:val="000000"/>
                <w:szCs w:val="20"/>
                <w:lang w:val="en-US"/>
              </w:rPr>
              <w:t xml:space="preserve">RAN4 to agree that </w:t>
            </w:r>
            <w:proofErr w:type="spellStart"/>
            <w:r w:rsidRPr="00331456">
              <w:rPr>
                <w:rFonts w:eastAsia="Times New Roman" w:cs="Times New Roman"/>
                <w:color w:val="000000"/>
                <w:szCs w:val="20"/>
                <w:lang w:val="en-US"/>
              </w:rPr>
              <w:t>Ecat</w:t>
            </w:r>
            <w:proofErr w:type="spellEnd"/>
            <w:r w:rsidRPr="00331456">
              <w:rPr>
                <w:rFonts w:eastAsia="Times New Roman" w:cs="Times New Roman"/>
                <w:color w:val="000000"/>
                <w:szCs w:val="20"/>
                <w:lang w:val="en-US"/>
              </w:rPr>
              <w:t xml:space="preserve"> capability for LTM L1 measurements includes both PCell event, and candidate cells’ events. The detail number of </w:t>
            </w:r>
            <w:proofErr w:type="spellStart"/>
            <w:r w:rsidRPr="00331456">
              <w:rPr>
                <w:rFonts w:eastAsia="Times New Roman" w:cs="Times New Roman"/>
                <w:color w:val="000000"/>
                <w:szCs w:val="20"/>
                <w:lang w:val="en-US"/>
              </w:rPr>
              <w:t>Ecat</w:t>
            </w:r>
            <w:proofErr w:type="spellEnd"/>
            <w:r w:rsidRPr="00331456">
              <w:rPr>
                <w:rFonts w:eastAsia="Times New Roman" w:cs="Times New Roman"/>
                <w:color w:val="000000"/>
                <w:szCs w:val="20"/>
                <w:lang w:val="en-US"/>
              </w:rPr>
              <w:t xml:space="preserve"> is FFS</w:t>
            </w:r>
          </w:p>
          <w:p w14:paraId="3CC03114" w14:textId="77777777" w:rsidR="00805A99" w:rsidRPr="00331456" w:rsidRDefault="00805A99" w:rsidP="00054B4B">
            <w:pPr>
              <w:numPr>
                <w:ilvl w:val="0"/>
                <w:numId w:val="7"/>
              </w:numPr>
              <w:spacing w:after="120"/>
              <w:textAlignment w:val="center"/>
              <w:rPr>
                <w:rFonts w:ascii="Calibri" w:eastAsia="Times New Roman" w:hAnsi="Calibri" w:cs="Calibri"/>
                <w:sz w:val="18"/>
                <w:szCs w:val="18"/>
                <w:lang w:val="en-US"/>
              </w:rPr>
            </w:pPr>
            <w:r w:rsidRPr="00331456">
              <w:rPr>
                <w:rFonts w:eastAsia="Times New Roman" w:cs="Times New Roman"/>
                <w:color w:val="000000"/>
                <w:szCs w:val="20"/>
                <w:lang w:val="en-US"/>
              </w:rPr>
              <w:t>Option 2: update the existing requirements to cover L1 event triggered reporting criteria per measurement category. (OPPO)</w:t>
            </w:r>
          </w:p>
          <w:p w14:paraId="3427A61B" w14:textId="77777777" w:rsidR="00805A99" w:rsidRPr="00331456" w:rsidRDefault="00805A99" w:rsidP="00054B4B">
            <w:pPr>
              <w:numPr>
                <w:ilvl w:val="0"/>
                <w:numId w:val="7"/>
              </w:numPr>
              <w:spacing w:after="120"/>
              <w:textAlignment w:val="center"/>
              <w:rPr>
                <w:rFonts w:ascii="Calibri" w:eastAsia="Times New Roman" w:hAnsi="Calibri" w:cs="Calibri"/>
                <w:sz w:val="18"/>
                <w:szCs w:val="18"/>
                <w:lang w:val="en-US"/>
              </w:rPr>
            </w:pPr>
            <w:r w:rsidRPr="00331456">
              <w:rPr>
                <w:rFonts w:eastAsia="Times New Roman" w:cs="Times New Roman"/>
                <w:color w:val="000000"/>
                <w:szCs w:val="20"/>
                <w:lang w:val="en-US"/>
              </w:rPr>
              <w:t>Option 3: assuming new UE capabilities regarding support of event triggering needs to be introduced, RAN4 shall discuss whether it is still necessary to update/introduce new Event Triggering and Reporting Criteria for LTM. (Apple)</w:t>
            </w:r>
          </w:p>
          <w:p w14:paraId="701C2B7A" w14:textId="77777777" w:rsidR="00805A99" w:rsidRDefault="00805A99" w:rsidP="00054B4B"/>
        </w:tc>
      </w:tr>
    </w:tbl>
    <w:p w14:paraId="6D6589C7" w14:textId="77777777" w:rsidR="00805A99" w:rsidRDefault="00805A99" w:rsidP="00572C91"/>
    <w:p w14:paraId="0F0DD9F0" w14:textId="77777777" w:rsidR="00FA6A58" w:rsidRDefault="00FA6A58" w:rsidP="00FA6A58">
      <w:pPr>
        <w:rPr>
          <w:rFonts w:cs="v4.2.0"/>
        </w:rPr>
      </w:pPr>
      <w:r>
        <w:t xml:space="preserve">For L3 event-triggered reporting, RAN4 has defined capabilities for the support of event-triggered reporting in section </w:t>
      </w:r>
      <w:r w:rsidRPr="00B34784">
        <w:t>9.1.4</w:t>
      </w:r>
      <w:r>
        <w:t xml:space="preserve">, where </w:t>
      </w:r>
      <w:r>
        <w:rPr>
          <w:rFonts w:cs="v4.2.0"/>
        </w:rPr>
        <w:t>t</w:t>
      </w:r>
      <w:r w:rsidRPr="00B34784">
        <w:rPr>
          <w:rFonts w:cs="v4.2.0"/>
        </w:rPr>
        <w:t xml:space="preserve">he UE shall be able to support in parallel per category up to </w:t>
      </w:r>
      <w:proofErr w:type="spellStart"/>
      <w:r w:rsidRPr="00B34784">
        <w:rPr>
          <w:rFonts w:cs="v4.2.0"/>
        </w:rPr>
        <w:t>E</w:t>
      </w:r>
      <w:r w:rsidRPr="00B34784">
        <w:rPr>
          <w:rFonts w:cs="v4.2.0"/>
          <w:vertAlign w:val="subscript"/>
        </w:rPr>
        <w:t>cat</w:t>
      </w:r>
      <w:proofErr w:type="spellEnd"/>
      <w:r w:rsidRPr="00B34784">
        <w:rPr>
          <w:rFonts w:cs="v4.2.0"/>
        </w:rPr>
        <w:t xml:space="preserve"> reporting criteria according to </w:t>
      </w:r>
      <w:r>
        <w:rPr>
          <w:rFonts w:cs="v4.2.0"/>
        </w:rPr>
        <w:t>table</w:t>
      </w:r>
      <w:r w:rsidRPr="00B34784">
        <w:rPr>
          <w:rFonts w:cs="v4.2.0"/>
        </w:rPr>
        <w:t xml:space="preserve"> 9.1.4.2-1.</w:t>
      </w:r>
    </w:p>
    <w:p w14:paraId="216E8330" w14:textId="1E281A6B" w:rsidR="00FA6A58" w:rsidRDefault="00FA6A58" w:rsidP="00FA6A58">
      <w:pPr>
        <w:rPr>
          <w:rFonts w:cs="v4.2.0"/>
        </w:rPr>
      </w:pPr>
      <w:r>
        <w:rPr>
          <w:rFonts w:cs="v4.2.0"/>
        </w:rPr>
        <w:t xml:space="preserve">We are not aware that RAN1 would have had any discussions related to the number of supported events, so RAN4 should take care of this. The L1 events the UE shall be able to support should be added on top of the existing L3 events i.e. introduction of L1 events shall not impact the existing UE capabilities to support L3 events. Hence, we think RAN4 needs to define either a new table for L1 events to be supported or add new rows to the existing </w:t>
      </w:r>
      <w:proofErr w:type="spellStart"/>
      <w:r>
        <w:rPr>
          <w:rFonts w:cs="v4.2.0"/>
        </w:rPr>
        <w:t>E</w:t>
      </w:r>
      <w:r w:rsidRPr="00B32893">
        <w:rPr>
          <w:rFonts w:cs="v4.2.0"/>
          <w:vertAlign w:val="subscript"/>
        </w:rPr>
        <w:t>cat</w:t>
      </w:r>
      <w:proofErr w:type="spellEnd"/>
      <w:r>
        <w:rPr>
          <w:rFonts w:cs="v4.2.0"/>
        </w:rPr>
        <w:t xml:space="preserve"> table to cover intra- and inter-frequency LTM events to be supported. The supported number of events </w:t>
      </w:r>
      <w:proofErr w:type="gramStart"/>
      <w:r>
        <w:rPr>
          <w:rFonts w:cs="v4.2.0"/>
        </w:rPr>
        <w:t>has to</w:t>
      </w:r>
      <w:proofErr w:type="gramEnd"/>
      <w:r>
        <w:rPr>
          <w:rFonts w:cs="v4.2.0"/>
        </w:rPr>
        <w:t xml:space="preserve"> be </w:t>
      </w:r>
      <w:r w:rsidR="00C023D4">
        <w:rPr>
          <w:rFonts w:cs="v4.2.0"/>
        </w:rPr>
        <w:t>agreed</w:t>
      </w:r>
      <w:r>
        <w:rPr>
          <w:rFonts w:cs="v4.2.0"/>
        </w:rPr>
        <w:t>, and both SSB and CSI-RS based events shall be included.</w:t>
      </w:r>
    </w:p>
    <w:p w14:paraId="2CB0A099" w14:textId="27AB885A" w:rsidR="00FA6A58" w:rsidRPr="00572C91" w:rsidRDefault="00FA6A58" w:rsidP="00BB60D5">
      <w:pPr>
        <w:pStyle w:val="RAN4proposal"/>
      </w:pPr>
      <w:bookmarkStart w:id="11" w:name="_Toc197674422"/>
      <w:bookmarkStart w:id="12" w:name="_Toc205900225"/>
      <w:r>
        <w:lastRenderedPageBreak/>
        <w:t>Introduce the number of supported LTM intra- and inter-frequency L1 events for SSB and CSI-RS based reporting on top of the existing L3 events in section 9.1.4.</w:t>
      </w:r>
      <w:bookmarkEnd w:id="11"/>
      <w:bookmarkEnd w:id="12"/>
    </w:p>
    <w:p w14:paraId="5757AA7B" w14:textId="77777777" w:rsidR="00381F95" w:rsidRPr="008F786B" w:rsidRDefault="00CD7492" w:rsidP="00936159">
      <w:pPr>
        <w:pStyle w:val="RAN4H1"/>
      </w:pPr>
      <w:bookmarkStart w:id="13" w:name="_Toc116995848"/>
      <w:r w:rsidRPr="008F786B">
        <w:t>Conclusion</w:t>
      </w:r>
      <w:bookmarkEnd w:id="13"/>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B869FB9" w14:textId="12263FD4" w:rsidR="00527D77"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05900220" w:history="1">
        <w:r w:rsidR="00527D77" w:rsidRPr="00B77743">
          <w:rPr>
            <w:rStyle w:val="Hyperlink"/>
            <w:b/>
            <w:noProof/>
          </w:rPr>
          <w:t>Observation 1:</w:t>
        </w:r>
        <w:r w:rsidR="00527D77" w:rsidRPr="00B77743">
          <w:rPr>
            <w:rStyle w:val="Hyperlink"/>
            <w:noProof/>
          </w:rPr>
          <w:t xml:space="preserve"> Leave condition configuration is mandatory and hence always present in the event-triggered reporting configuration.</w:t>
        </w:r>
      </w:hyperlink>
    </w:p>
    <w:p w14:paraId="26AA6735" w14:textId="10D88B80" w:rsidR="00527D77" w:rsidRDefault="00527D7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900221" w:history="1">
        <w:r w:rsidRPr="00B77743">
          <w:rPr>
            <w:rStyle w:val="Hyperlink"/>
            <w:noProof/>
            <w:lang w:val="en-US"/>
          </w:rPr>
          <w:t>Proposal 1: In FR1, cell switch and TCI state requirements are applicable if the UE is configured with event-triggered L1 reporting and on leave reporting, and the UE has sent an event-triggered L1 report for the target cell and has not sent on leave report before reception of the cell switch command.</w:t>
        </w:r>
      </w:hyperlink>
    </w:p>
    <w:p w14:paraId="72461E6A" w14:textId="01BC86DF" w:rsidR="00527D77" w:rsidRDefault="00527D7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900222" w:history="1">
        <w:r w:rsidRPr="00B77743">
          <w:rPr>
            <w:rStyle w:val="Hyperlink"/>
            <w:noProof/>
          </w:rPr>
          <w:t>Proposal 2:</w:t>
        </w:r>
        <w:r w:rsidRPr="00B77743">
          <w:rPr>
            <w:rStyle w:val="Hyperlink"/>
            <w:noProof/>
            <w:lang w:val="en-US"/>
          </w:rPr>
          <w:t xml:space="preserve"> In FR1, cell switch and TCI state requirements are applicable if the UE is configured with event-triggered L1 reporting without on leave reporting, and the UE has sent an event-triggered L1 report for the target cell within [5 seconds] before reception of the cell switch command</w:t>
        </w:r>
      </w:hyperlink>
    </w:p>
    <w:p w14:paraId="0709B143" w14:textId="599DE534" w:rsidR="00527D77" w:rsidRDefault="00527D7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900223" w:history="1">
        <w:r w:rsidRPr="00B77743">
          <w:rPr>
            <w:rStyle w:val="Hyperlink"/>
            <w:noProof/>
          </w:rPr>
          <w:t>Proposal 3: Either limit proposals 1 and 2 to the scenario where the UE is required to perform L1 measurements on the target cell according to measurement requirements, or limit proposals 1 and 2 to FR1 only.</w:t>
        </w:r>
      </w:hyperlink>
    </w:p>
    <w:p w14:paraId="19E2086C" w14:textId="4E23C06C" w:rsidR="00527D77" w:rsidRDefault="00527D7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900224" w:history="1">
        <w:r w:rsidRPr="00B77743">
          <w:rPr>
            <w:rStyle w:val="Hyperlink"/>
            <w:rFonts w:eastAsia="SimSun" w:cs="Times New Roman"/>
            <w:noProof/>
          </w:rPr>
          <w:t>Proposal 4:</w:t>
        </w:r>
        <w:r w:rsidRPr="00B77743">
          <w:rPr>
            <w:rStyle w:val="Hyperlink"/>
            <w:noProof/>
          </w:rPr>
          <w:t xml:space="preserve"> Add the following additional condition for T</w:t>
        </w:r>
        <w:r w:rsidRPr="00B77743">
          <w:rPr>
            <w:rStyle w:val="Hyperlink"/>
            <w:noProof/>
            <w:vertAlign w:val="subscript"/>
          </w:rPr>
          <w:t>first-RS</w:t>
        </w:r>
        <w:r w:rsidRPr="00B77743">
          <w:rPr>
            <w:rStyle w:val="Hyperlink"/>
            <w:noProof/>
          </w:rPr>
          <w:t xml:space="preserve"> and T</w:t>
        </w:r>
        <w:r w:rsidRPr="00B77743">
          <w:rPr>
            <w:rStyle w:val="Hyperlink"/>
            <w:noProof/>
            <w:vertAlign w:val="subscript"/>
          </w:rPr>
          <w:t>RS-proc</w:t>
        </w:r>
        <w:r w:rsidRPr="00B77743">
          <w:rPr>
            <w:rStyle w:val="Hyperlink"/>
            <w:noProof/>
          </w:rPr>
          <w:t xml:space="preserve"> = 0: The target TCI state is on the active TCI state list, and the UE has sent an event-triggered L1 report associated to the target TCI state no longer than 160 ms before reception of the cell switch command.</w:t>
        </w:r>
      </w:hyperlink>
    </w:p>
    <w:p w14:paraId="0F69C9BD" w14:textId="4231162C" w:rsidR="00527D77" w:rsidRDefault="00527D7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5900225" w:history="1">
        <w:r w:rsidRPr="00B77743">
          <w:rPr>
            <w:rStyle w:val="Hyperlink"/>
            <w:noProof/>
          </w:rPr>
          <w:t>Proposal 5: Introduce the number of supported LTM intra- and inter-frequency L1 events for SSB and CSI-RS based reporting on top of the existing L3 events in section 9.1.4.</w:t>
        </w:r>
      </w:hyperlink>
    </w:p>
    <w:p w14:paraId="0D4C125B" w14:textId="686D1B78" w:rsidR="00E82B94" w:rsidRPr="008F786B" w:rsidRDefault="00A4355E" w:rsidP="00885EBF">
      <w:r w:rsidRPr="008F786B">
        <w:fldChar w:fldCharType="end"/>
      </w:r>
    </w:p>
    <w:p w14:paraId="3A68D42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6A9B" w14:textId="77777777" w:rsidR="00C53B3A" w:rsidRDefault="00C53B3A" w:rsidP="00001C9B">
      <w:pPr>
        <w:spacing w:after="0" w:line="240" w:lineRule="auto"/>
      </w:pPr>
      <w:r>
        <w:separator/>
      </w:r>
    </w:p>
  </w:endnote>
  <w:endnote w:type="continuationSeparator" w:id="0">
    <w:p w14:paraId="7695BE0E" w14:textId="77777777" w:rsidR="00C53B3A" w:rsidRDefault="00C53B3A" w:rsidP="00001C9B">
      <w:pPr>
        <w:spacing w:after="0" w:line="240" w:lineRule="auto"/>
      </w:pPr>
      <w:r>
        <w:continuationSeparator/>
      </w:r>
    </w:p>
  </w:endnote>
  <w:endnote w:type="continuationNotice" w:id="1">
    <w:p w14:paraId="6CC30A55" w14:textId="77777777" w:rsidR="00E44ED8" w:rsidRDefault="00E44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DC64" w14:textId="77777777" w:rsidR="00C53B3A" w:rsidRDefault="00C53B3A" w:rsidP="00001C9B">
      <w:pPr>
        <w:spacing w:after="0" w:line="240" w:lineRule="auto"/>
      </w:pPr>
      <w:r>
        <w:separator/>
      </w:r>
    </w:p>
  </w:footnote>
  <w:footnote w:type="continuationSeparator" w:id="0">
    <w:p w14:paraId="5BDCBA13" w14:textId="77777777" w:rsidR="00C53B3A" w:rsidRDefault="00C53B3A" w:rsidP="00001C9B">
      <w:pPr>
        <w:spacing w:after="0" w:line="240" w:lineRule="auto"/>
      </w:pPr>
      <w:r>
        <w:continuationSeparator/>
      </w:r>
    </w:p>
  </w:footnote>
  <w:footnote w:type="continuationNotice" w:id="1">
    <w:p w14:paraId="30171C11" w14:textId="77777777" w:rsidR="00E44ED8" w:rsidRDefault="00E44E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2E4901"/>
    <w:multiLevelType w:val="multilevel"/>
    <w:tmpl w:val="E39C99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5A5A55"/>
    <w:multiLevelType w:val="multilevel"/>
    <w:tmpl w:val="8F40EE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1DA7840"/>
    <w:multiLevelType w:val="multilevel"/>
    <w:tmpl w:val="1C6E0A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9EE6C07"/>
    <w:multiLevelType w:val="multilevel"/>
    <w:tmpl w:val="471C81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5"/>
  </w:num>
  <w:num w:numId="2" w16cid:durableId="80681869">
    <w:abstractNumId w:val="3"/>
  </w:num>
  <w:num w:numId="3" w16cid:durableId="1566528953">
    <w:abstractNumId w:val="4"/>
  </w:num>
  <w:num w:numId="4" w16cid:durableId="1456096507">
    <w:abstractNumId w:val="7"/>
  </w:num>
  <w:num w:numId="5" w16cid:durableId="143009612">
    <w:abstractNumId w:val="0"/>
  </w:num>
  <w:num w:numId="6" w16cid:durableId="1784183460">
    <w:abstractNumId w:val="9"/>
  </w:num>
  <w:num w:numId="7" w16cid:durableId="227499555">
    <w:abstractNumId w:val="6"/>
  </w:num>
  <w:num w:numId="8" w16cid:durableId="382683223">
    <w:abstractNumId w:val="2"/>
  </w:num>
  <w:num w:numId="9" w16cid:durableId="1106343484">
    <w:abstractNumId w:val="8"/>
  </w:num>
  <w:num w:numId="10" w16cid:durableId="51773568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1C9B"/>
    <w:rsid w:val="000040DC"/>
    <w:rsid w:val="00011784"/>
    <w:rsid w:val="00011BE6"/>
    <w:rsid w:val="000151EF"/>
    <w:rsid w:val="00017ED3"/>
    <w:rsid w:val="00021790"/>
    <w:rsid w:val="000239F5"/>
    <w:rsid w:val="00024019"/>
    <w:rsid w:val="0003704A"/>
    <w:rsid w:val="00046E50"/>
    <w:rsid w:val="0005041A"/>
    <w:rsid w:val="00061256"/>
    <w:rsid w:val="00072CCA"/>
    <w:rsid w:val="0007601C"/>
    <w:rsid w:val="00081002"/>
    <w:rsid w:val="00081544"/>
    <w:rsid w:val="0008612A"/>
    <w:rsid w:val="00087B7D"/>
    <w:rsid w:val="00090E18"/>
    <w:rsid w:val="000A10BC"/>
    <w:rsid w:val="000A7F53"/>
    <w:rsid w:val="000B0056"/>
    <w:rsid w:val="000B709B"/>
    <w:rsid w:val="000C213F"/>
    <w:rsid w:val="000C3C7B"/>
    <w:rsid w:val="000C4DF6"/>
    <w:rsid w:val="000D0F93"/>
    <w:rsid w:val="000D78BB"/>
    <w:rsid w:val="00106416"/>
    <w:rsid w:val="00110481"/>
    <w:rsid w:val="001127C9"/>
    <w:rsid w:val="00114498"/>
    <w:rsid w:val="0011597D"/>
    <w:rsid w:val="00115B88"/>
    <w:rsid w:val="00132F6A"/>
    <w:rsid w:val="00133913"/>
    <w:rsid w:val="00140221"/>
    <w:rsid w:val="00161913"/>
    <w:rsid w:val="00163D32"/>
    <w:rsid w:val="001642FC"/>
    <w:rsid w:val="0016496B"/>
    <w:rsid w:val="001743E2"/>
    <w:rsid w:val="001745F8"/>
    <w:rsid w:val="001838CF"/>
    <w:rsid w:val="001868EE"/>
    <w:rsid w:val="00190655"/>
    <w:rsid w:val="00193F4E"/>
    <w:rsid w:val="00194AEC"/>
    <w:rsid w:val="001A3BA4"/>
    <w:rsid w:val="001A6D1F"/>
    <w:rsid w:val="001A6E5F"/>
    <w:rsid w:val="001B1591"/>
    <w:rsid w:val="001B1EA8"/>
    <w:rsid w:val="001B503C"/>
    <w:rsid w:val="001B75ED"/>
    <w:rsid w:val="001C767A"/>
    <w:rsid w:val="001C7ECE"/>
    <w:rsid w:val="001D0F13"/>
    <w:rsid w:val="001D3F73"/>
    <w:rsid w:val="001E30F6"/>
    <w:rsid w:val="001F304A"/>
    <w:rsid w:val="00216379"/>
    <w:rsid w:val="00217EE5"/>
    <w:rsid w:val="002267F8"/>
    <w:rsid w:val="0023559D"/>
    <w:rsid w:val="00235F5C"/>
    <w:rsid w:val="0024235F"/>
    <w:rsid w:val="002433E2"/>
    <w:rsid w:val="002435F3"/>
    <w:rsid w:val="0025315B"/>
    <w:rsid w:val="00257FA3"/>
    <w:rsid w:val="00262259"/>
    <w:rsid w:val="00276C1B"/>
    <w:rsid w:val="00277B56"/>
    <w:rsid w:val="00282A74"/>
    <w:rsid w:val="002849D4"/>
    <w:rsid w:val="00295E70"/>
    <w:rsid w:val="002A158A"/>
    <w:rsid w:val="002A19F5"/>
    <w:rsid w:val="002B4922"/>
    <w:rsid w:val="002B69F3"/>
    <w:rsid w:val="002C22C3"/>
    <w:rsid w:val="002C2D19"/>
    <w:rsid w:val="002D10FA"/>
    <w:rsid w:val="002D4C55"/>
    <w:rsid w:val="002D592D"/>
    <w:rsid w:val="002E405E"/>
    <w:rsid w:val="002E6DED"/>
    <w:rsid w:val="002F10BB"/>
    <w:rsid w:val="002F4609"/>
    <w:rsid w:val="00300956"/>
    <w:rsid w:val="00307EE8"/>
    <w:rsid w:val="00317187"/>
    <w:rsid w:val="00317670"/>
    <w:rsid w:val="00323F55"/>
    <w:rsid w:val="0032499A"/>
    <w:rsid w:val="00331456"/>
    <w:rsid w:val="00333E0A"/>
    <w:rsid w:val="003341F7"/>
    <w:rsid w:val="00336635"/>
    <w:rsid w:val="00337434"/>
    <w:rsid w:val="00347FEC"/>
    <w:rsid w:val="003509DF"/>
    <w:rsid w:val="00354974"/>
    <w:rsid w:val="00356F45"/>
    <w:rsid w:val="00360149"/>
    <w:rsid w:val="00366B74"/>
    <w:rsid w:val="003733A3"/>
    <w:rsid w:val="00376DAD"/>
    <w:rsid w:val="003774C0"/>
    <w:rsid w:val="00377547"/>
    <w:rsid w:val="00381F95"/>
    <w:rsid w:val="003934A5"/>
    <w:rsid w:val="003A0536"/>
    <w:rsid w:val="003A710A"/>
    <w:rsid w:val="003B2F32"/>
    <w:rsid w:val="003B398C"/>
    <w:rsid w:val="003B4307"/>
    <w:rsid w:val="003B659E"/>
    <w:rsid w:val="003B71CE"/>
    <w:rsid w:val="003C275E"/>
    <w:rsid w:val="003C43CC"/>
    <w:rsid w:val="003C4FDE"/>
    <w:rsid w:val="003E58DF"/>
    <w:rsid w:val="003F25B8"/>
    <w:rsid w:val="003F7007"/>
    <w:rsid w:val="00404C4C"/>
    <w:rsid w:val="00411AC0"/>
    <w:rsid w:val="0041423F"/>
    <w:rsid w:val="00414F81"/>
    <w:rsid w:val="00416D93"/>
    <w:rsid w:val="0042073D"/>
    <w:rsid w:val="00426B9A"/>
    <w:rsid w:val="00436A0F"/>
    <w:rsid w:val="00437150"/>
    <w:rsid w:val="0043750A"/>
    <w:rsid w:val="00446551"/>
    <w:rsid w:val="00447577"/>
    <w:rsid w:val="00453447"/>
    <w:rsid w:val="00471230"/>
    <w:rsid w:val="004732E9"/>
    <w:rsid w:val="00474314"/>
    <w:rsid w:val="004854BB"/>
    <w:rsid w:val="00494493"/>
    <w:rsid w:val="00496171"/>
    <w:rsid w:val="00496197"/>
    <w:rsid w:val="00496606"/>
    <w:rsid w:val="004A0E28"/>
    <w:rsid w:val="004C062A"/>
    <w:rsid w:val="004C08DB"/>
    <w:rsid w:val="004C29DE"/>
    <w:rsid w:val="004C3561"/>
    <w:rsid w:val="004C6008"/>
    <w:rsid w:val="004D6EEA"/>
    <w:rsid w:val="004E0E1B"/>
    <w:rsid w:val="004E5E66"/>
    <w:rsid w:val="004E7ADB"/>
    <w:rsid w:val="004E7F03"/>
    <w:rsid w:val="00503B4D"/>
    <w:rsid w:val="00504EE9"/>
    <w:rsid w:val="005128C6"/>
    <w:rsid w:val="00514E4F"/>
    <w:rsid w:val="00521576"/>
    <w:rsid w:val="005250E6"/>
    <w:rsid w:val="00527D77"/>
    <w:rsid w:val="005327D8"/>
    <w:rsid w:val="005333AE"/>
    <w:rsid w:val="00541557"/>
    <w:rsid w:val="00542D23"/>
    <w:rsid w:val="0054442C"/>
    <w:rsid w:val="00550285"/>
    <w:rsid w:val="005552E5"/>
    <w:rsid w:val="00562492"/>
    <w:rsid w:val="005624E0"/>
    <w:rsid w:val="00562A2B"/>
    <w:rsid w:val="00564C87"/>
    <w:rsid w:val="005710E5"/>
    <w:rsid w:val="00572A20"/>
    <w:rsid w:val="00572C91"/>
    <w:rsid w:val="005754D2"/>
    <w:rsid w:val="00581618"/>
    <w:rsid w:val="005836F8"/>
    <w:rsid w:val="00587A2D"/>
    <w:rsid w:val="005918FA"/>
    <w:rsid w:val="00592A86"/>
    <w:rsid w:val="005A39DD"/>
    <w:rsid w:val="005A756D"/>
    <w:rsid w:val="005B3029"/>
    <w:rsid w:val="005B4801"/>
    <w:rsid w:val="005C1801"/>
    <w:rsid w:val="005C23A4"/>
    <w:rsid w:val="005C7EFA"/>
    <w:rsid w:val="005D1CDF"/>
    <w:rsid w:val="005D2BB7"/>
    <w:rsid w:val="005D6FFE"/>
    <w:rsid w:val="005E59A7"/>
    <w:rsid w:val="005E61A8"/>
    <w:rsid w:val="005F6419"/>
    <w:rsid w:val="00602C6D"/>
    <w:rsid w:val="0060301D"/>
    <w:rsid w:val="0060543D"/>
    <w:rsid w:val="006104DD"/>
    <w:rsid w:val="006130B5"/>
    <w:rsid w:val="00614DD8"/>
    <w:rsid w:val="00617400"/>
    <w:rsid w:val="0062749D"/>
    <w:rsid w:val="00632D29"/>
    <w:rsid w:val="00634C0E"/>
    <w:rsid w:val="00635599"/>
    <w:rsid w:val="0064171D"/>
    <w:rsid w:val="00641C5E"/>
    <w:rsid w:val="00645C3C"/>
    <w:rsid w:val="00656DD0"/>
    <w:rsid w:val="00664950"/>
    <w:rsid w:val="00683220"/>
    <w:rsid w:val="0068781B"/>
    <w:rsid w:val="00687FA0"/>
    <w:rsid w:val="006A3C11"/>
    <w:rsid w:val="006B22AB"/>
    <w:rsid w:val="006B7010"/>
    <w:rsid w:val="006B7131"/>
    <w:rsid w:val="006B7AE5"/>
    <w:rsid w:val="006C3095"/>
    <w:rsid w:val="006D644A"/>
    <w:rsid w:val="006E1151"/>
    <w:rsid w:val="006E29BE"/>
    <w:rsid w:val="006E6311"/>
    <w:rsid w:val="006F0806"/>
    <w:rsid w:val="006F7A2D"/>
    <w:rsid w:val="00701D91"/>
    <w:rsid w:val="00701E5C"/>
    <w:rsid w:val="00713021"/>
    <w:rsid w:val="007145FF"/>
    <w:rsid w:val="00715B2A"/>
    <w:rsid w:val="00733B21"/>
    <w:rsid w:val="007376A9"/>
    <w:rsid w:val="00737F44"/>
    <w:rsid w:val="007450F1"/>
    <w:rsid w:val="00751515"/>
    <w:rsid w:val="00756FDE"/>
    <w:rsid w:val="00757634"/>
    <w:rsid w:val="007626B7"/>
    <w:rsid w:val="00770F28"/>
    <w:rsid w:val="0078212B"/>
    <w:rsid w:val="00784DF6"/>
    <w:rsid w:val="00785232"/>
    <w:rsid w:val="007A2588"/>
    <w:rsid w:val="007A726F"/>
    <w:rsid w:val="007A7A9E"/>
    <w:rsid w:val="007B186C"/>
    <w:rsid w:val="007B1EF9"/>
    <w:rsid w:val="007B6A8F"/>
    <w:rsid w:val="007C02A1"/>
    <w:rsid w:val="007C1696"/>
    <w:rsid w:val="007C3ED0"/>
    <w:rsid w:val="007C48C4"/>
    <w:rsid w:val="007C58BC"/>
    <w:rsid w:val="007C5971"/>
    <w:rsid w:val="007C7C32"/>
    <w:rsid w:val="007D2A22"/>
    <w:rsid w:val="007D40C0"/>
    <w:rsid w:val="007D68DE"/>
    <w:rsid w:val="007E225F"/>
    <w:rsid w:val="007E42DC"/>
    <w:rsid w:val="007E4668"/>
    <w:rsid w:val="007E70BB"/>
    <w:rsid w:val="007F54B9"/>
    <w:rsid w:val="00805A99"/>
    <w:rsid w:val="00806A76"/>
    <w:rsid w:val="00811C9D"/>
    <w:rsid w:val="00816C80"/>
    <w:rsid w:val="008176BA"/>
    <w:rsid w:val="0081797B"/>
    <w:rsid w:val="00822532"/>
    <w:rsid w:val="0082796A"/>
    <w:rsid w:val="0083707A"/>
    <w:rsid w:val="00841BCD"/>
    <w:rsid w:val="00847264"/>
    <w:rsid w:val="00851A8E"/>
    <w:rsid w:val="0085365B"/>
    <w:rsid w:val="008668B5"/>
    <w:rsid w:val="008668DA"/>
    <w:rsid w:val="00872E0C"/>
    <w:rsid w:val="00880083"/>
    <w:rsid w:val="008826C1"/>
    <w:rsid w:val="0088313A"/>
    <w:rsid w:val="00883DFD"/>
    <w:rsid w:val="00885EBF"/>
    <w:rsid w:val="0088655C"/>
    <w:rsid w:val="0089210C"/>
    <w:rsid w:val="0089230E"/>
    <w:rsid w:val="00893D2E"/>
    <w:rsid w:val="0089430B"/>
    <w:rsid w:val="008A1BF7"/>
    <w:rsid w:val="008A5B0E"/>
    <w:rsid w:val="008B0961"/>
    <w:rsid w:val="008B136E"/>
    <w:rsid w:val="008C39F7"/>
    <w:rsid w:val="008C4C41"/>
    <w:rsid w:val="008D2DAC"/>
    <w:rsid w:val="008E1D7D"/>
    <w:rsid w:val="008F04ED"/>
    <w:rsid w:val="008F786B"/>
    <w:rsid w:val="0090091A"/>
    <w:rsid w:val="0090373B"/>
    <w:rsid w:val="009042BD"/>
    <w:rsid w:val="00904FE4"/>
    <w:rsid w:val="00927740"/>
    <w:rsid w:val="00934339"/>
    <w:rsid w:val="00936159"/>
    <w:rsid w:val="00952B49"/>
    <w:rsid w:val="00954FC5"/>
    <w:rsid w:val="009551B4"/>
    <w:rsid w:val="009628AD"/>
    <w:rsid w:val="00975B93"/>
    <w:rsid w:val="00977E1D"/>
    <w:rsid w:val="0098752C"/>
    <w:rsid w:val="009A32FE"/>
    <w:rsid w:val="009A7297"/>
    <w:rsid w:val="009B0573"/>
    <w:rsid w:val="009B7B4B"/>
    <w:rsid w:val="009B7C21"/>
    <w:rsid w:val="009C0CC6"/>
    <w:rsid w:val="009E00A9"/>
    <w:rsid w:val="009E4E6E"/>
    <w:rsid w:val="009E5FA9"/>
    <w:rsid w:val="00A019F7"/>
    <w:rsid w:val="00A04992"/>
    <w:rsid w:val="00A147AA"/>
    <w:rsid w:val="00A1568A"/>
    <w:rsid w:val="00A21D71"/>
    <w:rsid w:val="00A22B78"/>
    <w:rsid w:val="00A246F7"/>
    <w:rsid w:val="00A25AE5"/>
    <w:rsid w:val="00A25EDC"/>
    <w:rsid w:val="00A26442"/>
    <w:rsid w:val="00A37002"/>
    <w:rsid w:val="00A4355E"/>
    <w:rsid w:val="00A520D9"/>
    <w:rsid w:val="00A60B0E"/>
    <w:rsid w:val="00A64DA0"/>
    <w:rsid w:val="00A65C2A"/>
    <w:rsid w:val="00A710A9"/>
    <w:rsid w:val="00A74866"/>
    <w:rsid w:val="00A7535A"/>
    <w:rsid w:val="00A849D4"/>
    <w:rsid w:val="00A912E6"/>
    <w:rsid w:val="00A92306"/>
    <w:rsid w:val="00A92BCD"/>
    <w:rsid w:val="00AA1B0E"/>
    <w:rsid w:val="00AA36B6"/>
    <w:rsid w:val="00AA42D3"/>
    <w:rsid w:val="00AA47B6"/>
    <w:rsid w:val="00AB6333"/>
    <w:rsid w:val="00AC06C0"/>
    <w:rsid w:val="00AC163B"/>
    <w:rsid w:val="00AC5CA7"/>
    <w:rsid w:val="00AC6058"/>
    <w:rsid w:val="00AD0932"/>
    <w:rsid w:val="00AD3816"/>
    <w:rsid w:val="00AE2BA5"/>
    <w:rsid w:val="00AE56B1"/>
    <w:rsid w:val="00AE6D09"/>
    <w:rsid w:val="00AF7A7C"/>
    <w:rsid w:val="00B02070"/>
    <w:rsid w:val="00B15F6F"/>
    <w:rsid w:val="00B23294"/>
    <w:rsid w:val="00B258FE"/>
    <w:rsid w:val="00B26A8A"/>
    <w:rsid w:val="00B33CF9"/>
    <w:rsid w:val="00B3610E"/>
    <w:rsid w:val="00B408B6"/>
    <w:rsid w:val="00B516DC"/>
    <w:rsid w:val="00B542DA"/>
    <w:rsid w:val="00B66B7D"/>
    <w:rsid w:val="00B73862"/>
    <w:rsid w:val="00B73F43"/>
    <w:rsid w:val="00B75BBF"/>
    <w:rsid w:val="00B81CDC"/>
    <w:rsid w:val="00B94AC2"/>
    <w:rsid w:val="00BA308C"/>
    <w:rsid w:val="00BA64CC"/>
    <w:rsid w:val="00BA6B66"/>
    <w:rsid w:val="00BA6E48"/>
    <w:rsid w:val="00BA7C74"/>
    <w:rsid w:val="00BB60D5"/>
    <w:rsid w:val="00BC5A51"/>
    <w:rsid w:val="00BC5F34"/>
    <w:rsid w:val="00BD1174"/>
    <w:rsid w:val="00BD60AF"/>
    <w:rsid w:val="00BD7FA5"/>
    <w:rsid w:val="00BE0AF6"/>
    <w:rsid w:val="00BE0E6E"/>
    <w:rsid w:val="00BE1F03"/>
    <w:rsid w:val="00BE4CCE"/>
    <w:rsid w:val="00BE58A7"/>
    <w:rsid w:val="00BF2218"/>
    <w:rsid w:val="00BF7071"/>
    <w:rsid w:val="00C023D4"/>
    <w:rsid w:val="00C0426B"/>
    <w:rsid w:val="00C045DF"/>
    <w:rsid w:val="00C260B7"/>
    <w:rsid w:val="00C26D43"/>
    <w:rsid w:val="00C35173"/>
    <w:rsid w:val="00C35C21"/>
    <w:rsid w:val="00C43F4A"/>
    <w:rsid w:val="00C46548"/>
    <w:rsid w:val="00C53B3A"/>
    <w:rsid w:val="00C574D5"/>
    <w:rsid w:val="00C60CD0"/>
    <w:rsid w:val="00C65CE1"/>
    <w:rsid w:val="00C73F32"/>
    <w:rsid w:val="00C838F3"/>
    <w:rsid w:val="00C851E4"/>
    <w:rsid w:val="00C87462"/>
    <w:rsid w:val="00C91014"/>
    <w:rsid w:val="00C92BFB"/>
    <w:rsid w:val="00CA180C"/>
    <w:rsid w:val="00CB0324"/>
    <w:rsid w:val="00CB22B2"/>
    <w:rsid w:val="00CC0D38"/>
    <w:rsid w:val="00CC3EE2"/>
    <w:rsid w:val="00CD6C0E"/>
    <w:rsid w:val="00CD7492"/>
    <w:rsid w:val="00CE3A6B"/>
    <w:rsid w:val="00D00211"/>
    <w:rsid w:val="00D006D1"/>
    <w:rsid w:val="00D0100E"/>
    <w:rsid w:val="00D025AE"/>
    <w:rsid w:val="00D03109"/>
    <w:rsid w:val="00D06309"/>
    <w:rsid w:val="00D138A6"/>
    <w:rsid w:val="00D30170"/>
    <w:rsid w:val="00D31928"/>
    <w:rsid w:val="00D351EA"/>
    <w:rsid w:val="00D40288"/>
    <w:rsid w:val="00D43403"/>
    <w:rsid w:val="00D450BB"/>
    <w:rsid w:val="00D50A6B"/>
    <w:rsid w:val="00D5270B"/>
    <w:rsid w:val="00D54C5E"/>
    <w:rsid w:val="00D60E48"/>
    <w:rsid w:val="00D62E71"/>
    <w:rsid w:val="00D6430D"/>
    <w:rsid w:val="00D66188"/>
    <w:rsid w:val="00D678C2"/>
    <w:rsid w:val="00D731F6"/>
    <w:rsid w:val="00D740CA"/>
    <w:rsid w:val="00D816F8"/>
    <w:rsid w:val="00D85728"/>
    <w:rsid w:val="00D85B62"/>
    <w:rsid w:val="00D92FC6"/>
    <w:rsid w:val="00D95481"/>
    <w:rsid w:val="00D96E40"/>
    <w:rsid w:val="00DB63FC"/>
    <w:rsid w:val="00DB67E5"/>
    <w:rsid w:val="00DC55BA"/>
    <w:rsid w:val="00DC7A13"/>
    <w:rsid w:val="00DD23F9"/>
    <w:rsid w:val="00DE6495"/>
    <w:rsid w:val="00DE69D0"/>
    <w:rsid w:val="00DE7064"/>
    <w:rsid w:val="00DF2997"/>
    <w:rsid w:val="00DF742A"/>
    <w:rsid w:val="00E10BC4"/>
    <w:rsid w:val="00E1415D"/>
    <w:rsid w:val="00E213BD"/>
    <w:rsid w:val="00E233D3"/>
    <w:rsid w:val="00E23FDE"/>
    <w:rsid w:val="00E323E9"/>
    <w:rsid w:val="00E32FB6"/>
    <w:rsid w:val="00E34018"/>
    <w:rsid w:val="00E437D2"/>
    <w:rsid w:val="00E43BF9"/>
    <w:rsid w:val="00E43E4A"/>
    <w:rsid w:val="00E44ED8"/>
    <w:rsid w:val="00E47BC6"/>
    <w:rsid w:val="00E51930"/>
    <w:rsid w:val="00E54B70"/>
    <w:rsid w:val="00E55751"/>
    <w:rsid w:val="00E5652C"/>
    <w:rsid w:val="00E7398E"/>
    <w:rsid w:val="00E82B94"/>
    <w:rsid w:val="00E87217"/>
    <w:rsid w:val="00E95AD3"/>
    <w:rsid w:val="00EA2311"/>
    <w:rsid w:val="00EB70E6"/>
    <w:rsid w:val="00EC0BEB"/>
    <w:rsid w:val="00EC7BC3"/>
    <w:rsid w:val="00ED4EB4"/>
    <w:rsid w:val="00ED7600"/>
    <w:rsid w:val="00EE417B"/>
    <w:rsid w:val="00EF6073"/>
    <w:rsid w:val="00EF698B"/>
    <w:rsid w:val="00F03F05"/>
    <w:rsid w:val="00F1362C"/>
    <w:rsid w:val="00F15C87"/>
    <w:rsid w:val="00F37281"/>
    <w:rsid w:val="00F379A4"/>
    <w:rsid w:val="00F414F1"/>
    <w:rsid w:val="00F508B8"/>
    <w:rsid w:val="00F547AB"/>
    <w:rsid w:val="00F721CE"/>
    <w:rsid w:val="00F72CB1"/>
    <w:rsid w:val="00F8215E"/>
    <w:rsid w:val="00F824F5"/>
    <w:rsid w:val="00F83B29"/>
    <w:rsid w:val="00F90FAB"/>
    <w:rsid w:val="00F9374D"/>
    <w:rsid w:val="00FA6A58"/>
    <w:rsid w:val="00FB0105"/>
    <w:rsid w:val="00FB6924"/>
    <w:rsid w:val="00FC29B9"/>
    <w:rsid w:val="00FC54B5"/>
    <w:rsid w:val="00FC6FD3"/>
    <w:rsid w:val="00FD1F42"/>
    <w:rsid w:val="00FD2F7D"/>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A16A3417-83AC-4246-A5CF-B60D38A3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267542168">
      <w:bodyDiv w:val="1"/>
      <w:marLeft w:val="0"/>
      <w:marRight w:val="0"/>
      <w:marTop w:val="0"/>
      <w:marBottom w:val="0"/>
      <w:divBdr>
        <w:top w:val="none" w:sz="0" w:space="0" w:color="auto"/>
        <w:left w:val="none" w:sz="0" w:space="0" w:color="auto"/>
        <w:bottom w:val="none" w:sz="0" w:space="0" w:color="auto"/>
        <w:right w:val="none" w:sz="0" w:space="0" w:color="auto"/>
      </w:divBdr>
    </w:div>
    <w:div w:id="29514123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56039">
      <w:bodyDiv w:val="1"/>
      <w:marLeft w:val="0"/>
      <w:marRight w:val="0"/>
      <w:marTop w:val="0"/>
      <w:marBottom w:val="0"/>
      <w:divBdr>
        <w:top w:val="none" w:sz="0" w:space="0" w:color="auto"/>
        <w:left w:val="none" w:sz="0" w:space="0" w:color="auto"/>
        <w:bottom w:val="none" w:sz="0" w:space="0" w:color="auto"/>
        <w:right w:val="none" w:sz="0" w:space="0" w:color="auto"/>
      </w:divBdr>
    </w:div>
    <w:div w:id="437333521">
      <w:bodyDiv w:val="1"/>
      <w:marLeft w:val="0"/>
      <w:marRight w:val="0"/>
      <w:marTop w:val="0"/>
      <w:marBottom w:val="0"/>
      <w:divBdr>
        <w:top w:val="none" w:sz="0" w:space="0" w:color="auto"/>
        <w:left w:val="none" w:sz="0" w:space="0" w:color="auto"/>
        <w:bottom w:val="none" w:sz="0" w:space="0" w:color="auto"/>
        <w:right w:val="none" w:sz="0" w:space="0" w:color="auto"/>
      </w:divBdr>
    </w:div>
    <w:div w:id="566569875">
      <w:bodyDiv w:val="1"/>
      <w:marLeft w:val="0"/>
      <w:marRight w:val="0"/>
      <w:marTop w:val="0"/>
      <w:marBottom w:val="0"/>
      <w:divBdr>
        <w:top w:val="none" w:sz="0" w:space="0" w:color="auto"/>
        <w:left w:val="none" w:sz="0" w:space="0" w:color="auto"/>
        <w:bottom w:val="none" w:sz="0" w:space="0" w:color="auto"/>
        <w:right w:val="none" w:sz="0" w:space="0" w:color="auto"/>
      </w:divBdr>
    </w:div>
    <w:div w:id="728111051">
      <w:bodyDiv w:val="1"/>
      <w:marLeft w:val="0"/>
      <w:marRight w:val="0"/>
      <w:marTop w:val="0"/>
      <w:marBottom w:val="0"/>
      <w:divBdr>
        <w:top w:val="none" w:sz="0" w:space="0" w:color="auto"/>
        <w:left w:val="none" w:sz="0" w:space="0" w:color="auto"/>
        <w:bottom w:val="none" w:sz="0" w:space="0" w:color="auto"/>
        <w:right w:val="none" w:sz="0" w:space="0" w:color="auto"/>
      </w:divBdr>
    </w:div>
    <w:div w:id="742685453">
      <w:bodyDiv w:val="1"/>
      <w:marLeft w:val="0"/>
      <w:marRight w:val="0"/>
      <w:marTop w:val="0"/>
      <w:marBottom w:val="0"/>
      <w:divBdr>
        <w:top w:val="none" w:sz="0" w:space="0" w:color="auto"/>
        <w:left w:val="none" w:sz="0" w:space="0" w:color="auto"/>
        <w:bottom w:val="none" w:sz="0" w:space="0" w:color="auto"/>
        <w:right w:val="none" w:sz="0" w:space="0" w:color="auto"/>
      </w:divBdr>
      <w:divsChild>
        <w:div w:id="830948561">
          <w:marLeft w:val="0"/>
          <w:marRight w:val="0"/>
          <w:marTop w:val="0"/>
          <w:marBottom w:val="0"/>
          <w:divBdr>
            <w:top w:val="none" w:sz="0" w:space="0" w:color="auto"/>
            <w:left w:val="none" w:sz="0" w:space="0" w:color="auto"/>
            <w:bottom w:val="none" w:sz="0" w:space="0" w:color="auto"/>
            <w:right w:val="none" w:sz="0" w:space="0" w:color="auto"/>
          </w:divBdr>
        </w:div>
      </w:divsChild>
    </w:div>
    <w:div w:id="836071418">
      <w:bodyDiv w:val="1"/>
      <w:marLeft w:val="0"/>
      <w:marRight w:val="0"/>
      <w:marTop w:val="0"/>
      <w:marBottom w:val="0"/>
      <w:divBdr>
        <w:top w:val="none" w:sz="0" w:space="0" w:color="auto"/>
        <w:left w:val="none" w:sz="0" w:space="0" w:color="auto"/>
        <w:bottom w:val="none" w:sz="0" w:space="0" w:color="auto"/>
        <w:right w:val="none" w:sz="0" w:space="0" w:color="auto"/>
      </w:divBdr>
    </w:div>
    <w:div w:id="873689448">
      <w:bodyDiv w:val="1"/>
      <w:marLeft w:val="0"/>
      <w:marRight w:val="0"/>
      <w:marTop w:val="0"/>
      <w:marBottom w:val="0"/>
      <w:divBdr>
        <w:top w:val="none" w:sz="0" w:space="0" w:color="auto"/>
        <w:left w:val="none" w:sz="0" w:space="0" w:color="auto"/>
        <w:bottom w:val="none" w:sz="0" w:space="0" w:color="auto"/>
        <w:right w:val="none" w:sz="0" w:space="0" w:color="auto"/>
      </w:divBdr>
    </w:div>
    <w:div w:id="1087576572">
      <w:bodyDiv w:val="1"/>
      <w:marLeft w:val="0"/>
      <w:marRight w:val="0"/>
      <w:marTop w:val="0"/>
      <w:marBottom w:val="0"/>
      <w:divBdr>
        <w:top w:val="none" w:sz="0" w:space="0" w:color="auto"/>
        <w:left w:val="none" w:sz="0" w:space="0" w:color="auto"/>
        <w:bottom w:val="none" w:sz="0" w:space="0" w:color="auto"/>
        <w:right w:val="none" w:sz="0" w:space="0" w:color="auto"/>
      </w:divBdr>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297492276">
      <w:bodyDiv w:val="1"/>
      <w:marLeft w:val="0"/>
      <w:marRight w:val="0"/>
      <w:marTop w:val="0"/>
      <w:marBottom w:val="0"/>
      <w:divBdr>
        <w:top w:val="none" w:sz="0" w:space="0" w:color="auto"/>
        <w:left w:val="none" w:sz="0" w:space="0" w:color="auto"/>
        <w:bottom w:val="none" w:sz="0" w:space="0" w:color="auto"/>
        <w:right w:val="none" w:sz="0" w:space="0" w:color="auto"/>
      </w:divBdr>
    </w:div>
    <w:div w:id="18110927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5235">
      <w:bodyDiv w:val="1"/>
      <w:marLeft w:val="0"/>
      <w:marRight w:val="0"/>
      <w:marTop w:val="0"/>
      <w:marBottom w:val="0"/>
      <w:divBdr>
        <w:top w:val="none" w:sz="0" w:space="0" w:color="auto"/>
        <w:left w:val="none" w:sz="0" w:space="0" w:color="auto"/>
        <w:bottom w:val="none" w:sz="0" w:space="0" w:color="auto"/>
        <w:right w:val="none" w:sz="0" w:space="0" w:color="auto"/>
      </w:divBdr>
      <w:divsChild>
        <w:div w:id="443237030">
          <w:marLeft w:val="0"/>
          <w:marRight w:val="0"/>
          <w:marTop w:val="0"/>
          <w:marBottom w:val="0"/>
          <w:divBdr>
            <w:top w:val="none" w:sz="0" w:space="0" w:color="auto"/>
            <w:left w:val="none" w:sz="0" w:space="0" w:color="auto"/>
            <w:bottom w:val="none" w:sz="0" w:space="0" w:color="auto"/>
            <w:right w:val="none" w:sz="0" w:space="0" w:color="auto"/>
          </w:divBdr>
        </w:div>
      </w:divsChild>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RBI5PAMIO524-1616901215-50460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https://nokia.sharepoint.com/sites/gxp/_layouts/15/DocIdRedir.aspx?ID=RBI5PAMIO524-1616901215-50460</Url>
      <Description>RBI5PAMIO524-1616901215-50460</Description>
    </_dlc_DocIdUrl>
    <Comments xmlns="3f2ce089-3858-4176-9a21-a30f9204848e">OK</Comments>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F56727D3-8BA6-4A73-86B8-1F3CA3FC913E}">
  <ds:schemaRefs>
    <ds:schemaRef ds:uri="http://purl.org/dc/terms/"/>
    <ds:schemaRef ds:uri="71c5aaf6-e6ce-465b-b873-5148d2a4c105"/>
    <ds:schemaRef ds:uri="7275bb01-7583-478d-bc14-e839a2dd5989"/>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3f2ce089-3858-4176-9a21-a30f9204848e"/>
    <ds:schemaRef ds:uri="http://purl.org/dc/elements/1.1/"/>
  </ds:schemaRefs>
</ds:datastoreItem>
</file>

<file path=customXml/itemProps6.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TDoc_Template_RAN4#114bis-light</Template>
  <TotalTime>0</TotalTime>
  <Pages>4</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cp:revision>
  <dcterms:created xsi:type="dcterms:W3CDTF">2025-08-12T11:10:00Z</dcterms:created>
  <dcterms:modified xsi:type="dcterms:W3CDTF">2025-08-12T11:10:00Z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06c7db44-5492-48d6-8fb2-7ee60af75bdd</vt:lpwstr>
  </property>
</Properties>
</file>