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18E9BFA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6D1DE4">
        <w:rPr>
          <w:rFonts w:ascii="Arial" w:eastAsiaTheme="minorEastAsia" w:hAnsi="Arial" w:cs="Arial"/>
          <w:b/>
          <w:sz w:val="24"/>
          <w:szCs w:val="24"/>
          <w:lang w:eastAsia="zh-CN"/>
        </w:rPr>
        <w:t>11</w:t>
      </w:r>
      <w:r w:rsidR="00B235A7">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006D1DE4">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44AF5B5E" w:rsidR="003A2B9E" w:rsidRPr="00B235A7" w:rsidRDefault="00B235A7" w:rsidP="003A2B9E">
      <w:pPr>
        <w:spacing w:after="120"/>
        <w:ind w:left="1985" w:hanging="1985"/>
        <w:rPr>
          <w:rFonts w:ascii="Arial" w:hAnsi="Arial"/>
          <w:b/>
          <w:sz w:val="24"/>
          <w:szCs w:val="24"/>
          <w:lang w:eastAsia="zh-CN"/>
        </w:rPr>
      </w:pPr>
      <w:r w:rsidRPr="00B235A7">
        <w:rPr>
          <w:rFonts w:ascii="Arial" w:hAnsi="Arial"/>
          <w:b/>
          <w:sz w:val="24"/>
          <w:szCs w:val="24"/>
          <w:lang w:eastAsia="zh-CN"/>
        </w:rPr>
        <w:t>Bengaluru</w:t>
      </w:r>
      <w:r>
        <w:rPr>
          <w:rFonts w:ascii="Arial" w:hAnsi="Arial"/>
          <w:b/>
          <w:sz w:val="24"/>
          <w:szCs w:val="24"/>
          <w:lang w:eastAsia="zh-CN"/>
        </w:rPr>
        <w:t>, India</w:t>
      </w:r>
      <w:r w:rsidR="00CC3582">
        <w:rPr>
          <w:rFonts w:ascii="Arial" w:hAnsi="Arial"/>
          <w:b/>
          <w:sz w:val="24"/>
          <w:szCs w:val="24"/>
          <w:lang w:eastAsia="zh-CN"/>
        </w:rPr>
        <w:t xml:space="preserve">, </w:t>
      </w:r>
      <w:r>
        <w:rPr>
          <w:rFonts w:ascii="Arial" w:hAnsi="Arial"/>
          <w:b/>
          <w:sz w:val="24"/>
          <w:szCs w:val="24"/>
          <w:lang w:eastAsia="zh-CN"/>
        </w:rPr>
        <w:t>25</w:t>
      </w:r>
      <w:r w:rsidR="006D1DE4" w:rsidRPr="00B235A7">
        <w:rPr>
          <w:rFonts w:ascii="Arial" w:hAnsi="Arial"/>
          <w:b/>
          <w:sz w:val="24"/>
          <w:szCs w:val="24"/>
          <w:lang w:eastAsia="zh-CN"/>
        </w:rPr>
        <w:t>th</w:t>
      </w:r>
      <w:r w:rsidR="006D1DE4">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sidR="006D1DE4">
        <w:rPr>
          <w:rFonts w:ascii="Arial" w:hAnsi="Arial"/>
          <w:b/>
          <w:sz w:val="24"/>
          <w:szCs w:val="24"/>
          <w:lang w:eastAsia="zh-CN"/>
        </w:rPr>
        <w:t>2</w:t>
      </w:r>
      <w:r>
        <w:rPr>
          <w:rFonts w:ascii="Arial" w:hAnsi="Arial"/>
          <w:b/>
          <w:sz w:val="24"/>
          <w:szCs w:val="24"/>
          <w:lang w:eastAsia="zh-CN"/>
        </w:rPr>
        <w:t>9</w:t>
      </w:r>
      <w:r w:rsidRPr="00B235A7">
        <w:rPr>
          <w:rFonts w:ascii="Arial" w:hAnsi="Arial"/>
          <w:b/>
          <w:sz w:val="24"/>
          <w:szCs w:val="24"/>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53CF3F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D1DE4">
        <w:rPr>
          <w:rFonts w:ascii="Arial" w:eastAsiaTheme="minorEastAsia" w:hAnsi="Arial" w:cs="Arial" w:hint="eastAsia"/>
          <w:color w:val="000000"/>
          <w:sz w:val="22"/>
          <w:lang w:eastAsia="zh-CN"/>
        </w:rPr>
        <w:t>9.1</w:t>
      </w:r>
    </w:p>
    <w:p w14:paraId="50D5329D" w14:textId="1387F2C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6D1DE4">
        <w:rPr>
          <w:rFonts w:ascii="Arial" w:hAnsi="Arial" w:cs="Arial"/>
          <w:color w:val="000000"/>
          <w:sz w:val="22"/>
          <w:lang w:eastAsia="zh-CN"/>
        </w:rPr>
        <w:t>Moderator</w:t>
      </w:r>
      <w:r w:rsidR="00321150" w:rsidRPr="006D1DE4">
        <w:rPr>
          <w:rFonts w:ascii="Arial" w:hAnsi="Arial" w:cs="Arial"/>
          <w:color w:val="000000"/>
          <w:sz w:val="22"/>
          <w:lang w:eastAsia="zh-CN"/>
        </w:rPr>
        <w:t xml:space="preserve"> </w:t>
      </w:r>
      <w:r w:rsidR="004D737D" w:rsidRPr="006D1DE4">
        <w:rPr>
          <w:rFonts w:ascii="Arial" w:hAnsi="Arial" w:cs="Arial"/>
          <w:color w:val="000000"/>
          <w:sz w:val="22"/>
          <w:lang w:eastAsia="zh-CN"/>
        </w:rPr>
        <w:t>(</w:t>
      </w:r>
      <w:r w:rsidR="006D1DE4" w:rsidRPr="006D1DE4">
        <w:rPr>
          <w:rFonts w:ascii="Arial" w:hAnsi="Arial" w:cs="Arial" w:hint="eastAsia"/>
          <w:color w:val="000000"/>
          <w:sz w:val="22"/>
          <w:lang w:eastAsia="zh-CN"/>
        </w:rPr>
        <w:t>Apple</w:t>
      </w:r>
      <w:r w:rsidR="004D737D" w:rsidRPr="006D1DE4">
        <w:rPr>
          <w:rFonts w:ascii="Arial" w:hAnsi="Arial" w:cs="Arial"/>
          <w:color w:val="000000"/>
          <w:sz w:val="22"/>
          <w:lang w:eastAsia="zh-CN"/>
        </w:rPr>
        <w:t>)</w:t>
      </w:r>
    </w:p>
    <w:p w14:paraId="1E0389E7" w14:textId="5E2420C1" w:rsidR="00915D73" w:rsidRPr="006D1DE4"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6D1DE4">
        <w:rPr>
          <w:rFonts w:ascii="Arial" w:eastAsiaTheme="minorEastAsia" w:hAnsi="Arial" w:cs="Arial" w:hint="eastAsia"/>
          <w:color w:val="000000"/>
          <w:sz w:val="22"/>
          <w:lang w:eastAsia="zh-CN"/>
        </w:rPr>
        <w:t>115</w:t>
      </w:r>
      <w:r w:rsidR="00533159" w:rsidRPr="00533159">
        <w:rPr>
          <w:rFonts w:ascii="Arial" w:eastAsiaTheme="minorEastAsia" w:hAnsi="Arial" w:cs="Arial"/>
          <w:color w:val="000000"/>
          <w:sz w:val="22"/>
          <w:lang w:eastAsia="zh-CN"/>
        </w:rPr>
        <w:t>][</w:t>
      </w:r>
      <w:r w:rsidR="006D1DE4">
        <w:rPr>
          <w:rFonts w:ascii="Arial" w:eastAsiaTheme="minorEastAsia" w:hAnsi="Arial" w:cs="Arial" w:hint="eastAsia"/>
          <w:color w:val="000000"/>
          <w:sz w:val="22"/>
          <w:lang w:eastAsia="zh-CN"/>
        </w:rPr>
        <w:t>231</w:t>
      </w:r>
      <w:r w:rsidR="00533159" w:rsidRPr="00533159">
        <w:rPr>
          <w:rFonts w:ascii="Arial" w:eastAsiaTheme="minorEastAsia" w:hAnsi="Arial" w:cs="Arial"/>
          <w:color w:val="000000"/>
          <w:sz w:val="22"/>
          <w:lang w:eastAsia="zh-CN"/>
        </w:rPr>
        <w:t xml:space="preserve">] </w:t>
      </w:r>
      <w:r w:rsidR="006D1DE4">
        <w:rPr>
          <w:rFonts w:ascii="Arial" w:eastAsiaTheme="minorEastAsia" w:hAnsi="Arial" w:cs="Arial" w:hint="eastAsia"/>
          <w:color w:val="000000"/>
          <w:sz w:val="22"/>
          <w:lang w:eastAsia="zh-CN"/>
        </w:rPr>
        <w:t>Reply</w:t>
      </w:r>
      <w:r w:rsidR="006D1DE4">
        <w:rPr>
          <w:rFonts w:ascii="Arial" w:eastAsiaTheme="minorEastAsia" w:hAnsi="Arial" w:cs="Arial"/>
          <w:color w:val="000000"/>
          <w:sz w:val="22"/>
          <w:lang w:val="en-US" w:eastAsia="zh-CN"/>
        </w:rPr>
        <w:t>_LS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9331C63" w14:textId="14FDD9E8" w:rsidR="006D1DE4" w:rsidRDefault="006D1DE4" w:rsidP="00642BC6">
      <w:pPr>
        <w:rPr>
          <w:i/>
          <w:color w:val="0070C0"/>
          <w:lang w:eastAsia="zh-CN"/>
        </w:rPr>
      </w:pPr>
      <w:r>
        <w:rPr>
          <w:i/>
          <w:color w:val="0070C0"/>
          <w:lang w:eastAsia="zh-CN"/>
        </w:rPr>
        <w:t>This summary covers the following topic in AI 9.2, AI 9.3 and AI 9.4.</w:t>
      </w:r>
    </w:p>
    <w:p w14:paraId="1A286333" w14:textId="13E08461" w:rsidR="00484C5D" w:rsidRPr="00F32B27" w:rsidRDefault="006D1DE4" w:rsidP="00642BC6">
      <w:pPr>
        <w:rPr>
          <w:i/>
          <w:color w:val="0070C0"/>
          <w:lang w:val="en-US" w:eastAsia="zh-CN"/>
        </w:rPr>
      </w:pPr>
      <w:r w:rsidRPr="00135AB6">
        <w:rPr>
          <w:bCs/>
          <w:lang w:val="en-US"/>
        </w:rPr>
        <w:t>R2-250</w:t>
      </w:r>
      <w:r w:rsidR="00C87034">
        <w:rPr>
          <w:rFonts w:hint="eastAsia"/>
          <w:bCs/>
          <w:lang w:val="en-US" w:eastAsia="zh-CN"/>
        </w:rPr>
        <w:t>4982</w:t>
      </w:r>
      <w:r>
        <w:rPr>
          <w:bCs/>
          <w:lang w:val="en-US" w:eastAsia="zh-CN"/>
        </w:rPr>
        <w:tab/>
      </w:r>
      <w:r>
        <w:rPr>
          <w:bCs/>
          <w:lang w:val="en-US" w:eastAsia="zh-CN"/>
        </w:rPr>
        <w:tab/>
      </w:r>
      <w:r w:rsidR="00C87034" w:rsidRPr="00C87034">
        <w:rPr>
          <w:bCs/>
          <w:lang w:val="en-US" w:eastAsia="zh-CN"/>
        </w:rPr>
        <w:t xml:space="preserve">Reply LS on </w:t>
      </w:r>
      <w:proofErr w:type="spellStart"/>
      <w:r w:rsidR="00C87034" w:rsidRPr="00C87034">
        <w:rPr>
          <w:rFonts w:hint="eastAsia"/>
          <w:bCs/>
          <w:lang w:val="en-US" w:eastAsia="zh-CN"/>
        </w:rPr>
        <w:t>neighboring</w:t>
      </w:r>
      <w:proofErr w:type="spellEnd"/>
      <w:r w:rsidR="00C87034" w:rsidRPr="00C87034">
        <w:rPr>
          <w:rFonts w:hint="eastAsia"/>
          <w:bCs/>
          <w:lang w:val="en-US" w:eastAsia="zh-CN"/>
        </w:rPr>
        <w:t xml:space="preserve"> cell measurement for Rel-18 SSB-less</w:t>
      </w:r>
      <w:r w:rsidRPr="00C87034">
        <w:rPr>
          <w:bCs/>
          <w:lang w:val="en-US" w:eastAsia="zh-CN"/>
        </w:rPr>
        <w:tab/>
      </w:r>
      <w:r w:rsidRPr="00C87034">
        <w:rPr>
          <w:bCs/>
          <w:lang w:val="en-US" w:eastAsia="zh-CN"/>
        </w:rPr>
        <w:tab/>
      </w:r>
    </w:p>
    <w:p w14:paraId="609286E5" w14:textId="585BE991" w:rsidR="00E80B52" w:rsidRPr="00805BE8" w:rsidRDefault="00142BB9" w:rsidP="00C87034">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proofErr w:type="spellStart"/>
      <w:r w:rsidR="00C87034">
        <w:rPr>
          <w:rFonts w:hint="eastAsia"/>
          <w:lang w:eastAsia="zh-CN"/>
        </w:rPr>
        <w:t>Neighbor</w:t>
      </w:r>
      <w:proofErr w:type="spellEnd"/>
      <w:r w:rsidR="00C87034">
        <w:rPr>
          <w:rFonts w:hint="eastAsia"/>
          <w:lang w:eastAsia="zh-CN"/>
        </w:rPr>
        <w:t xml:space="preserve"> cell </w:t>
      </w:r>
      <w:proofErr w:type="spellStart"/>
      <w:r w:rsidR="00C87034">
        <w:rPr>
          <w:rFonts w:hint="eastAsia"/>
          <w:lang w:eastAsia="zh-CN"/>
        </w:rPr>
        <w:t>measurement</w:t>
      </w:r>
      <w:proofErr w:type="spellEnd"/>
      <w:r w:rsidR="00C87034">
        <w:rPr>
          <w:rFonts w:hint="eastAsia"/>
          <w:lang w:eastAsia="zh-CN"/>
        </w:rPr>
        <w:t xml:space="preserve"> for SSB-less </w:t>
      </w:r>
      <w:proofErr w:type="spellStart"/>
      <w:r w:rsidR="00C87034">
        <w:rPr>
          <w:rFonts w:hint="eastAsia"/>
          <w:lang w:eastAsia="zh-CN"/>
        </w:rPr>
        <w:t>SCell</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916"/>
        <w:gridCol w:w="1064"/>
        <w:gridCol w:w="2039"/>
        <w:gridCol w:w="5612"/>
      </w:tblGrid>
      <w:tr w:rsidR="006D1DE4" w:rsidRPr="00F53FE2" w14:paraId="0411894B" w14:textId="77777777" w:rsidTr="00EF57F8">
        <w:trPr>
          <w:trHeight w:val="468"/>
        </w:trPr>
        <w:tc>
          <w:tcPr>
            <w:tcW w:w="916" w:type="dxa"/>
            <w:vAlign w:val="center"/>
          </w:tcPr>
          <w:p w14:paraId="2F14AAAF" w14:textId="0E1491F7" w:rsidR="006D1DE4" w:rsidRPr="00805BE8" w:rsidRDefault="006D1DE4" w:rsidP="00805BE8">
            <w:pPr>
              <w:spacing w:before="120" w:after="120"/>
              <w:rPr>
                <w:b/>
                <w:bCs/>
              </w:rPr>
            </w:pPr>
            <w:r w:rsidRPr="00805BE8">
              <w:rPr>
                <w:b/>
                <w:bCs/>
              </w:rPr>
              <w:t>T-doc number</w:t>
            </w:r>
          </w:p>
        </w:tc>
        <w:tc>
          <w:tcPr>
            <w:tcW w:w="1064" w:type="dxa"/>
          </w:tcPr>
          <w:p w14:paraId="7D95DB5C" w14:textId="39BF30E8" w:rsidR="006D1DE4" w:rsidRPr="00805BE8" w:rsidRDefault="006D1DE4" w:rsidP="00805BE8">
            <w:pPr>
              <w:spacing w:before="120" w:after="120"/>
              <w:rPr>
                <w:b/>
                <w:bCs/>
              </w:rPr>
            </w:pPr>
            <w:r w:rsidRPr="00805BE8">
              <w:rPr>
                <w:b/>
                <w:bCs/>
              </w:rPr>
              <w:t>Company</w:t>
            </w:r>
          </w:p>
        </w:tc>
        <w:tc>
          <w:tcPr>
            <w:tcW w:w="2039" w:type="dxa"/>
            <w:vAlign w:val="center"/>
          </w:tcPr>
          <w:p w14:paraId="46E4D078" w14:textId="4B6263DD" w:rsidR="006D1DE4" w:rsidRPr="00805BE8" w:rsidRDefault="006D1DE4" w:rsidP="00805BE8">
            <w:pPr>
              <w:spacing w:before="120" w:after="120"/>
              <w:rPr>
                <w:b/>
                <w:bCs/>
              </w:rPr>
            </w:pPr>
            <w:r>
              <w:rPr>
                <w:b/>
                <w:bCs/>
                <w:lang w:eastAsia="zh-CN"/>
              </w:rPr>
              <w:t>T</w:t>
            </w:r>
            <w:r>
              <w:rPr>
                <w:rFonts w:hint="eastAsia"/>
                <w:b/>
                <w:bCs/>
                <w:lang w:eastAsia="zh-CN"/>
              </w:rPr>
              <w:t>itle</w:t>
            </w:r>
          </w:p>
        </w:tc>
        <w:tc>
          <w:tcPr>
            <w:tcW w:w="5612" w:type="dxa"/>
            <w:vAlign w:val="center"/>
          </w:tcPr>
          <w:p w14:paraId="531E5DB7" w14:textId="1856A816" w:rsidR="006D1DE4" w:rsidRPr="00805BE8" w:rsidRDefault="006D1DE4" w:rsidP="00805BE8">
            <w:pPr>
              <w:spacing w:before="120" w:after="120"/>
              <w:rPr>
                <w:b/>
                <w:bCs/>
              </w:rPr>
            </w:pPr>
            <w:r w:rsidRPr="00805BE8">
              <w:rPr>
                <w:b/>
                <w:bCs/>
              </w:rPr>
              <w:t>Proposals</w:t>
            </w:r>
            <w:r>
              <w:rPr>
                <w:b/>
                <w:bCs/>
              </w:rPr>
              <w:t xml:space="preserve"> / Observations</w:t>
            </w:r>
          </w:p>
        </w:tc>
      </w:tr>
      <w:tr w:rsidR="006D1DE4" w:rsidRPr="00EF57F8" w14:paraId="4246E76B" w14:textId="77777777" w:rsidTr="00EF57F8">
        <w:trPr>
          <w:trHeight w:val="468"/>
        </w:trPr>
        <w:tc>
          <w:tcPr>
            <w:tcW w:w="916" w:type="dxa"/>
          </w:tcPr>
          <w:p w14:paraId="12FD4C09" w14:textId="2B619069" w:rsidR="006D1DE4" w:rsidRPr="00EF57F8" w:rsidRDefault="00EF57F8" w:rsidP="006D1DE4">
            <w:pPr>
              <w:spacing w:before="120" w:after="120"/>
            </w:pPr>
            <w:r w:rsidRPr="00EF57F8">
              <w:rPr>
                <w:lang w:eastAsia="zh-CN"/>
              </w:rPr>
              <w:t>R4-2509707</w:t>
            </w:r>
          </w:p>
        </w:tc>
        <w:tc>
          <w:tcPr>
            <w:tcW w:w="1064" w:type="dxa"/>
          </w:tcPr>
          <w:p w14:paraId="109A9D77" w14:textId="21A1DD6F" w:rsidR="006D1DE4" w:rsidRPr="00EF57F8" w:rsidRDefault="00EF57F8" w:rsidP="006D1DE4">
            <w:pPr>
              <w:spacing w:before="120" w:after="120"/>
            </w:pPr>
            <w:r w:rsidRPr="00EF57F8">
              <w:rPr>
                <w:lang w:eastAsia="zh-CN"/>
              </w:rPr>
              <w:t>OPPO</w:t>
            </w:r>
          </w:p>
        </w:tc>
        <w:tc>
          <w:tcPr>
            <w:tcW w:w="2039" w:type="dxa"/>
          </w:tcPr>
          <w:p w14:paraId="1A5AAE84" w14:textId="52221E88" w:rsidR="006D1DE4" w:rsidRPr="00EF57F8" w:rsidRDefault="00EF57F8" w:rsidP="006D1DE4">
            <w:pPr>
              <w:spacing w:before="120" w:after="120"/>
              <w:rPr>
                <w:lang w:eastAsia="zh-CN"/>
              </w:rPr>
            </w:pPr>
            <w:r w:rsidRPr="00EF57F8">
              <w:rPr>
                <w:lang w:eastAsia="zh-CN"/>
              </w:rPr>
              <w:t>Discussion on neighboring cell measurement for Rel-18 SSB-less</w:t>
            </w:r>
          </w:p>
        </w:tc>
        <w:tc>
          <w:tcPr>
            <w:tcW w:w="5612" w:type="dxa"/>
          </w:tcPr>
          <w:p w14:paraId="21165851" w14:textId="77777777" w:rsidR="00EF57F8" w:rsidRPr="001464B8" w:rsidRDefault="00EF57F8" w:rsidP="00EF57F8">
            <w:pPr>
              <w:jc w:val="both"/>
              <w:rPr>
                <w:rFonts w:ascii="Microsoft YaHei" w:eastAsia="Microsoft YaHei" w:hAnsi="Microsoft YaHei" w:cs="Microsoft YaHei"/>
                <w:b/>
                <w:lang w:eastAsia="zh-CN"/>
              </w:rPr>
            </w:pPr>
            <w:r w:rsidRPr="001464B8">
              <w:rPr>
                <w:b/>
                <w:color w:val="000000" w:themeColor="text1"/>
              </w:rPr>
              <w:t xml:space="preserve">Proposal 1: </w:t>
            </w:r>
            <w:r w:rsidRPr="001464B8">
              <w:rPr>
                <w:b/>
                <w:lang w:eastAsia="ja-JP"/>
              </w:rPr>
              <w:t xml:space="preserve">If UE indicates the support of configuration of </w:t>
            </w:r>
            <w:proofErr w:type="spellStart"/>
            <w:r w:rsidRPr="001464B8">
              <w:rPr>
                <w:b/>
                <w:i/>
                <w:iCs/>
                <w:lang w:eastAsia="ja-JP"/>
              </w:rPr>
              <w:t>servingCellMO</w:t>
            </w:r>
            <w:proofErr w:type="spellEnd"/>
            <w:r w:rsidRPr="001464B8">
              <w:rPr>
                <w:b/>
                <w:lang w:eastAsia="ja-JP"/>
              </w:rPr>
              <w:t xml:space="preserve"> for </w:t>
            </w:r>
            <w:proofErr w:type="spellStart"/>
            <w:r w:rsidRPr="001464B8">
              <w:rPr>
                <w:b/>
                <w:lang w:eastAsia="ja-JP"/>
              </w:rPr>
              <w:t>SCell</w:t>
            </w:r>
            <w:proofErr w:type="spellEnd"/>
            <w:r w:rsidRPr="001464B8">
              <w:rPr>
                <w:b/>
                <w:lang w:eastAsia="ja-JP"/>
              </w:rPr>
              <w:t xml:space="preserve"> that does not transmit SS/PBCH block, the reference SS</w:t>
            </w:r>
            <w:r w:rsidRPr="001464B8">
              <w:rPr>
                <w:rFonts w:hint="eastAsia"/>
                <w:b/>
                <w:lang w:eastAsia="ja-JP"/>
              </w:rPr>
              <w:t>B</w:t>
            </w:r>
            <w:r w:rsidRPr="001464B8">
              <w:rPr>
                <w:b/>
                <w:lang w:eastAsia="ja-JP"/>
              </w:rPr>
              <w:t xml:space="preserve"> for intra-frequency measurement </w:t>
            </w:r>
            <w:r w:rsidRPr="001464B8">
              <w:rPr>
                <w:rFonts w:hint="eastAsia"/>
                <w:b/>
                <w:lang w:eastAsia="ja-JP"/>
              </w:rPr>
              <w:t>is</w:t>
            </w:r>
            <w:r w:rsidRPr="001464B8">
              <w:rPr>
                <w:b/>
                <w:lang w:eastAsia="ja-JP"/>
              </w:rPr>
              <w:t xml:space="preserve"> </w:t>
            </w:r>
            <w:r w:rsidRPr="001464B8">
              <w:rPr>
                <w:rFonts w:eastAsia="DengXian"/>
                <w:b/>
                <w:lang w:eastAsia="zh-CN"/>
              </w:rPr>
              <w:t xml:space="preserve">the SSB defined in </w:t>
            </w:r>
            <w:proofErr w:type="spellStart"/>
            <w:r w:rsidRPr="001464B8">
              <w:rPr>
                <w:rFonts w:eastAsia="DengXian"/>
                <w:b/>
                <w:i/>
                <w:iCs/>
                <w:lang w:eastAsia="zh-CN"/>
              </w:rPr>
              <w:t>servingCellMO</w:t>
            </w:r>
            <w:proofErr w:type="spellEnd"/>
            <w:r w:rsidRPr="001464B8">
              <w:rPr>
                <w:rFonts w:eastAsia="DengXian"/>
                <w:b/>
                <w:lang w:eastAsia="zh-CN"/>
              </w:rPr>
              <w:t xml:space="preserve"> </w:t>
            </w:r>
            <w:r w:rsidRPr="001464B8">
              <w:rPr>
                <w:b/>
                <w:lang w:eastAsia="ja-JP"/>
              </w:rPr>
              <w:t xml:space="preserve">associated with </w:t>
            </w:r>
            <w:proofErr w:type="spellStart"/>
            <w:r w:rsidRPr="001464B8">
              <w:rPr>
                <w:b/>
                <w:lang w:eastAsia="ja-JP"/>
              </w:rPr>
              <w:t>SCell</w:t>
            </w:r>
            <w:proofErr w:type="spellEnd"/>
            <w:r w:rsidRPr="001464B8">
              <w:rPr>
                <w:b/>
                <w:lang w:eastAsia="ja-JP"/>
              </w:rPr>
              <w:t>.</w:t>
            </w:r>
            <w:r w:rsidRPr="001464B8">
              <w:rPr>
                <w:rFonts w:ascii="Microsoft YaHei" w:eastAsia="Microsoft YaHei" w:hAnsi="Microsoft YaHei" w:cs="Microsoft YaHei" w:hint="eastAsia"/>
                <w:b/>
                <w:lang w:eastAsia="zh-CN"/>
              </w:rPr>
              <w:t xml:space="preserve"> </w:t>
            </w:r>
          </w:p>
          <w:p w14:paraId="7146D318" w14:textId="77777777" w:rsidR="00EF57F8" w:rsidRDefault="00EF57F8" w:rsidP="00EF57F8">
            <w:pPr>
              <w:jc w:val="both"/>
              <w:rPr>
                <w:b/>
                <w:bCs/>
                <w:lang w:eastAsia="ja-JP"/>
              </w:rPr>
            </w:pPr>
            <w:r w:rsidRPr="001464B8">
              <w:rPr>
                <w:b/>
                <w:bCs/>
                <w:lang w:eastAsia="ja-JP"/>
              </w:rPr>
              <w:t xml:space="preserve">Proposal 2: If UE does not support this capability, any SSB of the neighbour cell which falls into the cell bandwidth of the </w:t>
            </w:r>
            <w:proofErr w:type="spellStart"/>
            <w:r w:rsidRPr="001464B8">
              <w:rPr>
                <w:b/>
                <w:bCs/>
                <w:lang w:eastAsia="ja-JP"/>
              </w:rPr>
              <w:t>SCell</w:t>
            </w:r>
            <w:proofErr w:type="spellEnd"/>
            <w:r w:rsidRPr="001464B8">
              <w:rPr>
                <w:b/>
                <w:bCs/>
                <w:lang w:eastAsia="ja-JP"/>
              </w:rPr>
              <w:t xml:space="preserve"> is defined as inter-frequency SSB, provided that the associated </w:t>
            </w:r>
            <w:proofErr w:type="spellStart"/>
            <w:r w:rsidRPr="001464B8">
              <w:rPr>
                <w:b/>
                <w:bCs/>
                <w:lang w:eastAsia="ja-JP"/>
              </w:rPr>
              <w:t>SCell</w:t>
            </w:r>
            <w:proofErr w:type="spellEnd"/>
            <w:r w:rsidRPr="001464B8">
              <w:rPr>
                <w:b/>
                <w:bCs/>
                <w:lang w:eastAsia="ja-JP"/>
              </w:rPr>
              <w:t xml:space="preserve"> does not transmit SSB.</w:t>
            </w:r>
          </w:p>
          <w:p w14:paraId="0DEDB520" w14:textId="77777777" w:rsidR="00EF57F8" w:rsidRPr="001464B8" w:rsidRDefault="00EF57F8" w:rsidP="00EF57F8">
            <w:pPr>
              <w:jc w:val="both"/>
              <w:rPr>
                <w:b/>
                <w:bCs/>
                <w:color w:val="000000" w:themeColor="text1"/>
              </w:rPr>
            </w:pPr>
            <w:r w:rsidRPr="001464B8">
              <w:rPr>
                <w:rFonts w:eastAsia="DengXian" w:hint="eastAsia"/>
                <w:b/>
                <w:bCs/>
                <w:lang w:eastAsia="zh-CN"/>
              </w:rPr>
              <w:t>P</w:t>
            </w:r>
            <w:r w:rsidRPr="001464B8">
              <w:rPr>
                <w:rFonts w:eastAsia="DengXian"/>
                <w:b/>
                <w:bCs/>
                <w:lang w:eastAsia="zh-CN"/>
              </w:rPr>
              <w:t>roposal 3:</w:t>
            </w:r>
            <w:r w:rsidRPr="001464B8">
              <w:rPr>
                <w:b/>
                <w:bCs/>
                <w:lang w:eastAsia="ja-JP"/>
              </w:rPr>
              <w:t xml:space="preserve"> Whether the intra-frequency SSB or inter-frequency SSB based measurement needs gap depends on whether such SSB is fully within the active BWP</w:t>
            </w:r>
            <w:r w:rsidRPr="001464B8">
              <w:rPr>
                <w:rFonts w:hint="eastAsia"/>
                <w:b/>
                <w:bCs/>
                <w:lang w:eastAsia="ja-JP"/>
              </w:rPr>
              <w:t xml:space="preserve"> </w:t>
            </w:r>
            <w:r w:rsidRPr="001464B8">
              <w:rPr>
                <w:b/>
                <w:bCs/>
                <w:lang w:eastAsia="ja-JP"/>
              </w:rPr>
              <w:t xml:space="preserve">of the </w:t>
            </w:r>
            <w:proofErr w:type="spellStart"/>
            <w:r w:rsidRPr="001464B8">
              <w:rPr>
                <w:rFonts w:hint="eastAsia"/>
                <w:b/>
                <w:bCs/>
                <w:lang w:eastAsia="ja-JP"/>
              </w:rPr>
              <w:t>SCell</w:t>
            </w:r>
            <w:proofErr w:type="spellEnd"/>
            <w:r w:rsidRPr="001464B8">
              <w:rPr>
                <w:b/>
                <w:bCs/>
                <w:lang w:eastAsia="ja-JP"/>
              </w:rPr>
              <w:t>.</w:t>
            </w:r>
          </w:p>
          <w:p w14:paraId="23E5CF1A" w14:textId="59C6B3E9" w:rsidR="006D1DE4" w:rsidRPr="00EF57F8" w:rsidRDefault="006D1DE4" w:rsidP="00E957FF">
            <w:pPr>
              <w:spacing w:before="120" w:after="120"/>
              <w:rPr>
                <w:lang w:eastAsia="zh-CN"/>
              </w:rPr>
            </w:pPr>
          </w:p>
        </w:tc>
      </w:tr>
      <w:tr w:rsidR="00DB52E8" w14:paraId="5A2BED2D" w14:textId="77777777" w:rsidTr="00EF57F8">
        <w:trPr>
          <w:trHeight w:val="468"/>
        </w:trPr>
        <w:tc>
          <w:tcPr>
            <w:tcW w:w="916" w:type="dxa"/>
          </w:tcPr>
          <w:p w14:paraId="10E257C4" w14:textId="77777777" w:rsidR="00DB52E8" w:rsidRDefault="00DB52E8" w:rsidP="006D1DE4">
            <w:pPr>
              <w:spacing w:before="120" w:after="120"/>
              <w:rPr>
                <w:rFonts w:ascii="Arial" w:hAnsi="Arial" w:cs="Arial"/>
                <w:b/>
                <w:bCs/>
                <w:color w:val="0000FF"/>
                <w:sz w:val="16"/>
                <w:szCs w:val="16"/>
                <w:u w:val="single"/>
              </w:rPr>
            </w:pPr>
          </w:p>
        </w:tc>
        <w:tc>
          <w:tcPr>
            <w:tcW w:w="1064" w:type="dxa"/>
          </w:tcPr>
          <w:p w14:paraId="564DB28C" w14:textId="77777777" w:rsidR="00DB52E8" w:rsidRDefault="00DB52E8" w:rsidP="006D1DE4">
            <w:pPr>
              <w:spacing w:before="120" w:after="120"/>
              <w:rPr>
                <w:rFonts w:ascii="Arial" w:hAnsi="Arial" w:cs="Arial"/>
                <w:sz w:val="16"/>
                <w:szCs w:val="16"/>
              </w:rPr>
            </w:pPr>
          </w:p>
        </w:tc>
        <w:tc>
          <w:tcPr>
            <w:tcW w:w="2039" w:type="dxa"/>
          </w:tcPr>
          <w:p w14:paraId="7DC79579" w14:textId="77777777" w:rsidR="00DB52E8" w:rsidRDefault="00DB52E8" w:rsidP="006D1DE4">
            <w:pPr>
              <w:spacing w:before="120" w:after="120"/>
              <w:rPr>
                <w:rFonts w:ascii="Arial" w:hAnsi="Arial" w:cs="Arial"/>
                <w:sz w:val="16"/>
                <w:szCs w:val="16"/>
              </w:rPr>
            </w:pPr>
          </w:p>
        </w:tc>
        <w:tc>
          <w:tcPr>
            <w:tcW w:w="5612" w:type="dxa"/>
          </w:tcPr>
          <w:p w14:paraId="6CBE4362" w14:textId="77777777" w:rsidR="00DB52E8" w:rsidRDefault="00DB52E8" w:rsidP="006D1DE4">
            <w:pPr>
              <w:spacing w:before="120" w:after="120"/>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C79C1AC" w14:textId="193458F7" w:rsidR="00C87034" w:rsidRPr="00C87034" w:rsidRDefault="00C87034" w:rsidP="00C87034">
      <w:pPr>
        <w:pStyle w:val="BodyText"/>
        <w:rPr>
          <w:rFonts w:eastAsiaTheme="minorEastAsia" w:hint="eastAsia"/>
          <w:bCs/>
          <w:lang w:eastAsia="zh-CN"/>
        </w:rPr>
      </w:pPr>
      <w:r>
        <w:rPr>
          <w:noProof/>
        </w:rPr>
        <w:lastRenderedPageBreak/>
        <mc:AlternateContent>
          <mc:Choice Requires="wps">
            <w:drawing>
              <wp:anchor distT="0" distB="0" distL="114300" distR="114300" simplePos="0" relativeHeight="251659264" behindDoc="0" locked="0" layoutInCell="1" allowOverlap="1" wp14:anchorId="0845C191" wp14:editId="771F963D">
                <wp:simplePos x="0" y="0"/>
                <wp:positionH relativeFrom="column">
                  <wp:posOffset>0</wp:posOffset>
                </wp:positionH>
                <wp:positionV relativeFrom="paragraph">
                  <wp:posOffset>0</wp:posOffset>
                </wp:positionV>
                <wp:extent cx="1828800" cy="1828800"/>
                <wp:effectExtent l="0" t="0" r="0" b="0"/>
                <wp:wrapSquare wrapText="bothSides"/>
                <wp:docPr id="153165881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5D221" w14:textId="77777777" w:rsidR="00C87034" w:rsidRDefault="00C87034" w:rsidP="00C87034">
                            <w:pPr>
                              <w:pStyle w:val="BodyText"/>
                              <w:rPr>
                                <w:rFonts w:eastAsiaTheme="minorEastAsia"/>
                                <w:lang w:eastAsia="zh-CN"/>
                              </w:rPr>
                            </w:pPr>
                            <w:r>
                              <w:rPr>
                                <w:rFonts w:eastAsiaTheme="minorEastAsia" w:hint="eastAsia"/>
                                <w:lang w:eastAsia="zh-CN"/>
                              </w:rPr>
                              <w:t>R</w:t>
                            </w:r>
                            <w:r>
                              <w:rPr>
                                <w:rFonts w:eastAsiaTheme="minorEastAsia"/>
                                <w:lang w:eastAsia="zh-CN"/>
                              </w:rPr>
                              <w:t xml:space="preserve">AN2 have discussed the presence of </w:t>
                            </w:r>
                            <w:proofErr w:type="spellStart"/>
                            <w:r w:rsidRPr="008D659B">
                              <w:rPr>
                                <w:rFonts w:eastAsiaTheme="minorEastAsia"/>
                                <w:i/>
                                <w:lang w:eastAsia="zh-CN"/>
                              </w:rPr>
                              <w:t>servingCellMO</w:t>
                            </w:r>
                            <w:proofErr w:type="spellEnd"/>
                            <w:r>
                              <w:rPr>
                                <w:rFonts w:eastAsiaTheme="minorEastAsia"/>
                                <w:lang w:eastAsia="zh-CN"/>
                              </w:rPr>
                              <w:t xml:space="preserve"> for SSB-less </w:t>
                            </w:r>
                            <w:proofErr w:type="spellStart"/>
                            <w:r>
                              <w:rPr>
                                <w:rFonts w:eastAsiaTheme="minorEastAsia"/>
                                <w:lang w:eastAsia="zh-CN"/>
                              </w:rPr>
                              <w:t>SCell</w:t>
                            </w:r>
                            <w:proofErr w:type="spellEnd"/>
                            <w:r>
                              <w:rPr>
                                <w:rFonts w:eastAsiaTheme="minorEastAsia"/>
                                <w:lang w:eastAsia="zh-CN"/>
                              </w:rPr>
                              <w:t xml:space="preserve"> and the impact on neighbour cell measurements and reached the following agreements:</w:t>
                            </w:r>
                          </w:p>
                          <w:p w14:paraId="0AEB0426" w14:textId="77777777" w:rsidR="00C87034" w:rsidRDefault="00C87034" w:rsidP="00C87034">
                            <w:pPr>
                              <w:pStyle w:val="BodyText"/>
                              <w:ind w:leftChars="100" w:left="200"/>
                              <w:rPr>
                                <w:rFonts w:eastAsiaTheme="minorEastAsia"/>
                                <w:bCs/>
                                <w:lang w:eastAsia="zh-CN"/>
                              </w:rPr>
                            </w:pPr>
                            <w:r w:rsidRPr="00C87034">
                              <w:rPr>
                                <w:rFonts w:eastAsiaTheme="minorEastAsia"/>
                                <w:bCs/>
                                <w:lang w:eastAsia="zh-CN"/>
                              </w:rPr>
                              <w:t xml:space="preserve">Introduce per UE capability to indicate whether the UE supports the configuration of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for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A UE supporting this feature shall also support NR intra-frequency measurements on neighbour cells based on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associated with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NW can optionally configure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for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if UE indicate such capability.</w:t>
                            </w:r>
                          </w:p>
                          <w:p w14:paraId="750AD635" w14:textId="77777777" w:rsidR="00C87034" w:rsidRPr="00C87034" w:rsidRDefault="00C87034" w:rsidP="00A34CBF">
                            <w:pPr>
                              <w:spacing w:beforeLines="50" w:before="120" w:afterLines="50" w:after="120"/>
                              <w:rPr>
                                <w:rFonts w:eastAsia="MS Mincho"/>
                              </w:rPr>
                            </w:pPr>
                            <w:r w:rsidRPr="00C87034">
                              <w:rPr>
                                <w:rFonts w:eastAsia="MS Mincho"/>
                              </w:rPr>
                              <w:t>RAN2 respectfully asks RAN</w:t>
                            </w:r>
                            <w:r w:rsidRPr="00C87034">
                              <w:t>4</w:t>
                            </w:r>
                            <w:r w:rsidRPr="00C87034">
                              <w:rPr>
                                <w:rFonts w:eastAsia="MS Mincho"/>
                              </w:rPr>
                              <w:t xml:space="preserve"> to</w:t>
                            </w:r>
                            <w:r w:rsidRPr="00C87034">
                              <w:rPr>
                                <w:rFonts w:eastAsia="MS Mincho"/>
                                <w:lang w:eastAsia="ko-KR"/>
                              </w:rPr>
                              <w:t xml:space="preserve"> take the above agreements into account.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45C191"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fill o:detectmouseclick="t"/>
                <v:textbox style="mso-fit-shape-to-text:t">
                  <w:txbxContent>
                    <w:p w14:paraId="29D5D221" w14:textId="77777777" w:rsidR="00C87034" w:rsidRDefault="00C87034" w:rsidP="00C87034">
                      <w:pPr>
                        <w:pStyle w:val="BodyText"/>
                        <w:rPr>
                          <w:rFonts w:eastAsiaTheme="minorEastAsia"/>
                          <w:lang w:eastAsia="zh-CN"/>
                        </w:rPr>
                      </w:pPr>
                      <w:r>
                        <w:rPr>
                          <w:rFonts w:eastAsiaTheme="minorEastAsia" w:hint="eastAsia"/>
                          <w:lang w:eastAsia="zh-CN"/>
                        </w:rPr>
                        <w:t>R</w:t>
                      </w:r>
                      <w:r>
                        <w:rPr>
                          <w:rFonts w:eastAsiaTheme="minorEastAsia"/>
                          <w:lang w:eastAsia="zh-CN"/>
                        </w:rPr>
                        <w:t xml:space="preserve">AN2 have discussed the presence of </w:t>
                      </w:r>
                      <w:proofErr w:type="spellStart"/>
                      <w:r w:rsidRPr="008D659B">
                        <w:rPr>
                          <w:rFonts w:eastAsiaTheme="minorEastAsia"/>
                          <w:i/>
                          <w:lang w:eastAsia="zh-CN"/>
                        </w:rPr>
                        <w:t>servingCellMO</w:t>
                      </w:r>
                      <w:proofErr w:type="spellEnd"/>
                      <w:r>
                        <w:rPr>
                          <w:rFonts w:eastAsiaTheme="minorEastAsia"/>
                          <w:lang w:eastAsia="zh-CN"/>
                        </w:rPr>
                        <w:t xml:space="preserve"> for SSB-less </w:t>
                      </w:r>
                      <w:proofErr w:type="spellStart"/>
                      <w:r>
                        <w:rPr>
                          <w:rFonts w:eastAsiaTheme="minorEastAsia"/>
                          <w:lang w:eastAsia="zh-CN"/>
                        </w:rPr>
                        <w:t>SCell</w:t>
                      </w:r>
                      <w:proofErr w:type="spellEnd"/>
                      <w:r>
                        <w:rPr>
                          <w:rFonts w:eastAsiaTheme="minorEastAsia"/>
                          <w:lang w:eastAsia="zh-CN"/>
                        </w:rPr>
                        <w:t xml:space="preserve"> and the impact on neighbour cell measurements and reached the following agreements:</w:t>
                      </w:r>
                    </w:p>
                    <w:p w14:paraId="0AEB0426" w14:textId="77777777" w:rsidR="00C87034" w:rsidRDefault="00C87034" w:rsidP="00C87034">
                      <w:pPr>
                        <w:pStyle w:val="BodyText"/>
                        <w:ind w:leftChars="100" w:left="200"/>
                        <w:rPr>
                          <w:rFonts w:eastAsiaTheme="minorEastAsia"/>
                          <w:bCs/>
                          <w:lang w:eastAsia="zh-CN"/>
                        </w:rPr>
                      </w:pPr>
                      <w:r w:rsidRPr="00C87034">
                        <w:rPr>
                          <w:rFonts w:eastAsiaTheme="minorEastAsia"/>
                          <w:bCs/>
                          <w:lang w:eastAsia="zh-CN"/>
                        </w:rPr>
                        <w:t xml:space="preserve">Introduce per UE capability to indicate whether the UE supports the configuration of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for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A UE supporting this feature shall also support NR intra-frequency measurements on neighbour cells based on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associated with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NW can optionally configure </w:t>
                      </w:r>
                      <w:proofErr w:type="spellStart"/>
                      <w:r w:rsidRPr="00C87034">
                        <w:rPr>
                          <w:rFonts w:eastAsiaTheme="minorEastAsia"/>
                          <w:bCs/>
                          <w:i/>
                          <w:lang w:eastAsia="zh-CN"/>
                        </w:rPr>
                        <w:t>servingCellMO</w:t>
                      </w:r>
                      <w:proofErr w:type="spellEnd"/>
                      <w:r w:rsidRPr="00C87034">
                        <w:rPr>
                          <w:rFonts w:eastAsiaTheme="minorEastAsia"/>
                          <w:bCs/>
                          <w:lang w:eastAsia="zh-CN"/>
                        </w:rPr>
                        <w:t xml:space="preserve"> for </w:t>
                      </w:r>
                      <w:proofErr w:type="spellStart"/>
                      <w:r w:rsidRPr="00C87034">
                        <w:rPr>
                          <w:rFonts w:eastAsiaTheme="minorEastAsia"/>
                          <w:bCs/>
                          <w:lang w:eastAsia="zh-CN"/>
                        </w:rPr>
                        <w:t>SCell</w:t>
                      </w:r>
                      <w:proofErr w:type="spellEnd"/>
                      <w:r w:rsidRPr="00C87034">
                        <w:rPr>
                          <w:rFonts w:eastAsiaTheme="minorEastAsia"/>
                          <w:bCs/>
                          <w:lang w:eastAsia="zh-CN"/>
                        </w:rPr>
                        <w:t xml:space="preserve"> that does not transmit SS/PBCH block if UE indicate such capability.</w:t>
                      </w:r>
                    </w:p>
                    <w:p w14:paraId="750AD635" w14:textId="77777777" w:rsidR="00C87034" w:rsidRPr="00C87034" w:rsidRDefault="00C87034" w:rsidP="00A34CBF">
                      <w:pPr>
                        <w:spacing w:beforeLines="50" w:before="120" w:afterLines="50" w:after="120"/>
                        <w:rPr>
                          <w:rFonts w:eastAsia="MS Mincho"/>
                        </w:rPr>
                      </w:pPr>
                      <w:r w:rsidRPr="00C87034">
                        <w:rPr>
                          <w:rFonts w:eastAsia="MS Mincho"/>
                        </w:rPr>
                        <w:t>RAN2 respectfully asks RAN</w:t>
                      </w:r>
                      <w:r w:rsidRPr="00C87034">
                        <w:t>4</w:t>
                      </w:r>
                      <w:r w:rsidRPr="00C87034">
                        <w:rPr>
                          <w:rFonts w:eastAsia="MS Mincho"/>
                        </w:rPr>
                        <w:t xml:space="preserve"> to</w:t>
                      </w:r>
                      <w:r w:rsidRPr="00C87034">
                        <w:rPr>
                          <w:rFonts w:eastAsia="MS Mincho"/>
                          <w:lang w:eastAsia="ko-KR"/>
                        </w:rPr>
                        <w:t xml:space="preserve"> take the above agreements into account.</w:t>
                      </w:r>
                    </w:p>
                  </w:txbxContent>
                </v:textbox>
                <w10:wrap type="square"/>
              </v:shape>
            </w:pict>
          </mc:Fallback>
        </mc:AlternateConten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75BBF9E" w:rsidR="00B4108D" w:rsidRPr="00805BE8" w:rsidRDefault="00B4108D" w:rsidP="00B4108D">
      <w:pPr>
        <w:rPr>
          <w:b/>
          <w:color w:val="0070C0"/>
          <w:u w:val="single"/>
          <w:lang w:eastAsia="ko-KR"/>
        </w:rPr>
      </w:pPr>
      <w:r w:rsidRPr="00805BE8">
        <w:rPr>
          <w:b/>
          <w:color w:val="0070C0"/>
          <w:u w:val="single"/>
          <w:lang w:eastAsia="ko-KR"/>
        </w:rPr>
        <w:t xml:space="preserve">Issue 1-1: </w:t>
      </w:r>
      <w:r w:rsidR="0085344D">
        <w:rPr>
          <w:b/>
          <w:color w:val="0070C0"/>
          <w:u w:val="single"/>
          <w:lang w:eastAsia="ko-KR"/>
        </w:rPr>
        <w:t xml:space="preserve">how to </w:t>
      </w:r>
      <w:r w:rsidR="008251AD">
        <w:rPr>
          <w:rFonts w:hint="eastAsia"/>
          <w:b/>
          <w:color w:val="0070C0"/>
          <w:u w:val="single"/>
          <w:lang w:eastAsia="zh-CN"/>
        </w:rPr>
        <w:t xml:space="preserve">treat the measurement for UE indicating support </w:t>
      </w:r>
      <w:r w:rsidR="008251AD">
        <w:rPr>
          <w:b/>
          <w:color w:val="0070C0"/>
          <w:u w:val="single"/>
          <w:lang w:val="en-US" w:eastAsia="zh-CN"/>
        </w:rPr>
        <w:t xml:space="preserve">of </w:t>
      </w:r>
      <w:proofErr w:type="spellStart"/>
      <w:r w:rsidR="008251AD">
        <w:rPr>
          <w:b/>
          <w:color w:val="0070C0"/>
          <w:u w:val="single"/>
          <w:lang w:val="en-US" w:eastAsia="zh-CN"/>
        </w:rPr>
        <w:t>servingCellMO</w:t>
      </w:r>
      <w:proofErr w:type="spellEnd"/>
      <w:r w:rsidR="008251AD">
        <w:rPr>
          <w:b/>
          <w:color w:val="0070C0"/>
          <w:u w:val="single"/>
          <w:lang w:val="en-US" w:eastAsia="zh-CN"/>
        </w:rPr>
        <w:t xml:space="preserve"> for </w:t>
      </w:r>
      <w:proofErr w:type="spellStart"/>
      <w:r w:rsidR="008251AD">
        <w:rPr>
          <w:b/>
          <w:color w:val="0070C0"/>
          <w:u w:val="single"/>
          <w:lang w:val="en-US" w:eastAsia="zh-CN"/>
        </w:rPr>
        <w:t>SCell</w:t>
      </w:r>
      <w:proofErr w:type="spellEnd"/>
      <w:r w:rsidR="008251AD">
        <w:rPr>
          <w:b/>
          <w:color w:val="0070C0"/>
          <w:u w:val="single"/>
          <w:lang w:val="en-US" w:eastAsia="zh-CN"/>
        </w:rPr>
        <w:t xml:space="preserve"> that does not </w:t>
      </w:r>
      <w:proofErr w:type="spellStart"/>
      <w:r w:rsidR="008251AD">
        <w:rPr>
          <w:b/>
          <w:color w:val="0070C0"/>
          <w:u w:val="single"/>
          <w:lang w:val="en-US" w:eastAsia="zh-CN"/>
        </w:rPr>
        <w:t>ransmit</w:t>
      </w:r>
      <w:proofErr w:type="spellEnd"/>
      <w:r w:rsidR="008251AD">
        <w:rPr>
          <w:b/>
          <w:color w:val="0070C0"/>
          <w:u w:val="single"/>
          <w:lang w:val="en-US" w:eastAsia="zh-CN"/>
        </w:rPr>
        <w:t xml:space="preserve"> SS/PBCH </w:t>
      </w:r>
      <w:proofErr w:type="spellStart"/>
      <w:r w:rsidR="008251AD">
        <w:rPr>
          <w:b/>
          <w:color w:val="0070C0"/>
          <w:u w:val="single"/>
          <w:lang w:val="en-US" w:eastAsia="zh-CN"/>
        </w:rPr>
        <w:t>blcok</w:t>
      </w:r>
      <w:proofErr w:type="spellEnd"/>
      <w:r w:rsidR="0085344D">
        <w:rPr>
          <w:b/>
          <w:color w:val="0070C0"/>
          <w:u w:val="single"/>
          <w:lang w:eastAsia="ko-KR"/>
        </w:rPr>
        <w:t>?</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DB28094" w14:textId="2E7C1EA0" w:rsidR="0085344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B235A7">
        <w:rPr>
          <w:rFonts w:eastAsia="SimSun"/>
          <w:color w:val="0070C0"/>
          <w:szCs w:val="24"/>
          <w:lang w:eastAsia="zh-CN"/>
        </w:rPr>
        <w:t>OPPO</w:t>
      </w:r>
    </w:p>
    <w:p w14:paraId="04214E54" w14:textId="5A9E778D" w:rsidR="00F32B27" w:rsidRPr="00B235A7" w:rsidRDefault="00B235A7" w:rsidP="0085344D">
      <w:pPr>
        <w:pStyle w:val="ListParagraph"/>
        <w:overflowPunct/>
        <w:autoSpaceDE/>
        <w:autoSpaceDN/>
        <w:adjustRightInd/>
        <w:spacing w:after="120"/>
        <w:ind w:left="1440" w:firstLineChars="0" w:firstLine="0"/>
        <w:textAlignment w:val="auto"/>
        <w:rPr>
          <w:bCs/>
          <w:lang w:val="en-US"/>
        </w:rPr>
      </w:pPr>
      <w:r w:rsidRPr="00B235A7">
        <w:rPr>
          <w:bCs/>
          <w:lang w:eastAsia="ja-JP"/>
        </w:rPr>
        <w:t>T</w:t>
      </w:r>
      <w:r w:rsidRPr="00B235A7">
        <w:rPr>
          <w:bCs/>
          <w:lang w:eastAsia="ja-JP"/>
        </w:rPr>
        <w:t>he reference SS</w:t>
      </w:r>
      <w:r w:rsidRPr="00B235A7">
        <w:rPr>
          <w:rFonts w:hint="eastAsia"/>
          <w:bCs/>
          <w:lang w:eastAsia="ja-JP"/>
        </w:rPr>
        <w:t>B</w:t>
      </w:r>
      <w:r w:rsidRPr="00B235A7">
        <w:rPr>
          <w:bCs/>
          <w:lang w:eastAsia="ja-JP"/>
        </w:rPr>
        <w:t xml:space="preserve"> for intra-frequency measurement </w:t>
      </w:r>
      <w:r w:rsidRPr="00B235A7">
        <w:rPr>
          <w:rFonts w:hint="eastAsia"/>
          <w:bCs/>
          <w:lang w:eastAsia="ja-JP"/>
        </w:rPr>
        <w:t>is</w:t>
      </w:r>
      <w:r w:rsidRPr="00B235A7">
        <w:rPr>
          <w:bCs/>
          <w:lang w:eastAsia="ja-JP"/>
        </w:rPr>
        <w:t xml:space="preserve"> </w:t>
      </w:r>
      <w:r w:rsidRPr="00B235A7">
        <w:rPr>
          <w:rFonts w:eastAsia="DengXian"/>
          <w:bCs/>
          <w:lang w:eastAsia="zh-CN"/>
        </w:rPr>
        <w:t xml:space="preserve">the SSB defined in </w:t>
      </w:r>
      <w:proofErr w:type="spellStart"/>
      <w:r w:rsidRPr="00B235A7">
        <w:rPr>
          <w:rFonts w:eastAsia="DengXian"/>
          <w:bCs/>
          <w:i/>
          <w:iCs/>
          <w:lang w:eastAsia="zh-CN"/>
        </w:rPr>
        <w:t>servingCellMO</w:t>
      </w:r>
      <w:proofErr w:type="spellEnd"/>
      <w:r w:rsidRPr="00B235A7">
        <w:rPr>
          <w:rFonts w:eastAsia="DengXian"/>
          <w:bCs/>
          <w:lang w:eastAsia="zh-CN"/>
        </w:rPr>
        <w:t xml:space="preserve"> </w:t>
      </w:r>
      <w:r w:rsidRPr="00B235A7">
        <w:rPr>
          <w:bCs/>
          <w:lang w:eastAsia="ja-JP"/>
        </w:rPr>
        <w:t xml:space="preserve">associated with </w:t>
      </w:r>
      <w:r>
        <w:rPr>
          <w:bCs/>
          <w:lang w:eastAsia="ja-JP"/>
        </w:rPr>
        <w:t xml:space="preserve">the SSB-less </w:t>
      </w:r>
      <w:proofErr w:type="spellStart"/>
      <w:r w:rsidRPr="00B235A7">
        <w:rPr>
          <w:bCs/>
          <w:lang w:eastAsia="ja-JP"/>
        </w:rPr>
        <w:t>SCell</w:t>
      </w:r>
      <w:proofErr w:type="spellEnd"/>
      <w:r w:rsidRPr="00B235A7">
        <w:rPr>
          <w:bCs/>
          <w:lang w:eastAsia="ja-JP"/>
        </w:rPr>
        <w:t>.</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6C19ACA" w14:textId="7476B4C8" w:rsidR="00B235A7" w:rsidRDefault="00B4108D" w:rsidP="005B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7139F50" w14:textId="77777777" w:rsidR="00B235A7" w:rsidRPr="00B235A7" w:rsidRDefault="00B235A7" w:rsidP="00B235A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253F6AC" w14:textId="4F77DA48" w:rsidR="00B235A7" w:rsidRPr="00805BE8" w:rsidRDefault="00B235A7" w:rsidP="00B235A7">
      <w:pPr>
        <w:rPr>
          <w:b/>
          <w:color w:val="0070C0"/>
          <w:u w:val="single"/>
          <w:lang w:eastAsia="ko-KR"/>
        </w:rPr>
      </w:pPr>
      <w:r w:rsidRPr="00805BE8">
        <w:rPr>
          <w:b/>
          <w:color w:val="0070C0"/>
          <w:u w:val="single"/>
          <w:lang w:eastAsia="ko-KR"/>
        </w:rPr>
        <w:t>Issue 1-</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how to </w:t>
      </w:r>
      <w:r>
        <w:rPr>
          <w:rFonts w:hint="eastAsia"/>
          <w:b/>
          <w:color w:val="0070C0"/>
          <w:u w:val="single"/>
          <w:lang w:eastAsia="zh-CN"/>
        </w:rPr>
        <w:t>treat the measurement for UE</w:t>
      </w:r>
      <w:r>
        <w:rPr>
          <w:b/>
          <w:color w:val="0070C0"/>
          <w:u w:val="single"/>
          <w:lang w:eastAsia="zh-CN"/>
        </w:rPr>
        <w:t xml:space="preserve"> not</w:t>
      </w:r>
      <w:r>
        <w:rPr>
          <w:rFonts w:hint="eastAsia"/>
          <w:b/>
          <w:color w:val="0070C0"/>
          <w:u w:val="single"/>
          <w:lang w:eastAsia="zh-CN"/>
        </w:rPr>
        <w:t xml:space="preserve"> indicating support </w:t>
      </w:r>
      <w:r>
        <w:rPr>
          <w:b/>
          <w:color w:val="0070C0"/>
          <w:u w:val="single"/>
          <w:lang w:val="en-US" w:eastAsia="zh-CN"/>
        </w:rPr>
        <w:t xml:space="preserve">of </w:t>
      </w:r>
      <w:proofErr w:type="spellStart"/>
      <w:r>
        <w:rPr>
          <w:b/>
          <w:color w:val="0070C0"/>
          <w:u w:val="single"/>
          <w:lang w:val="en-US" w:eastAsia="zh-CN"/>
        </w:rPr>
        <w:t>servingCellMO</w:t>
      </w:r>
      <w:proofErr w:type="spellEnd"/>
      <w:r>
        <w:rPr>
          <w:b/>
          <w:color w:val="0070C0"/>
          <w:u w:val="single"/>
          <w:lang w:val="en-US" w:eastAsia="zh-CN"/>
        </w:rPr>
        <w:t xml:space="preserve"> for </w:t>
      </w:r>
      <w:proofErr w:type="spellStart"/>
      <w:r>
        <w:rPr>
          <w:b/>
          <w:color w:val="0070C0"/>
          <w:u w:val="single"/>
          <w:lang w:val="en-US" w:eastAsia="zh-CN"/>
        </w:rPr>
        <w:t>SCell</w:t>
      </w:r>
      <w:proofErr w:type="spellEnd"/>
      <w:r>
        <w:rPr>
          <w:b/>
          <w:color w:val="0070C0"/>
          <w:u w:val="single"/>
          <w:lang w:val="en-US" w:eastAsia="zh-CN"/>
        </w:rPr>
        <w:t xml:space="preserve"> that does not </w:t>
      </w:r>
      <w:proofErr w:type="spellStart"/>
      <w:r>
        <w:rPr>
          <w:b/>
          <w:color w:val="0070C0"/>
          <w:u w:val="single"/>
          <w:lang w:val="en-US" w:eastAsia="zh-CN"/>
        </w:rPr>
        <w:t>ransmit</w:t>
      </w:r>
      <w:proofErr w:type="spellEnd"/>
      <w:r>
        <w:rPr>
          <w:b/>
          <w:color w:val="0070C0"/>
          <w:u w:val="single"/>
          <w:lang w:val="en-US" w:eastAsia="zh-CN"/>
        </w:rPr>
        <w:t xml:space="preserve"> SS/PBCH </w:t>
      </w:r>
      <w:proofErr w:type="spellStart"/>
      <w:r>
        <w:rPr>
          <w:b/>
          <w:color w:val="0070C0"/>
          <w:u w:val="single"/>
          <w:lang w:val="en-US" w:eastAsia="zh-CN"/>
        </w:rPr>
        <w:t>blcok</w:t>
      </w:r>
      <w:proofErr w:type="spellEnd"/>
      <w:r>
        <w:rPr>
          <w:b/>
          <w:color w:val="0070C0"/>
          <w:u w:val="single"/>
          <w:lang w:eastAsia="ko-KR"/>
        </w:rPr>
        <w:t>?</w:t>
      </w:r>
    </w:p>
    <w:p w14:paraId="4A2AFE40" w14:textId="77777777" w:rsidR="00B235A7" w:rsidRPr="00805BE8" w:rsidRDefault="00B235A7" w:rsidP="00B235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E68A7F3" w14:textId="77777777" w:rsidR="00B235A7" w:rsidRDefault="00B235A7" w:rsidP="00B235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OPPO</w:t>
      </w:r>
    </w:p>
    <w:p w14:paraId="40001927" w14:textId="18CE3A8A" w:rsidR="00B235A7" w:rsidRPr="00B235A7" w:rsidRDefault="00B235A7" w:rsidP="00B235A7">
      <w:pPr>
        <w:pStyle w:val="ListParagraph"/>
        <w:overflowPunct/>
        <w:autoSpaceDE/>
        <w:autoSpaceDN/>
        <w:adjustRightInd/>
        <w:spacing w:after="120"/>
        <w:ind w:left="1440" w:firstLineChars="0" w:firstLine="0"/>
        <w:textAlignment w:val="auto"/>
        <w:rPr>
          <w:bCs/>
          <w:lang w:eastAsia="ja-JP"/>
        </w:rPr>
      </w:pPr>
      <w:r w:rsidRPr="00B235A7">
        <w:rPr>
          <w:bCs/>
          <w:lang w:eastAsia="ja-JP"/>
        </w:rPr>
        <w:t>A</w:t>
      </w:r>
      <w:r w:rsidRPr="00B235A7">
        <w:rPr>
          <w:bCs/>
          <w:lang w:eastAsia="ja-JP"/>
        </w:rPr>
        <w:t xml:space="preserve">ny SSB of the neighbour cell which falls into the cell bandwidth of the </w:t>
      </w:r>
      <w:proofErr w:type="spellStart"/>
      <w:r w:rsidRPr="00B235A7">
        <w:rPr>
          <w:bCs/>
          <w:lang w:eastAsia="ja-JP"/>
        </w:rPr>
        <w:t>SCell</w:t>
      </w:r>
      <w:proofErr w:type="spellEnd"/>
      <w:r w:rsidRPr="00B235A7">
        <w:rPr>
          <w:bCs/>
          <w:lang w:eastAsia="ja-JP"/>
        </w:rPr>
        <w:t xml:space="preserve"> is defined as inter-frequency SSB</w:t>
      </w:r>
      <w:r>
        <w:rPr>
          <w:bCs/>
          <w:lang w:eastAsia="ja-JP"/>
        </w:rPr>
        <w:t>.</w:t>
      </w:r>
    </w:p>
    <w:p w14:paraId="5ED1BB04" w14:textId="77777777" w:rsidR="00B235A7" w:rsidRPr="00805BE8" w:rsidRDefault="00B235A7" w:rsidP="00B235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F007E18" w14:textId="77777777" w:rsidR="00B235A7" w:rsidRPr="00805BE8" w:rsidRDefault="00B235A7" w:rsidP="00B235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56D91DAA" w14:textId="77777777" w:rsidR="00B235A7" w:rsidRDefault="00B235A7" w:rsidP="005B4802">
      <w:pPr>
        <w:rPr>
          <w:i/>
          <w:color w:val="0070C0"/>
          <w:lang w:eastAsia="zh-CN"/>
        </w:rPr>
      </w:pPr>
    </w:p>
    <w:p w14:paraId="7D65F4F6" w14:textId="6D3D83B9" w:rsidR="00B235A7" w:rsidRPr="00805BE8" w:rsidRDefault="00B235A7" w:rsidP="00B235A7">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whether GAP is needed for </w:t>
      </w:r>
      <w:proofErr w:type="spellStart"/>
      <w:r>
        <w:rPr>
          <w:b/>
          <w:color w:val="0070C0"/>
          <w:u w:val="single"/>
          <w:lang w:eastAsia="ko-KR"/>
        </w:rPr>
        <w:t>thc</w:t>
      </w:r>
      <w:proofErr w:type="spellEnd"/>
      <w:r>
        <w:rPr>
          <w:b/>
          <w:color w:val="0070C0"/>
          <w:u w:val="single"/>
          <w:lang w:eastAsia="ko-KR"/>
        </w:rPr>
        <w:t xml:space="preserve"> case in Issue 1-2</w:t>
      </w:r>
      <w:r>
        <w:rPr>
          <w:b/>
          <w:color w:val="0070C0"/>
          <w:u w:val="single"/>
          <w:lang w:eastAsia="ko-KR"/>
        </w:rPr>
        <w:t>?</w:t>
      </w:r>
    </w:p>
    <w:p w14:paraId="4B738FA8" w14:textId="77777777" w:rsidR="00B235A7" w:rsidRPr="00805BE8" w:rsidRDefault="00B235A7" w:rsidP="00B235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B5AF779" w14:textId="77777777" w:rsidR="00B235A7" w:rsidRDefault="00B235A7" w:rsidP="00B235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OPPO</w:t>
      </w:r>
    </w:p>
    <w:p w14:paraId="0A502377" w14:textId="399F416D" w:rsidR="00B235A7" w:rsidRPr="00B235A7" w:rsidRDefault="00B235A7" w:rsidP="00B235A7">
      <w:pPr>
        <w:pStyle w:val="ListParagraph"/>
        <w:overflowPunct/>
        <w:autoSpaceDE/>
        <w:autoSpaceDN/>
        <w:adjustRightInd/>
        <w:spacing w:after="120"/>
        <w:ind w:left="1440" w:firstLineChars="0" w:firstLine="0"/>
        <w:textAlignment w:val="auto"/>
        <w:rPr>
          <w:bCs/>
          <w:lang w:eastAsia="ja-JP"/>
        </w:rPr>
      </w:pPr>
      <w:r w:rsidRPr="00B235A7">
        <w:rPr>
          <w:bCs/>
          <w:lang w:eastAsia="ja-JP"/>
        </w:rPr>
        <w:t>Whether the intra-frequency SSB or inter-frequency SSB based measurement needs gap depends on whether such SSB is fully within the active BWP</w:t>
      </w:r>
      <w:r w:rsidRPr="00B235A7">
        <w:rPr>
          <w:rFonts w:hint="eastAsia"/>
          <w:bCs/>
          <w:lang w:eastAsia="ja-JP"/>
        </w:rPr>
        <w:t xml:space="preserve"> </w:t>
      </w:r>
      <w:r w:rsidRPr="00B235A7">
        <w:rPr>
          <w:bCs/>
          <w:lang w:eastAsia="ja-JP"/>
        </w:rPr>
        <w:t xml:space="preserve">of the </w:t>
      </w:r>
      <w:proofErr w:type="spellStart"/>
      <w:r w:rsidRPr="00B235A7">
        <w:rPr>
          <w:rFonts w:hint="eastAsia"/>
          <w:bCs/>
          <w:lang w:eastAsia="ja-JP"/>
        </w:rPr>
        <w:t>SCell</w:t>
      </w:r>
      <w:proofErr w:type="spellEnd"/>
      <w:r w:rsidRPr="00B235A7">
        <w:rPr>
          <w:bCs/>
          <w:lang w:eastAsia="ja-JP"/>
        </w:rPr>
        <w:t>.</w:t>
      </w:r>
    </w:p>
    <w:p w14:paraId="676F7318" w14:textId="77777777" w:rsidR="00B235A7" w:rsidRPr="00805BE8" w:rsidRDefault="00B235A7" w:rsidP="00B235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6D4E78" w14:textId="77777777" w:rsidR="00B235A7" w:rsidRPr="00805BE8" w:rsidRDefault="00B235A7" w:rsidP="00B235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F92E7BC" w14:textId="77777777" w:rsidR="00B235A7" w:rsidRPr="00805BE8" w:rsidRDefault="00B235A7" w:rsidP="005B4802">
      <w:pPr>
        <w:rPr>
          <w:i/>
          <w:color w:val="0070C0"/>
          <w:lang w:eastAsia="zh-CN"/>
        </w:rPr>
      </w:pPr>
    </w:p>
    <w:p w14:paraId="2A0294E9" w14:textId="77777777" w:rsidR="009415B0" w:rsidRDefault="009415B0" w:rsidP="005B4802">
      <w:pPr>
        <w:rPr>
          <w:color w:val="0070C0"/>
          <w:lang w:val="en-US" w:eastAsia="zh-CN"/>
        </w:rPr>
      </w:pPr>
    </w:p>
    <w:p w14:paraId="5323A740" w14:textId="77777777" w:rsidR="000723A3" w:rsidRPr="003418CB" w:rsidRDefault="000723A3" w:rsidP="005B4802">
      <w:pPr>
        <w:rPr>
          <w:color w:val="0070C0"/>
          <w:lang w:val="en-US" w:eastAsia="zh-CN"/>
        </w:rPr>
      </w:pPr>
    </w:p>
    <w:sectPr w:rsidR="000723A3" w:rsidRPr="003418CB"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299E" w14:textId="77777777" w:rsidR="004D6040" w:rsidRDefault="004D6040">
      <w:r>
        <w:separator/>
      </w:r>
    </w:p>
  </w:endnote>
  <w:endnote w:type="continuationSeparator" w:id="0">
    <w:p w14:paraId="7D3515D6" w14:textId="77777777" w:rsidR="004D6040" w:rsidRDefault="004D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4167" w14:textId="77777777" w:rsidR="004D6040" w:rsidRDefault="004D6040">
      <w:r>
        <w:separator/>
      </w:r>
    </w:p>
  </w:footnote>
  <w:footnote w:type="continuationSeparator" w:id="0">
    <w:p w14:paraId="5E24C313" w14:textId="77777777" w:rsidR="004D6040" w:rsidRDefault="004D6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CABFB"/>
    <w:multiLevelType w:val="multilevel"/>
    <w:tmpl w:val="C51CABF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D3E4E0B8"/>
    <w:multiLevelType w:val="multilevel"/>
    <w:tmpl w:val="D3E4E0B8"/>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07BC4"/>
    <w:multiLevelType w:val="multilevel"/>
    <w:tmpl w:val="11C07BC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33A36"/>
    <w:multiLevelType w:val="singleLevel"/>
    <w:tmpl w:val="2C033A36"/>
    <w:lvl w:ilvl="0">
      <w:start w:val="1"/>
      <w:numFmt w:val="bullet"/>
      <w:lvlText w:val=""/>
      <w:lvlJc w:val="left"/>
      <w:pPr>
        <w:ind w:left="42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0DD569E"/>
    <w:multiLevelType w:val="hybridMultilevel"/>
    <w:tmpl w:val="43963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E8AD36C"/>
    <w:multiLevelType w:val="singleLevel"/>
    <w:tmpl w:val="7E8AD36C"/>
    <w:lvl w:ilvl="0">
      <w:start w:val="1"/>
      <w:numFmt w:val="bullet"/>
      <w:lvlText w:val=""/>
      <w:lvlJc w:val="left"/>
      <w:pPr>
        <w:ind w:left="42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9"/>
  </w:num>
  <w:num w:numId="3" w16cid:durableId="845053056">
    <w:abstractNumId w:val="16"/>
  </w:num>
  <w:num w:numId="4" w16cid:durableId="574896988">
    <w:abstractNumId w:val="13"/>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8"/>
  </w:num>
  <w:num w:numId="18" w16cid:durableId="1890874967">
    <w:abstractNumId w:val="6"/>
  </w:num>
  <w:num w:numId="19" w16cid:durableId="151794773">
    <w:abstractNumId w:val="5"/>
  </w:num>
  <w:num w:numId="20" w16cid:durableId="1473786642">
    <w:abstractNumId w:val="3"/>
  </w:num>
  <w:num w:numId="21" w16cid:durableId="895970569">
    <w:abstractNumId w:val="11"/>
  </w:num>
  <w:num w:numId="22" w16cid:durableId="1637685187">
    <w:abstractNumId w:val="11"/>
  </w:num>
  <w:num w:numId="23" w16cid:durableId="1282683033">
    <w:abstractNumId w:val="10"/>
  </w:num>
  <w:num w:numId="24" w16cid:durableId="1963223245">
    <w:abstractNumId w:val="14"/>
  </w:num>
  <w:num w:numId="25" w16cid:durableId="1566528953">
    <w:abstractNumId w:val="12"/>
  </w:num>
  <w:num w:numId="26" w16cid:durableId="1486430059">
    <w:abstractNumId w:val="12"/>
    <w:lvlOverride w:ilvl="0">
      <w:startOverride w:val="1"/>
    </w:lvlOverride>
  </w:num>
  <w:num w:numId="27" w16cid:durableId="1546404020">
    <w:abstractNumId w:val="15"/>
  </w:num>
  <w:num w:numId="28" w16cid:durableId="1230769467">
    <w:abstractNumId w:val="4"/>
  </w:num>
  <w:num w:numId="29" w16cid:durableId="640767631">
    <w:abstractNumId w:val="0"/>
  </w:num>
  <w:num w:numId="30" w16cid:durableId="786435304">
    <w:abstractNumId w:val="1"/>
  </w:num>
  <w:num w:numId="31" w16cid:durableId="205523110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23A3"/>
    <w:rsid w:val="0007382E"/>
    <w:rsid w:val="000766E1"/>
    <w:rsid w:val="00077FF6"/>
    <w:rsid w:val="00080D82"/>
    <w:rsid w:val="00081692"/>
    <w:rsid w:val="00082C46"/>
    <w:rsid w:val="00085A0E"/>
    <w:rsid w:val="00087548"/>
    <w:rsid w:val="00090F98"/>
    <w:rsid w:val="00093E7E"/>
    <w:rsid w:val="00097886"/>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0595"/>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36C"/>
    <w:rsid w:val="003B56DB"/>
    <w:rsid w:val="003B755E"/>
    <w:rsid w:val="003C228E"/>
    <w:rsid w:val="003C51E7"/>
    <w:rsid w:val="003C6893"/>
    <w:rsid w:val="003C6DE2"/>
    <w:rsid w:val="003D014A"/>
    <w:rsid w:val="003D1EFD"/>
    <w:rsid w:val="003D28BF"/>
    <w:rsid w:val="003D4215"/>
    <w:rsid w:val="003D4C47"/>
    <w:rsid w:val="003D7719"/>
    <w:rsid w:val="003E07DF"/>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47169"/>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04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12D6"/>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1DE4"/>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54A3"/>
    <w:rsid w:val="00736B37"/>
    <w:rsid w:val="00740A35"/>
    <w:rsid w:val="00745B6F"/>
    <w:rsid w:val="007520B4"/>
    <w:rsid w:val="00757C5C"/>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1AD"/>
    <w:rsid w:val="008255B9"/>
    <w:rsid w:val="00825CD8"/>
    <w:rsid w:val="00827324"/>
    <w:rsid w:val="008355EA"/>
    <w:rsid w:val="00837458"/>
    <w:rsid w:val="00837AAE"/>
    <w:rsid w:val="008429AD"/>
    <w:rsid w:val="008429DB"/>
    <w:rsid w:val="00850C75"/>
    <w:rsid w:val="00850E39"/>
    <w:rsid w:val="0085344D"/>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A6BCB"/>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0395"/>
    <w:rsid w:val="009E16A9"/>
    <w:rsid w:val="009E375F"/>
    <w:rsid w:val="009E39D4"/>
    <w:rsid w:val="009E433B"/>
    <w:rsid w:val="009E5401"/>
    <w:rsid w:val="00A0758F"/>
    <w:rsid w:val="00A1570A"/>
    <w:rsid w:val="00A17866"/>
    <w:rsid w:val="00A211B4"/>
    <w:rsid w:val="00A223CF"/>
    <w:rsid w:val="00A24ED8"/>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24C5"/>
    <w:rsid w:val="00B067CA"/>
    <w:rsid w:val="00B12B26"/>
    <w:rsid w:val="00B163F8"/>
    <w:rsid w:val="00B235A7"/>
    <w:rsid w:val="00B2472D"/>
    <w:rsid w:val="00B24CA0"/>
    <w:rsid w:val="00B2549F"/>
    <w:rsid w:val="00B4108D"/>
    <w:rsid w:val="00B419A9"/>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2747"/>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87034"/>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E32D5"/>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52E8"/>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57FF"/>
    <w:rsid w:val="00E97AD5"/>
    <w:rsid w:val="00EA1111"/>
    <w:rsid w:val="00EA3B4F"/>
    <w:rsid w:val="00EA3C24"/>
    <w:rsid w:val="00EA73DF"/>
    <w:rsid w:val="00EB61AE"/>
    <w:rsid w:val="00EC322D"/>
    <w:rsid w:val="00ED383A"/>
    <w:rsid w:val="00ED69CE"/>
    <w:rsid w:val="00EE1080"/>
    <w:rsid w:val="00EF1EC5"/>
    <w:rsid w:val="00EF4C88"/>
    <w:rsid w:val="00EF55EB"/>
    <w:rsid w:val="00EF57F8"/>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2B27"/>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5612D6"/>
    <w:pPr>
      <w:numPr>
        <w:numId w:val="25"/>
      </w:numPr>
      <w:spacing w:before="0" w:after="200"/>
      <w:ind w:left="0" w:firstLine="0"/>
    </w:pPr>
    <w:rPr>
      <w:rFonts w:eastAsiaTheme="minorHAnsi" w:cstheme="minorBidi"/>
      <w:iCs/>
      <w:szCs w:val="18"/>
    </w:rPr>
  </w:style>
  <w:style w:type="character" w:customStyle="1" w:styleId="RAN4proposalChar">
    <w:name w:val="RAN4 proposal Char"/>
    <w:link w:val="RAN4proposal"/>
    <w:rsid w:val="005612D6"/>
    <w:rPr>
      <w:rFonts w:eastAsiaTheme="minorHAnsi" w:cstheme="minorBidi"/>
      <w:b/>
      <w:iCs/>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385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0</TotalTime>
  <Pages>2</Pages>
  <Words>360</Words>
  <Characters>2054</Characters>
  <Application>Microsoft Office Word</Application>
  <DocSecurity>0</DocSecurity>
  <Lines>17</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2025-08-19T12:01:00Z</dcterms:created>
  <dcterms:modified xsi:type="dcterms:W3CDTF">2025-08-19T12:01:00Z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