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03F0C30"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7B0997">
        <w:rPr>
          <w:rFonts w:eastAsia="宋体" w:cs="Arial"/>
          <w:sz w:val="24"/>
          <w:szCs w:val="24"/>
          <w:lang w:eastAsia="zh-CN"/>
        </w:rPr>
        <w:t>6</w:t>
      </w:r>
      <w:r w:rsidR="009A5D49" w:rsidRPr="00952411">
        <w:rPr>
          <w:rFonts w:cs="Arial"/>
          <w:sz w:val="24"/>
          <w:szCs w:val="24"/>
        </w:rPr>
        <w:tab/>
      </w:r>
      <w:r w:rsidR="00050FE1" w:rsidRPr="00050FE1">
        <w:rPr>
          <w:rFonts w:cs="Arial"/>
          <w:sz w:val="24"/>
          <w:szCs w:val="24"/>
        </w:rPr>
        <w:t>R4-2510593</w:t>
      </w:r>
    </w:p>
    <w:p w14:paraId="7582E5F9" w14:textId="77777777" w:rsidR="003F60E6" w:rsidRPr="003F60E6" w:rsidRDefault="003F60E6" w:rsidP="003F60E6">
      <w:pPr>
        <w:tabs>
          <w:tab w:val="right" w:pos="9781"/>
          <w:tab w:val="right" w:pos="13323"/>
        </w:tabs>
        <w:spacing w:before="60" w:after="60"/>
        <w:outlineLvl w:val="0"/>
        <w:rPr>
          <w:rFonts w:ascii="Arial" w:eastAsia="宋体" w:hAnsi="Arial" w:cs="Arial"/>
          <w:b/>
          <w:sz w:val="24"/>
          <w:szCs w:val="24"/>
          <w:lang w:val="en-US" w:eastAsia="zh-CN"/>
        </w:rPr>
      </w:pPr>
      <w:bookmarkStart w:id="2" w:name="_Hlk204936532"/>
      <w:r w:rsidRPr="003F60E6">
        <w:rPr>
          <w:rFonts w:ascii="Arial" w:eastAsia="宋体" w:hAnsi="Arial" w:cs="Arial"/>
          <w:b/>
          <w:sz w:val="24"/>
          <w:szCs w:val="24"/>
          <w:lang w:val="en-US" w:eastAsia="zh-CN"/>
        </w:rPr>
        <w:t>Bengaluru, India, August 25</w:t>
      </w:r>
      <w:r w:rsidRPr="003F60E6">
        <w:rPr>
          <w:rFonts w:ascii="Arial" w:eastAsia="宋体" w:hAnsi="Arial" w:cs="Arial"/>
          <w:b/>
          <w:sz w:val="24"/>
          <w:szCs w:val="24"/>
          <w:vertAlign w:val="superscript"/>
          <w:lang w:val="en-US" w:eastAsia="zh-CN"/>
        </w:rPr>
        <w:t>th</w:t>
      </w:r>
      <w:r w:rsidRPr="003F60E6">
        <w:rPr>
          <w:rFonts w:ascii="Arial" w:eastAsia="宋体" w:hAnsi="Arial" w:cs="Arial"/>
          <w:b/>
          <w:sz w:val="24"/>
          <w:szCs w:val="24"/>
          <w:lang w:val="en-US" w:eastAsia="zh-CN"/>
        </w:rPr>
        <w:t xml:space="preserve"> – 29</w:t>
      </w:r>
      <w:r w:rsidRPr="003F60E6">
        <w:rPr>
          <w:rFonts w:ascii="Arial" w:eastAsia="宋体" w:hAnsi="Arial" w:cs="Arial"/>
          <w:b/>
          <w:sz w:val="24"/>
          <w:szCs w:val="24"/>
          <w:vertAlign w:val="superscript"/>
          <w:lang w:val="en-US" w:eastAsia="zh-CN"/>
        </w:rPr>
        <w:t>th</w:t>
      </w:r>
      <w:r w:rsidRPr="003F60E6">
        <w:rPr>
          <w:rFonts w:ascii="Arial" w:eastAsia="宋体" w:hAnsi="Arial" w:cs="Arial"/>
          <w:b/>
          <w:sz w:val="24"/>
          <w:szCs w:val="24"/>
          <w:lang w:val="en-US" w:eastAsia="zh-CN"/>
        </w:rPr>
        <w:t>, 2025</w:t>
      </w:r>
      <w:bookmarkEnd w:id="2"/>
    </w:p>
    <w:p w14:paraId="12C19EE5" w14:textId="77777777" w:rsidR="00DE64A1" w:rsidRPr="002D2977" w:rsidRDefault="00DE64A1" w:rsidP="001F4680">
      <w:pPr>
        <w:pStyle w:val="Footer"/>
        <w:jc w:val="left"/>
        <w:rPr>
          <w:noProof w:val="0"/>
        </w:rPr>
      </w:pPr>
    </w:p>
    <w:p w14:paraId="7F9FBBE7" w14:textId="333D4A90"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w:t>
      </w:r>
      <w:r w:rsidR="003F60E6">
        <w:rPr>
          <w:rFonts w:ascii="Arial" w:hAnsi="Arial"/>
          <w:sz w:val="24"/>
          <w:lang w:val="en-US"/>
        </w:rPr>
        <w:t>14.4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0629AF72"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36BF8" w:rsidRPr="00C36BF8">
        <w:rPr>
          <w:rFonts w:ascii="Arial" w:hAnsi="Arial"/>
          <w:sz w:val="24"/>
          <w:lang w:val="en-US"/>
        </w:rPr>
        <w:t>Discussion on Fast SCell activation for UE supporting Rel-18 EMR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31F6CBE" w14:textId="21BE7A8C" w:rsidR="00C36BF8" w:rsidRDefault="00C671ED" w:rsidP="00622EBC">
      <w:pPr>
        <w:rPr>
          <w:rFonts w:eastAsiaTheme="minorEastAsia"/>
          <w:lang w:val="en-US" w:eastAsia="zh-CN"/>
        </w:rPr>
      </w:pPr>
      <w:bookmarkStart w:id="3" w:name="_Hlk131426020"/>
      <w:r>
        <w:rPr>
          <w:rFonts w:eastAsiaTheme="minorEastAsia" w:hint="eastAsia"/>
          <w:lang w:val="en-US" w:eastAsia="zh-CN"/>
        </w:rPr>
        <w:t>The</w:t>
      </w:r>
      <w:r>
        <w:rPr>
          <w:rFonts w:eastAsiaTheme="minorEastAsia"/>
          <w:lang w:val="en-US" w:eastAsia="zh-CN"/>
        </w:rPr>
        <w:t xml:space="preserve"> enhancement on </w:t>
      </w:r>
      <w:r w:rsidR="00C36BF8">
        <w:rPr>
          <w:rFonts w:eastAsiaTheme="minorEastAsia" w:hint="eastAsia"/>
          <w:lang w:val="en-US" w:eastAsia="zh-CN"/>
        </w:rPr>
        <w:t>fast</w:t>
      </w:r>
      <w:r w:rsidR="00C36BF8">
        <w:rPr>
          <w:rFonts w:eastAsiaTheme="minorEastAsia"/>
          <w:lang w:val="en-US" w:eastAsia="zh-CN"/>
        </w:rPr>
        <w:t xml:space="preserve"> SCell activation for UE supporting EMR was completed in previous meetings. In last RAN4 meeting, some maintenance issues and UE capability were discussed with agreements captured in [1]. In this contribution, we further provide our views on the UE capabilities. </w:t>
      </w:r>
    </w:p>
    <w:bookmarkEnd w:id="3"/>
    <w:p w14:paraId="2EBB39AE" w14:textId="0555C125" w:rsidR="00DF0231" w:rsidRDefault="00DF0231" w:rsidP="00DF0231">
      <w:pPr>
        <w:pStyle w:val="Heading1"/>
        <w:numPr>
          <w:ilvl w:val="0"/>
          <w:numId w:val="1"/>
        </w:numPr>
        <w:rPr>
          <w:lang w:val="en-US"/>
        </w:rPr>
      </w:pPr>
      <w:r w:rsidRPr="002D2977">
        <w:rPr>
          <w:lang w:val="en-US"/>
        </w:rPr>
        <w:t>Discussion</w:t>
      </w:r>
    </w:p>
    <w:p w14:paraId="2ADFA5D7" w14:textId="669470D6" w:rsidR="00FF7353" w:rsidRDefault="007B0997" w:rsidP="00C36BF8">
      <w:pPr>
        <w:rPr>
          <w:lang w:eastAsia="zh-CN"/>
        </w:rPr>
      </w:pPr>
      <w:r>
        <w:rPr>
          <w:lang w:eastAsia="zh-CN"/>
        </w:rPr>
        <w:t xml:space="preserve">In last RAN4 meeting, </w:t>
      </w:r>
      <w:r w:rsidR="00C36BF8">
        <w:rPr>
          <w:lang w:eastAsia="zh-CN"/>
        </w:rPr>
        <w:t>one controversial issue is whether to introduce new UE capabilities for Rel-19 fast SCell activation based on Rel-18 EMR. The status is summarized as follows:</w:t>
      </w:r>
    </w:p>
    <w:tbl>
      <w:tblPr>
        <w:tblStyle w:val="TableGrid"/>
        <w:tblW w:w="0" w:type="auto"/>
        <w:tblLook w:val="04A0" w:firstRow="1" w:lastRow="0" w:firstColumn="1" w:lastColumn="0" w:noHBand="0" w:noVBand="1"/>
      </w:tblPr>
      <w:tblGrid>
        <w:gridCol w:w="9561"/>
      </w:tblGrid>
      <w:tr w:rsidR="00C36BF8" w14:paraId="50E1A1CA" w14:textId="77777777" w:rsidTr="00C36BF8">
        <w:tc>
          <w:tcPr>
            <w:tcW w:w="9561" w:type="dxa"/>
          </w:tcPr>
          <w:p w14:paraId="091119CB" w14:textId="77777777" w:rsidR="00C36BF8" w:rsidRPr="005022E9" w:rsidRDefault="00C36BF8" w:rsidP="00C36BF8">
            <w:pPr>
              <w:pStyle w:val="Heading2"/>
              <w:spacing w:before="240"/>
              <w:ind w:left="1361" w:hangingChars="567" w:hanging="1361"/>
              <w:rPr>
                <w:rFonts w:eastAsiaTheme="minorEastAsia"/>
                <w:sz w:val="24"/>
                <w:szCs w:val="16"/>
                <w:lang w:val="en-US"/>
              </w:rPr>
            </w:pPr>
            <w:r>
              <w:rPr>
                <w:sz w:val="24"/>
                <w:szCs w:val="16"/>
                <w:lang w:val="en-US"/>
              </w:rPr>
              <w:t>Sub-topic 2-</w:t>
            </w:r>
            <w:r>
              <w:rPr>
                <w:rFonts w:eastAsia="宋体" w:hint="eastAsia"/>
                <w:sz w:val="24"/>
                <w:szCs w:val="16"/>
                <w:lang w:val="en-US"/>
              </w:rPr>
              <w:t>1</w:t>
            </w:r>
            <w:r>
              <w:rPr>
                <w:rFonts w:hint="eastAsia"/>
                <w:sz w:val="24"/>
                <w:szCs w:val="16"/>
                <w:lang w:val="en-US"/>
              </w:rPr>
              <w:t xml:space="preserve"> </w:t>
            </w:r>
            <w:r w:rsidRPr="005B4C90">
              <w:rPr>
                <w:rFonts w:eastAsiaTheme="minorEastAsia"/>
                <w:sz w:val="24"/>
                <w:szCs w:val="16"/>
                <w:lang w:val="en-US"/>
              </w:rPr>
              <w:t>Core requirements of Fast SCell activation for UE supporting Rel-18 EMR</w:t>
            </w:r>
          </w:p>
          <w:p w14:paraId="70173FD5" w14:textId="77777777" w:rsidR="00C36BF8" w:rsidRPr="00BE1B66" w:rsidRDefault="00C36BF8" w:rsidP="00C36BF8">
            <w:pPr>
              <w:pStyle w:val="Heading3"/>
              <w:rPr>
                <w:sz w:val="21"/>
                <w:u w:val="single"/>
                <w:lang w:val="en-US" w:eastAsia="ko-KR"/>
              </w:rPr>
            </w:pPr>
            <w:r w:rsidRPr="00BE1B66">
              <w:rPr>
                <w:sz w:val="21"/>
                <w:u w:val="single"/>
                <w:lang w:val="en-US" w:eastAsia="ko-KR"/>
              </w:rPr>
              <w:t>Issue 2-1-1: UE capability for EMR-based fast SCell activation</w:t>
            </w:r>
          </w:p>
          <w:p w14:paraId="46F8CC55" w14:textId="77777777" w:rsidR="00C36BF8" w:rsidRPr="00EA026E" w:rsidRDefault="00C36BF8" w:rsidP="00C36BF8">
            <w:pPr>
              <w:snapToGrid w:val="0"/>
              <w:spacing w:after="120"/>
              <w:rPr>
                <w:rFonts w:eastAsia="宋体"/>
                <w:sz w:val="21"/>
                <w:szCs w:val="21"/>
                <w:highlight w:val="yellow"/>
              </w:rPr>
            </w:pPr>
            <w:r w:rsidRPr="00EA026E">
              <w:rPr>
                <w:rFonts w:eastAsia="宋体"/>
                <w:sz w:val="21"/>
                <w:szCs w:val="21"/>
                <w:highlight w:val="yellow"/>
              </w:rPr>
              <w:t>FFS:</w:t>
            </w:r>
          </w:p>
          <w:p w14:paraId="51C3BFC1" w14:textId="77777777" w:rsidR="00C36BF8" w:rsidRPr="00CB1DB8" w:rsidRDefault="00C36BF8" w:rsidP="00C36BF8">
            <w:pPr>
              <w:pStyle w:val="ListParagraph"/>
              <w:numPr>
                <w:ilvl w:val="0"/>
                <w:numId w:val="3"/>
              </w:numPr>
              <w:snapToGrid w:val="0"/>
              <w:spacing w:after="120"/>
              <w:ind w:left="360" w:firstLineChars="0"/>
              <w:rPr>
                <w:rFonts w:eastAsia="宋体"/>
                <w:sz w:val="21"/>
                <w:szCs w:val="21"/>
              </w:rPr>
            </w:pPr>
            <w:r w:rsidRPr="00CB1DB8">
              <w:rPr>
                <w:rFonts w:eastAsia="宋体"/>
                <w:sz w:val="21"/>
                <w:szCs w:val="21"/>
              </w:rPr>
              <w:t xml:space="preserve">Option 1: Introduce a UE capability for R19 SCell activation based on EMR </w:t>
            </w:r>
          </w:p>
          <w:p w14:paraId="5DA03803" w14:textId="77777777" w:rsidR="00C36BF8" w:rsidRPr="00CB1DB8" w:rsidRDefault="00C36BF8" w:rsidP="00C36BF8">
            <w:pPr>
              <w:pStyle w:val="ListParagraph"/>
              <w:numPr>
                <w:ilvl w:val="1"/>
                <w:numId w:val="3"/>
              </w:numPr>
              <w:snapToGrid w:val="0"/>
              <w:spacing w:after="120"/>
              <w:ind w:left="1080" w:firstLineChars="0"/>
              <w:rPr>
                <w:rFonts w:eastAsia="宋体"/>
                <w:sz w:val="21"/>
                <w:szCs w:val="21"/>
              </w:rPr>
            </w:pPr>
            <w:r w:rsidRPr="00CB1DB8">
              <w:rPr>
                <w:bCs/>
                <w:iCs/>
                <w:sz w:val="21"/>
                <w:szCs w:val="21"/>
              </w:rPr>
              <w:t>Prerequisite feature groups</w:t>
            </w:r>
            <w:r w:rsidRPr="00CB1DB8">
              <w:rPr>
                <w:rFonts w:eastAsia="Yu Mincho"/>
                <w:bCs/>
                <w:iCs/>
                <w:sz w:val="21"/>
                <w:szCs w:val="21"/>
              </w:rPr>
              <w:t>:</w:t>
            </w:r>
            <w:r w:rsidRPr="00CB1DB8">
              <w:rPr>
                <w:bCs/>
                <w:iCs/>
                <w:sz w:val="21"/>
                <w:szCs w:val="21"/>
              </w:rPr>
              <w:t xml:space="preserve"> </w:t>
            </w:r>
            <w:r w:rsidRPr="00CB1DB8">
              <w:rPr>
                <w:rFonts w:eastAsia="Yu Mincho"/>
                <w:bCs/>
                <w:iCs/>
                <w:sz w:val="21"/>
                <w:szCs w:val="21"/>
              </w:rPr>
              <w:t>39-8 or 39-9 in R18 RAN4 feature list</w:t>
            </w:r>
          </w:p>
          <w:p w14:paraId="6691B051" w14:textId="77777777" w:rsidR="00C36BF8" w:rsidRPr="00CB1DB8" w:rsidRDefault="00C36BF8" w:rsidP="00C36BF8">
            <w:pPr>
              <w:pStyle w:val="ListParagraph"/>
              <w:numPr>
                <w:ilvl w:val="1"/>
                <w:numId w:val="3"/>
              </w:numPr>
              <w:snapToGrid w:val="0"/>
              <w:spacing w:after="120"/>
              <w:ind w:left="1080" w:firstLineChars="0"/>
              <w:rPr>
                <w:rFonts w:eastAsia="宋体"/>
                <w:sz w:val="21"/>
                <w:szCs w:val="21"/>
              </w:rPr>
            </w:pPr>
            <w:r w:rsidRPr="00CB1DB8">
              <w:rPr>
                <w:rFonts w:eastAsia="宋体"/>
                <w:sz w:val="21"/>
                <w:szCs w:val="21"/>
              </w:rPr>
              <w:t xml:space="preserve">Need for the </w:t>
            </w:r>
            <w:proofErr w:type="spellStart"/>
            <w:r w:rsidRPr="00CB1DB8">
              <w:rPr>
                <w:rFonts w:eastAsia="宋体"/>
                <w:sz w:val="21"/>
                <w:szCs w:val="21"/>
              </w:rPr>
              <w:t>gNB</w:t>
            </w:r>
            <w:proofErr w:type="spellEnd"/>
            <w:r w:rsidRPr="00CB1DB8">
              <w:rPr>
                <w:rFonts w:eastAsia="宋体"/>
                <w:sz w:val="21"/>
                <w:szCs w:val="21"/>
              </w:rPr>
              <w:t xml:space="preserve"> to know if the feature is supported: No</w:t>
            </w:r>
          </w:p>
          <w:p w14:paraId="7E25FC79" w14:textId="77777777" w:rsidR="00C36BF8" w:rsidRPr="00CB1DB8" w:rsidRDefault="00C36BF8" w:rsidP="00C36BF8">
            <w:pPr>
              <w:pStyle w:val="ListParagraph"/>
              <w:numPr>
                <w:ilvl w:val="1"/>
                <w:numId w:val="3"/>
              </w:numPr>
              <w:snapToGrid w:val="0"/>
              <w:spacing w:after="120"/>
              <w:ind w:left="1080" w:firstLineChars="0"/>
              <w:rPr>
                <w:rFonts w:eastAsia="宋体"/>
                <w:sz w:val="21"/>
                <w:szCs w:val="21"/>
              </w:rPr>
            </w:pPr>
            <w:r w:rsidRPr="00CB1DB8">
              <w:rPr>
                <w:bCs/>
                <w:iCs/>
                <w:sz w:val="21"/>
                <w:szCs w:val="21"/>
              </w:rPr>
              <w:t>Granularity: Per</w:t>
            </w:r>
            <w:r w:rsidRPr="00CB1DB8">
              <w:rPr>
                <w:rFonts w:eastAsia="宋体"/>
                <w:sz w:val="21"/>
                <w:szCs w:val="21"/>
              </w:rPr>
              <w:t>-UE</w:t>
            </w:r>
          </w:p>
          <w:p w14:paraId="1253A120" w14:textId="77777777" w:rsidR="00C36BF8" w:rsidRPr="00CB1DB8" w:rsidRDefault="00C36BF8" w:rsidP="00C36BF8">
            <w:pPr>
              <w:pStyle w:val="ListParagraph"/>
              <w:numPr>
                <w:ilvl w:val="1"/>
                <w:numId w:val="3"/>
              </w:numPr>
              <w:snapToGrid w:val="0"/>
              <w:spacing w:after="120"/>
              <w:ind w:left="1080" w:firstLineChars="0"/>
              <w:rPr>
                <w:rFonts w:eastAsia="宋体"/>
                <w:sz w:val="21"/>
                <w:szCs w:val="21"/>
              </w:rPr>
            </w:pPr>
            <w:r w:rsidRPr="00CB1DB8">
              <w:rPr>
                <w:rFonts w:eastAsia="宋体"/>
                <w:sz w:val="21"/>
                <w:szCs w:val="21"/>
              </w:rPr>
              <w:t>FDD/TDD differentiation: No</w:t>
            </w:r>
          </w:p>
          <w:p w14:paraId="2D590325" w14:textId="77777777" w:rsidR="00C36BF8" w:rsidRPr="00CB1DB8" w:rsidRDefault="00C36BF8" w:rsidP="00C36BF8">
            <w:pPr>
              <w:pStyle w:val="ListParagraph"/>
              <w:numPr>
                <w:ilvl w:val="1"/>
                <w:numId w:val="3"/>
              </w:numPr>
              <w:snapToGrid w:val="0"/>
              <w:spacing w:after="120"/>
              <w:ind w:left="1080" w:firstLineChars="0"/>
              <w:rPr>
                <w:rFonts w:eastAsia="宋体"/>
                <w:sz w:val="21"/>
                <w:szCs w:val="21"/>
              </w:rPr>
            </w:pPr>
            <w:r w:rsidRPr="00CB1DB8">
              <w:rPr>
                <w:rFonts w:eastAsia="宋体"/>
                <w:sz w:val="21"/>
                <w:szCs w:val="21"/>
              </w:rPr>
              <w:t>FR1/FR2 differentiation: Yes</w:t>
            </w:r>
          </w:p>
          <w:p w14:paraId="36936DA2" w14:textId="3D10CA34" w:rsidR="00C36BF8" w:rsidRPr="00C36BF8" w:rsidRDefault="00C36BF8" w:rsidP="00C36BF8">
            <w:pPr>
              <w:pStyle w:val="ListParagraph"/>
              <w:numPr>
                <w:ilvl w:val="0"/>
                <w:numId w:val="3"/>
              </w:numPr>
              <w:snapToGrid w:val="0"/>
              <w:spacing w:after="120"/>
              <w:ind w:left="360" w:firstLineChars="0"/>
              <w:rPr>
                <w:rFonts w:eastAsia="宋体"/>
                <w:sz w:val="21"/>
                <w:szCs w:val="21"/>
              </w:rPr>
            </w:pPr>
            <w:r w:rsidRPr="00CB1DB8">
              <w:rPr>
                <w:rFonts w:eastAsia="宋体"/>
                <w:sz w:val="21"/>
                <w:szCs w:val="21"/>
              </w:rPr>
              <w:t xml:space="preserve">Option 2: Not to introduce additional UE capability </w:t>
            </w:r>
          </w:p>
        </w:tc>
      </w:tr>
    </w:tbl>
    <w:p w14:paraId="67B9ACF6" w14:textId="4829F1F9" w:rsidR="00C36BF8" w:rsidRDefault="00C36BF8" w:rsidP="00C36BF8">
      <w:pPr>
        <w:rPr>
          <w:b/>
          <w:lang w:eastAsia="zh-CN"/>
        </w:rPr>
      </w:pPr>
    </w:p>
    <w:p w14:paraId="6C24F96A" w14:textId="1F3D527A" w:rsidR="00542FB2" w:rsidRDefault="00542FB2" w:rsidP="00542FB2">
      <w:pPr>
        <w:jc w:val="both"/>
        <w:rPr>
          <w:rFonts w:eastAsiaTheme="minorEastAsia"/>
          <w:lang w:val="en-US" w:eastAsia="zh-CN"/>
        </w:rPr>
      </w:pPr>
      <w:r w:rsidRPr="00542FB2">
        <w:rPr>
          <w:rFonts w:eastAsiaTheme="minorEastAsia"/>
          <w:lang w:val="en-US" w:eastAsia="zh-CN"/>
        </w:rPr>
        <w:t xml:space="preserve">From our understanding, </w:t>
      </w:r>
      <w:r>
        <w:rPr>
          <w:rFonts w:eastAsiaTheme="minorEastAsia"/>
          <w:lang w:val="en-US" w:eastAsia="zh-CN"/>
        </w:rPr>
        <w:t xml:space="preserve">as long as UE supporting IDLE mode EMR, UE shall be able to support the Rel-19 fast SCell activation. Based on the discussion in previous meetings, the final SCell activation delay is rather conservative compared with the original proposals (i.e. exactly the same as legacy known case). Only one/two samples are reduced compared with purely unknown cases. Thus, there is no needs to introduce a new dedicated UE capability for this. Even for the other direction (i.e. option 1), </w:t>
      </w:r>
      <w:proofErr w:type="spellStart"/>
      <w:r>
        <w:rPr>
          <w:rFonts w:eastAsiaTheme="minorEastAsia"/>
          <w:lang w:val="en-US" w:eastAsia="zh-CN"/>
        </w:rPr>
        <w:t>gNB</w:t>
      </w:r>
      <w:proofErr w:type="spellEnd"/>
      <w:r>
        <w:rPr>
          <w:rFonts w:eastAsiaTheme="minorEastAsia"/>
          <w:lang w:val="en-US" w:eastAsia="zh-CN"/>
        </w:rPr>
        <w:t xml:space="preserve"> shall know whether this feature is supported or not. Otherwise, when </w:t>
      </w:r>
      <w:proofErr w:type="spellStart"/>
      <w:r>
        <w:rPr>
          <w:rFonts w:eastAsiaTheme="minorEastAsia"/>
          <w:lang w:val="en-US" w:eastAsia="zh-CN"/>
        </w:rPr>
        <w:t>gNB</w:t>
      </w:r>
      <w:proofErr w:type="spellEnd"/>
      <w:r>
        <w:rPr>
          <w:rFonts w:eastAsiaTheme="minorEastAsia"/>
          <w:lang w:val="en-US" w:eastAsia="zh-CN"/>
        </w:rPr>
        <w:t xml:space="preserve"> obtains the EMR reports from UE, </w:t>
      </w:r>
      <w:proofErr w:type="spellStart"/>
      <w:r>
        <w:rPr>
          <w:rFonts w:eastAsiaTheme="minorEastAsia"/>
          <w:lang w:val="en-US" w:eastAsia="zh-CN"/>
        </w:rPr>
        <w:t>gNB</w:t>
      </w:r>
      <w:proofErr w:type="spellEnd"/>
      <w:r>
        <w:rPr>
          <w:rFonts w:eastAsiaTheme="minorEastAsia"/>
          <w:lang w:val="en-US" w:eastAsia="zh-CN"/>
        </w:rPr>
        <w:t xml:space="preserve"> has no idea whether these results are reliable for fast SCell activation. </w:t>
      </w:r>
    </w:p>
    <w:p w14:paraId="0E91D097" w14:textId="55C4BF91" w:rsidR="00542FB2" w:rsidRDefault="00542FB2" w:rsidP="00542FB2">
      <w:pPr>
        <w:jc w:val="both"/>
        <w:rPr>
          <w:rFonts w:eastAsiaTheme="minorEastAsia"/>
          <w:b/>
          <w:lang w:val="en-US" w:eastAsia="zh-CN"/>
        </w:rPr>
      </w:pPr>
      <w:r w:rsidRPr="00542FB2">
        <w:rPr>
          <w:rFonts w:eastAsiaTheme="minorEastAsia"/>
          <w:b/>
          <w:lang w:val="en-US" w:eastAsia="zh-CN"/>
        </w:rPr>
        <w:t xml:space="preserve">Observation 1: </w:t>
      </w:r>
      <w:proofErr w:type="spellStart"/>
      <w:r w:rsidRPr="00542FB2">
        <w:rPr>
          <w:rFonts w:eastAsiaTheme="minorEastAsia"/>
          <w:b/>
          <w:lang w:val="en-US" w:eastAsia="zh-CN"/>
        </w:rPr>
        <w:t>gNB</w:t>
      </w:r>
      <w:proofErr w:type="spellEnd"/>
      <w:r w:rsidRPr="00542FB2">
        <w:rPr>
          <w:rFonts w:eastAsiaTheme="minorEastAsia"/>
          <w:b/>
          <w:lang w:val="en-US" w:eastAsia="zh-CN"/>
        </w:rPr>
        <w:t xml:space="preserve"> needs to have clear understanding on whether the reported EMR results are valid/reliable for fast SCell activation.</w:t>
      </w:r>
    </w:p>
    <w:p w14:paraId="77F605F9" w14:textId="68530154" w:rsidR="00542FB2" w:rsidRPr="00542FB2" w:rsidRDefault="00542FB2" w:rsidP="00542FB2">
      <w:pPr>
        <w:jc w:val="both"/>
        <w:rPr>
          <w:rFonts w:eastAsiaTheme="minorEastAsia"/>
          <w:b/>
          <w:lang w:val="en-US" w:eastAsia="zh-CN"/>
        </w:rPr>
      </w:pPr>
      <w:r>
        <w:rPr>
          <w:rFonts w:eastAsiaTheme="minorEastAsia"/>
          <w:b/>
          <w:lang w:val="en-US" w:eastAsia="zh-CN"/>
        </w:rPr>
        <w:t>Proposal 1: No need to introduce additional UE capability for Rel-19 fast SCell activation based on EMR.</w:t>
      </w:r>
    </w:p>
    <w:p w14:paraId="58C0DAFA" w14:textId="77777777" w:rsidR="00542FB2" w:rsidRPr="00542FB2" w:rsidRDefault="00542FB2" w:rsidP="00542FB2">
      <w:pPr>
        <w:jc w:val="both"/>
        <w:rPr>
          <w:rFonts w:eastAsiaTheme="minorEastAsia"/>
          <w:lang w:val="en-US" w:eastAsia="zh-CN"/>
        </w:rPr>
      </w:pPr>
    </w:p>
    <w:p w14:paraId="1BA6FCBB" w14:textId="77777777" w:rsidR="001A0A8F" w:rsidRPr="00805386" w:rsidRDefault="001A0A8F" w:rsidP="007A7559">
      <w:pPr>
        <w:jc w:val="both"/>
        <w:rPr>
          <w:lang w:eastAsia="zh-CN"/>
        </w:rPr>
      </w:pPr>
    </w:p>
    <w:p w14:paraId="24120099" w14:textId="2715CD7C" w:rsidR="00386BEA" w:rsidRPr="00386BEA" w:rsidRDefault="00DF0231" w:rsidP="00A86270">
      <w:pPr>
        <w:pStyle w:val="Heading1"/>
        <w:numPr>
          <w:ilvl w:val="0"/>
          <w:numId w:val="1"/>
        </w:numPr>
        <w:rPr>
          <w:lang w:val="en-US"/>
        </w:rPr>
      </w:pPr>
      <w:bookmarkStart w:id="4" w:name="_GoBack"/>
      <w:bookmarkEnd w:id="4"/>
      <w:r w:rsidRPr="002D2977">
        <w:rPr>
          <w:lang w:val="en-US"/>
        </w:rPr>
        <w:lastRenderedPageBreak/>
        <w:t>Conclusions</w:t>
      </w:r>
    </w:p>
    <w:p w14:paraId="4E487B46" w14:textId="77777777" w:rsidR="00542FB2" w:rsidRDefault="00542FB2" w:rsidP="00542FB2">
      <w:pPr>
        <w:jc w:val="both"/>
        <w:rPr>
          <w:rFonts w:eastAsiaTheme="minorEastAsia"/>
          <w:b/>
          <w:lang w:val="en-US" w:eastAsia="zh-CN"/>
        </w:rPr>
      </w:pPr>
      <w:r w:rsidRPr="00542FB2">
        <w:rPr>
          <w:rFonts w:eastAsiaTheme="minorEastAsia"/>
          <w:b/>
          <w:lang w:val="en-US" w:eastAsia="zh-CN"/>
        </w:rPr>
        <w:t xml:space="preserve">Observation 1: </w:t>
      </w:r>
      <w:proofErr w:type="spellStart"/>
      <w:r w:rsidRPr="00542FB2">
        <w:rPr>
          <w:rFonts w:eastAsiaTheme="minorEastAsia"/>
          <w:b/>
          <w:lang w:val="en-US" w:eastAsia="zh-CN"/>
        </w:rPr>
        <w:t>gNB</w:t>
      </w:r>
      <w:proofErr w:type="spellEnd"/>
      <w:r w:rsidRPr="00542FB2">
        <w:rPr>
          <w:rFonts w:eastAsiaTheme="minorEastAsia"/>
          <w:b/>
          <w:lang w:val="en-US" w:eastAsia="zh-CN"/>
        </w:rPr>
        <w:t xml:space="preserve"> needs to have clear understanding on whether the reported EMR results are valid/reliable for fast SCell activation.</w:t>
      </w:r>
    </w:p>
    <w:p w14:paraId="4DAE0405" w14:textId="2C33F2F6" w:rsidR="00542FB2" w:rsidRPr="00542FB2" w:rsidRDefault="00542FB2" w:rsidP="00542FB2">
      <w:pPr>
        <w:jc w:val="both"/>
        <w:rPr>
          <w:rFonts w:eastAsiaTheme="minorEastAsia"/>
          <w:b/>
          <w:lang w:val="en-US" w:eastAsia="zh-CN"/>
        </w:rPr>
      </w:pPr>
      <w:r>
        <w:rPr>
          <w:rFonts w:eastAsiaTheme="minorEastAsia"/>
          <w:b/>
          <w:lang w:val="en-US" w:eastAsia="zh-CN"/>
        </w:rPr>
        <w:t>Proposal 1: No need to introduce additional UE capability for Rel-19 fast SCell activation based on EMR.</w:t>
      </w:r>
    </w:p>
    <w:p w14:paraId="3872267E" w14:textId="77777777" w:rsidR="0036307E" w:rsidRPr="00542FB2" w:rsidRDefault="0036307E" w:rsidP="0012676E">
      <w:pPr>
        <w:jc w:val="both"/>
        <w:rPr>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4EED9A85" w:rsidR="007E1DD2" w:rsidRDefault="00850948">
      <w:pPr>
        <w:rPr>
          <w:rFonts w:eastAsiaTheme="minorEastAsia"/>
          <w:lang w:eastAsia="zh-CN"/>
        </w:rPr>
      </w:pPr>
      <w:r>
        <w:rPr>
          <w:rFonts w:eastAsiaTheme="minorEastAsia"/>
          <w:lang w:eastAsia="zh-CN"/>
        </w:rPr>
        <w:t xml:space="preserve">[1] </w:t>
      </w:r>
      <w:r w:rsidR="00C36BF8" w:rsidRPr="00C36BF8">
        <w:rPr>
          <w:rFonts w:eastAsiaTheme="minorEastAsia"/>
          <w:lang w:eastAsia="zh-CN"/>
        </w:rPr>
        <w:t>R4-2508266</w:t>
      </w:r>
      <w:r w:rsidR="00C36BF8">
        <w:rPr>
          <w:rFonts w:eastAsiaTheme="minorEastAsia"/>
          <w:lang w:eastAsia="zh-CN"/>
        </w:rPr>
        <w:t xml:space="preserve"> </w:t>
      </w:r>
      <w:r w:rsidR="00F47003" w:rsidRPr="00F47003">
        <w:rPr>
          <w:rFonts w:eastAsiaTheme="minorEastAsia"/>
          <w:lang w:eastAsia="zh-CN"/>
        </w:rPr>
        <w:t>WF on RRM requirements for NR_RRM_Ph5_Part2</w:t>
      </w:r>
    </w:p>
    <w:p w14:paraId="106DCE2A" w14:textId="77777777" w:rsidR="00C64829" w:rsidRDefault="00C64829">
      <w:pPr>
        <w:rPr>
          <w:rFonts w:eastAsiaTheme="minorEastAsia"/>
          <w:lang w:eastAsia="zh-CN"/>
        </w:rPr>
        <w:sectPr w:rsidR="00C64829" w:rsidSect="00C64829">
          <w:footerReference w:type="even" r:id="rId8"/>
          <w:footerReference w:type="default" r:id="rId9"/>
          <w:footnotePr>
            <w:numRestart w:val="eachSect"/>
          </w:footnotePr>
          <w:pgSz w:w="11906" w:h="16838" w:code="9"/>
          <w:pgMar w:top="1411" w:right="1197" w:bottom="1138" w:left="1138" w:header="850" w:footer="346" w:gutter="0"/>
          <w:pgNumType w:start="1"/>
          <w:cols w:space="720"/>
          <w:docGrid w:linePitch="272"/>
        </w:sectPr>
      </w:pPr>
    </w:p>
    <w:p w14:paraId="4D06C33E" w14:textId="58F6D59D" w:rsidR="009F55AD" w:rsidRDefault="009F55AD">
      <w:pPr>
        <w:rPr>
          <w:rFonts w:eastAsiaTheme="minorEastAsia"/>
          <w:lang w:eastAsia="zh-CN"/>
        </w:rPr>
      </w:pPr>
    </w:p>
    <w:p w14:paraId="645361BA" w14:textId="6DD90CF6" w:rsidR="009F55AD" w:rsidRDefault="009F55AD">
      <w:pPr>
        <w:rPr>
          <w:rFonts w:eastAsiaTheme="minorEastAsia"/>
          <w:lang w:eastAsia="zh-CN"/>
        </w:rPr>
      </w:pPr>
    </w:p>
    <w:sectPr w:rsidR="009F55AD" w:rsidSect="009F55AD">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6B263" w14:textId="77777777" w:rsidR="00DE5DED" w:rsidRDefault="00DE5DED">
      <w:pPr>
        <w:spacing w:after="0"/>
      </w:pPr>
      <w:r>
        <w:separator/>
      </w:r>
    </w:p>
  </w:endnote>
  <w:endnote w:type="continuationSeparator" w:id="0">
    <w:p w14:paraId="5F4D1B3C" w14:textId="77777777" w:rsidR="00DE5DED" w:rsidRDefault="00DE5D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860E3" w14:textId="77777777" w:rsidR="00DE5DED" w:rsidRDefault="00DE5DED">
      <w:pPr>
        <w:spacing w:after="0"/>
      </w:pPr>
      <w:r>
        <w:separator/>
      </w:r>
    </w:p>
  </w:footnote>
  <w:footnote w:type="continuationSeparator" w:id="0">
    <w:p w14:paraId="3ED84FEA" w14:textId="77777777" w:rsidR="00DE5DED" w:rsidRDefault="00DE5D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
  </w:num>
  <w:num w:numId="4">
    <w:abstractNumId w:val="12"/>
  </w:num>
  <w:num w:numId="5">
    <w:abstractNumId w:val="2"/>
  </w:num>
  <w:num w:numId="6">
    <w:abstractNumId w:val="1"/>
  </w:num>
  <w:num w:numId="7">
    <w:abstractNumId w:val="3"/>
  </w:num>
  <w:num w:numId="8">
    <w:abstractNumId w:val="13"/>
  </w:num>
  <w:num w:numId="9">
    <w:abstractNumId w:val="10"/>
  </w:num>
  <w:num w:numId="10">
    <w:abstractNumId w:val="8"/>
  </w:num>
  <w:num w:numId="11">
    <w:abstractNumId w:val="0"/>
  </w:num>
  <w:num w:numId="12">
    <w:abstractNumId w:val="4"/>
  </w:num>
  <w:num w:numId="13">
    <w:abstractNumId w:val="11"/>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0FE1"/>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77FD"/>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74D6D"/>
    <w:rsid w:val="002825C6"/>
    <w:rsid w:val="00282D3C"/>
    <w:rsid w:val="0028373E"/>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45398"/>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60E6"/>
    <w:rsid w:val="003F762D"/>
    <w:rsid w:val="003F76BC"/>
    <w:rsid w:val="00401473"/>
    <w:rsid w:val="00401CE4"/>
    <w:rsid w:val="004055B8"/>
    <w:rsid w:val="004111AF"/>
    <w:rsid w:val="00411BBF"/>
    <w:rsid w:val="00412C4D"/>
    <w:rsid w:val="00415933"/>
    <w:rsid w:val="0041604F"/>
    <w:rsid w:val="00420037"/>
    <w:rsid w:val="00420459"/>
    <w:rsid w:val="00423683"/>
    <w:rsid w:val="00423FB0"/>
    <w:rsid w:val="004273E7"/>
    <w:rsid w:val="00427A24"/>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0BD1"/>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2FB2"/>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54B7"/>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1F8"/>
    <w:rsid w:val="00622EBC"/>
    <w:rsid w:val="00622FBA"/>
    <w:rsid w:val="00625728"/>
    <w:rsid w:val="00637A49"/>
    <w:rsid w:val="006420CE"/>
    <w:rsid w:val="00651B4A"/>
    <w:rsid w:val="006538FE"/>
    <w:rsid w:val="0065634B"/>
    <w:rsid w:val="006569FC"/>
    <w:rsid w:val="006617B8"/>
    <w:rsid w:val="0066186B"/>
    <w:rsid w:val="00661AFF"/>
    <w:rsid w:val="00664D04"/>
    <w:rsid w:val="006679EA"/>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0997"/>
    <w:rsid w:val="007B119C"/>
    <w:rsid w:val="007B18BC"/>
    <w:rsid w:val="007B3DC0"/>
    <w:rsid w:val="007B57F3"/>
    <w:rsid w:val="007B7B6A"/>
    <w:rsid w:val="007C0D2E"/>
    <w:rsid w:val="007C1A2D"/>
    <w:rsid w:val="007C1B7E"/>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837"/>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599E"/>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E0610"/>
    <w:rsid w:val="009E2C42"/>
    <w:rsid w:val="009E2E73"/>
    <w:rsid w:val="009E3C27"/>
    <w:rsid w:val="009E5023"/>
    <w:rsid w:val="009E589D"/>
    <w:rsid w:val="009E6763"/>
    <w:rsid w:val="009E6DC8"/>
    <w:rsid w:val="009E7810"/>
    <w:rsid w:val="009F197E"/>
    <w:rsid w:val="009F55AD"/>
    <w:rsid w:val="009F583E"/>
    <w:rsid w:val="009F7F10"/>
    <w:rsid w:val="00A00597"/>
    <w:rsid w:val="00A0093B"/>
    <w:rsid w:val="00A0192C"/>
    <w:rsid w:val="00A03080"/>
    <w:rsid w:val="00A06575"/>
    <w:rsid w:val="00A07360"/>
    <w:rsid w:val="00A110CC"/>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BBC"/>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2713"/>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1A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6BF8"/>
    <w:rsid w:val="00C37748"/>
    <w:rsid w:val="00C402BA"/>
    <w:rsid w:val="00C418A9"/>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3977"/>
    <w:rsid w:val="00CB473E"/>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6A1D"/>
    <w:rsid w:val="00D93695"/>
    <w:rsid w:val="00D94E39"/>
    <w:rsid w:val="00D9789C"/>
    <w:rsid w:val="00DA3FC0"/>
    <w:rsid w:val="00DA7CE8"/>
    <w:rsid w:val="00DB10D2"/>
    <w:rsid w:val="00DB17D5"/>
    <w:rsid w:val="00DB1DD4"/>
    <w:rsid w:val="00DB61B3"/>
    <w:rsid w:val="00DC3E47"/>
    <w:rsid w:val="00DC49A6"/>
    <w:rsid w:val="00DD0915"/>
    <w:rsid w:val="00DD1DFF"/>
    <w:rsid w:val="00DD33CF"/>
    <w:rsid w:val="00DE2EAB"/>
    <w:rsid w:val="00DE3896"/>
    <w:rsid w:val="00DE4435"/>
    <w:rsid w:val="00DE5DED"/>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97E"/>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40DB6"/>
    <w:rsid w:val="00F413E7"/>
    <w:rsid w:val="00F42BFC"/>
    <w:rsid w:val="00F45711"/>
    <w:rsid w:val="00F45BF6"/>
    <w:rsid w:val="00F47003"/>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C4C9F"/>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SGS Table Basic 1"/>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14F8D-53E5-4FA2-939A-8CA65FE8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10871</TotalTime>
  <Pages>3</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43</cp:revision>
  <dcterms:created xsi:type="dcterms:W3CDTF">2022-09-19T08:46:00Z</dcterms:created>
  <dcterms:modified xsi:type="dcterms:W3CDTF">2025-08-15T08:39:00Z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