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rPr>
        <w:t>R4-2</w:t>
      </w:r>
      <w:r>
        <w:rPr>
          <w:rFonts w:hint="eastAsia" w:ascii="Arial" w:hAnsi="Arial" w:cs="Arial"/>
          <w:b/>
          <w:sz w:val="24"/>
          <w:szCs w:val="24"/>
          <w:lang w:val="en-US" w:eastAsia="zh-CN"/>
        </w:rPr>
        <w:t>506566</w:t>
      </w:r>
      <w:bookmarkEnd w:id="5"/>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Malta, MT, 19th – 23rd May,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5.19.1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 xml:space="preserve">Discussion on Further NR mobility enhancements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spacing w:before="0" w:beforeLines="0" w:after="0" w:afterLines="0"/>
        <w:ind w:left="510" w:hanging="510"/>
      </w:pPr>
      <w:r>
        <w:t>Introduction</w:t>
      </w:r>
    </w:p>
    <w:p>
      <w:pPr>
        <w:rPr>
          <w:rStyle w:val="105"/>
          <w:color w:val="000000"/>
          <w:shd w:val="clear" w:color="auto" w:fill="FFFFFF"/>
        </w:rPr>
      </w:pPr>
      <w:r>
        <w:rPr>
          <w:rStyle w:val="105"/>
          <w:color w:val="000000"/>
          <w:shd w:val="clear" w:color="auto" w:fill="FFFFFF"/>
        </w:rPr>
        <w:t>In this contribution</w:t>
      </w:r>
      <w:r>
        <w:rPr>
          <w:rStyle w:val="105"/>
          <w:rFonts w:hint="eastAsia"/>
          <w:color w:val="000000"/>
          <w:shd w:val="clear" w:color="auto" w:fill="FFFFFF"/>
          <w:lang w:val="en-US" w:eastAsia="zh-CN"/>
        </w:rPr>
        <w:t>,</w:t>
      </w:r>
      <w:r>
        <w:rPr>
          <w:rStyle w:val="105"/>
          <w:color w:val="000000"/>
          <w:shd w:val="clear" w:color="auto" w:fill="FFFFFF"/>
        </w:rPr>
        <w:t xml:space="preserve"> we discuss the remaining open issues for </w:t>
      </w:r>
      <w:r>
        <w:rPr>
          <w:rStyle w:val="105"/>
          <w:rFonts w:hint="eastAsia"/>
          <w:color w:val="000000"/>
          <w:shd w:val="clear" w:color="auto" w:fill="FFFFFF"/>
          <w:lang w:val="en-US" w:eastAsia="zh-CN"/>
        </w:rPr>
        <w:t>mobility</w:t>
      </w:r>
      <w:r>
        <w:rPr>
          <w:rStyle w:val="105"/>
          <w:color w:val="000000"/>
          <w:shd w:val="clear" w:color="auto" w:fill="FFFFFF"/>
        </w:rPr>
        <w:t xml:space="preserve"> core part requirements based on the RAN4#11</w:t>
      </w:r>
      <w:r>
        <w:rPr>
          <w:rStyle w:val="105"/>
          <w:rFonts w:hint="eastAsia"/>
          <w:color w:val="000000"/>
          <w:shd w:val="clear" w:color="auto" w:fill="FFFFFF"/>
          <w:lang w:val="en-US" w:eastAsia="zh-CN"/>
        </w:rPr>
        <w:t>4</w:t>
      </w:r>
      <w:r>
        <w:rPr>
          <w:rStyle w:val="105"/>
          <w:color w:val="000000"/>
          <w:shd w:val="clear" w:color="auto" w:fill="FFFFFF"/>
        </w:rPr>
        <w:t xml:space="preserve"> way forward [1].</w:t>
      </w:r>
    </w:p>
    <w:p>
      <w:pPr>
        <w:pStyle w:val="58"/>
        <w:tabs>
          <w:tab w:val="left" w:pos="567"/>
          <w:tab w:val="clear" w:pos="1985"/>
        </w:tabs>
        <w:adjustRightInd w:val="0"/>
        <w:spacing w:before="157" w:beforeLines="50" w:after="157" w:afterLines="50"/>
        <w:ind w:left="510" w:hanging="510"/>
        <w:rPr>
          <w:rFonts w:hint="eastAsia"/>
          <w:lang w:val="en-US" w:eastAsia="zh-CN"/>
        </w:rPr>
      </w:pPr>
      <w:r>
        <w:rPr>
          <w:rFonts w:hint="eastAsia"/>
        </w:rPr>
        <w:t>Discussion</w:t>
      </w:r>
    </w:p>
    <w:p>
      <w:pPr>
        <w:adjustRightInd w:val="0"/>
        <w:spacing w:before="157" w:beforeLines="50" w:after="157" w:afterLines="50"/>
        <w:ind w:left="0" w:firstLine="0"/>
        <w:rPr>
          <w:rFonts w:hint="eastAsia"/>
          <w:lang w:val="en-US" w:eastAsia="zh-CN"/>
        </w:rPr>
      </w:pPr>
      <w:r>
        <w:rPr>
          <w:rFonts w:hint="eastAsia"/>
          <w:lang w:val="en-US" w:eastAsia="zh-CN"/>
        </w:rPr>
        <w:t>In this contribution, we will provide our views on some issues based on the WF which agreed in RAN4#114 meeting.</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4" w:hRule="atLeast"/>
        </w:trPr>
        <w:tc>
          <w:tcPr>
            <w:tcW w:w="9629" w:type="dxa"/>
          </w:tcPr>
          <w:p>
            <w:pPr>
              <w:pStyle w:val="5"/>
              <w:numPr>
                <w:ilvl w:val="0"/>
                <w:numId w:val="0"/>
              </w:numPr>
              <w:bidi w:val="0"/>
              <w:ind w:leftChars="0"/>
              <w:rPr>
                <w:lang w:val="en-US"/>
              </w:rPr>
            </w:pPr>
            <w:bookmarkStart w:id="1" w:name="_Hlk182238277"/>
            <w:r>
              <w:rPr>
                <w:lang w:val="en-US"/>
              </w:rPr>
              <w:t xml:space="preserve">Sub-topic 1-2 RAN1 LS on collision between </w:t>
            </w:r>
            <w:bookmarkStart w:id="2" w:name="_Hlk190099550"/>
            <w:r>
              <w:rPr>
                <w:lang w:val="en-US"/>
              </w:rPr>
              <w:t>SSB and RA occasion for LTM</w:t>
            </w:r>
            <w:bookmarkEnd w:id="2"/>
          </w:p>
          <w:p>
            <w:pPr>
              <w:rPr>
                <w:b/>
                <w:u w:val="single"/>
                <w:lang w:eastAsia="ko-KR"/>
              </w:rPr>
            </w:pPr>
            <w:r>
              <w:rPr>
                <w:b/>
                <w:u w:val="single"/>
                <w:lang w:eastAsia="ko-KR"/>
              </w:rPr>
              <w:t>Issue 1-2-1: whether/how to handle the collision between an SSB and a valid RO for LTM</w:t>
            </w:r>
          </w:p>
          <w:p>
            <w:pPr>
              <w:snapToGrid w:val="0"/>
              <w:spacing w:after="120"/>
              <w:rPr>
                <w:rFonts w:eastAsia="PMingLiU"/>
                <w:lang w:eastAsia="zh-TW"/>
              </w:rPr>
            </w:pPr>
            <w:r>
              <w:t>Agreement on reply LS</w:t>
            </w:r>
          </w:p>
          <w:p>
            <w:pPr>
              <w:pStyle w:val="37"/>
              <w:numPr>
                <w:ilvl w:val="0"/>
                <w:numId w:val="4"/>
              </w:numPr>
              <w:overflowPunct/>
              <w:autoSpaceDE/>
              <w:adjustRightInd/>
              <w:snapToGrid w:val="0"/>
              <w:spacing w:after="120"/>
              <w:ind w:left="936" w:firstLineChars="0"/>
              <w:textAlignment w:val="auto"/>
              <w:rPr>
                <w:rFonts w:eastAsiaTheme="minorEastAsia"/>
                <w:lang w:eastAsia="zh-CN"/>
              </w:rPr>
            </w:pPr>
            <w:r>
              <w:t>RACH shall be prioritized over SSB, if the collision is outside MG.</w:t>
            </w:r>
          </w:p>
          <w:p>
            <w:pPr>
              <w:pStyle w:val="37"/>
              <w:numPr>
                <w:ilvl w:val="0"/>
                <w:numId w:val="4"/>
              </w:numPr>
              <w:overflowPunct/>
              <w:autoSpaceDE/>
              <w:adjustRightInd/>
              <w:snapToGrid w:val="0"/>
              <w:spacing w:after="120"/>
              <w:ind w:left="936" w:firstLineChars="0"/>
              <w:textAlignment w:val="auto"/>
              <w:rPr>
                <w:rFonts w:eastAsiaTheme="minorEastAsia"/>
                <w:lang w:eastAsia="zh-CN"/>
              </w:rPr>
            </w:pPr>
            <w:r>
              <w:rPr>
                <w:rFonts w:eastAsiaTheme="minorEastAsia"/>
                <w:lang w:eastAsia="zh-CN"/>
              </w:rPr>
              <w:t>If collision happens within MG, it is up to UE implementation, i.e., UE may transmit or drop RACH when the RACH occasion colliding with the MG occasion.</w:t>
            </w:r>
          </w:p>
          <w:p>
            <w:pPr>
              <w:overflowPunct/>
              <w:autoSpaceDE/>
              <w:adjustRightInd/>
              <w:snapToGrid w:val="0"/>
              <w:spacing w:after="120"/>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w:t>
            </w:r>
          </w:p>
          <w:p>
            <w:pPr>
              <w:pStyle w:val="37"/>
              <w:numPr>
                <w:ilvl w:val="0"/>
                <w:numId w:val="4"/>
              </w:numPr>
              <w:overflowPunct/>
              <w:autoSpaceDE/>
              <w:adjustRightInd/>
              <w:snapToGrid w:val="0"/>
              <w:spacing w:after="120"/>
              <w:ind w:left="936" w:firstLineChars="0"/>
              <w:textAlignment w:val="auto"/>
              <w:rPr>
                <w:rFonts w:eastAsiaTheme="minorEastAsia"/>
                <w:lang w:eastAsia="zh-CN"/>
              </w:rPr>
            </w:pPr>
            <w:r>
              <w:rPr>
                <w:rFonts w:eastAsiaTheme="minorEastAsia"/>
                <w:lang w:eastAsia="zh-CN"/>
              </w:rPr>
              <w:t>Further discuss the definition of RACH occasion colliding with the MG occasion.</w:t>
            </w:r>
          </w:p>
          <w:bookmarkEnd w:id="1"/>
          <w:p>
            <w:pPr>
              <w:pStyle w:val="96"/>
              <w:numPr>
                <w:ilvl w:val="-1"/>
                <w:numId w:val="0"/>
              </w:numPr>
              <w:tabs>
                <w:tab w:val="left" w:pos="644"/>
                <w:tab w:val="clear" w:pos="1619"/>
              </w:tabs>
              <w:overflowPunct w:val="0"/>
              <w:autoSpaceDE w:val="0"/>
              <w:autoSpaceDN w:val="0"/>
              <w:adjustRightInd w:val="0"/>
              <w:spacing w:before="157" w:beforeLines="50" w:after="157" w:afterLines="50"/>
              <w:ind w:left="0" w:firstLine="0"/>
              <w:textAlignment w:val="baseline"/>
              <w:rPr>
                <w:rFonts w:cs="Arial"/>
                <w:sz w:val="21"/>
                <w:szCs w:val="21"/>
              </w:rPr>
            </w:pPr>
          </w:p>
        </w:tc>
      </w:tr>
    </w:tbl>
    <w:p>
      <w:pPr>
        <w:adjustRightInd w:val="0"/>
        <w:spacing w:before="157" w:beforeLines="50" w:after="157" w:afterLines="50"/>
        <w:ind w:left="0" w:firstLine="0"/>
        <w:rPr>
          <w:rFonts w:hint="default"/>
          <w:lang w:val="en-US" w:eastAsia="zh-CN"/>
        </w:rPr>
      </w:pPr>
      <w:r>
        <w:rPr>
          <w:rFonts w:hint="eastAsia"/>
          <w:lang w:val="en-US" w:eastAsia="zh-CN"/>
        </w:rPr>
        <w:t>For the first issue, we have discussed how to handle the collision between an SSB and a valid RO. As a result, this issue is divided into two parts that collision is outside MG and collision with the MG occasion. For the first case, RACH occsion has higer priority and SSB measurement should be dropped. For the second case, it</w:t>
      </w:r>
      <w:r>
        <w:rPr>
          <w:rFonts w:hint="default"/>
          <w:lang w:val="en-US" w:eastAsia="zh-CN"/>
        </w:rPr>
        <w:t>’</w:t>
      </w:r>
      <w:r>
        <w:rPr>
          <w:rFonts w:hint="eastAsia"/>
          <w:lang w:val="en-US" w:eastAsia="zh-CN"/>
        </w:rPr>
        <w:t>s up to UE how to handle the cillision, transmit or drop RACH. The issue we should discuss in this meeting is how to define the collision between RACH occasion and MG occasion.</w:t>
      </w:r>
    </w:p>
    <w:p>
      <w:pPr>
        <w:numPr>
          <w:ilvl w:val="-1"/>
          <w:numId w:val="0"/>
        </w:numPr>
        <w:spacing w:before="157" w:beforeLines="50"/>
        <w:ind w:left="0" w:firstLine="0"/>
        <w:rPr>
          <w:rFonts w:hint="eastAsia"/>
          <w:bCs/>
          <w:lang w:val="en-US" w:eastAsia="zh-CN"/>
        </w:rPr>
      </w:pPr>
      <w:r>
        <w:rPr>
          <w:rFonts w:hint="eastAsia"/>
          <w:lang w:val="en-US" w:eastAsia="zh-CN"/>
        </w:rPr>
        <w:t>First, if RACH occasion and MG occasion overlap in the time domain, including partially and fully overlapping, we can understand it as a collision between RACH occsion and MG occasion at this time. In addition, if RO arrives before MG and the time difference between the two is not sufficient to complete MG rescheduling or cancellation, MG still exists in this situation, which may also be considered as a collision scenario. When we discussed the value</w:t>
      </w:r>
      <w:r>
        <w:rPr>
          <w:b/>
          <w:u w:val="none"/>
          <w:lang w:eastAsia="ko-KR"/>
        </w:rPr>
        <w:t xml:space="preserve"> </w:t>
      </w:r>
      <w:r>
        <w:rPr>
          <w:b w:val="0"/>
          <w:bCs/>
          <w:u w:val="none"/>
          <w:lang w:eastAsia="ko-KR"/>
        </w:rPr>
        <w:t xml:space="preserve">of </w:t>
      </w:r>
      <w:r>
        <w:rPr>
          <w:b w:val="0"/>
          <w:bCs/>
          <w:szCs w:val="24"/>
          <w:u w:val="none"/>
        </w:rPr>
        <w:t>T</w:t>
      </w:r>
      <w:r>
        <w:rPr>
          <w:b w:val="0"/>
          <w:bCs/>
          <w:szCs w:val="24"/>
          <w:u w:val="none"/>
          <w:vertAlign w:val="subscript"/>
        </w:rPr>
        <w:t>SSB</w:t>
      </w:r>
      <w:r>
        <w:rPr>
          <w:b w:val="0"/>
          <w:bCs/>
          <w:szCs w:val="24"/>
          <w:u w:val="none"/>
        </w:rPr>
        <w:t xml:space="preserve"> </w:t>
      </w:r>
      <w:r>
        <w:rPr>
          <w:rFonts w:eastAsia="Malgun Gothic"/>
          <w:b w:val="0"/>
          <w:bCs/>
          <w:szCs w:val="24"/>
          <w:u w:val="none"/>
          <w:lang w:eastAsia="ko-KR"/>
        </w:rPr>
        <w:t>if the condition of T</w:t>
      </w:r>
      <w:r>
        <w:rPr>
          <w:rFonts w:eastAsia="Malgun Gothic"/>
          <w:b w:val="0"/>
          <w:bCs/>
          <w:szCs w:val="24"/>
          <w:u w:val="none"/>
          <w:vertAlign w:val="subscript"/>
          <w:lang w:eastAsia="ko-KR"/>
        </w:rPr>
        <w:t>SSB</w:t>
      </w:r>
      <w:r>
        <w:rPr>
          <w:rFonts w:eastAsia="Malgun Gothic"/>
          <w:b w:val="0"/>
          <w:bCs/>
          <w:szCs w:val="24"/>
          <w:u w:val="none"/>
          <w:lang w:eastAsia="ko-KR"/>
        </w:rPr>
        <w:t xml:space="preserve"> equal to zero is not met</w:t>
      </w:r>
      <w:r>
        <w:rPr>
          <w:b w:val="0"/>
          <w:bCs/>
          <w:u w:val="none"/>
          <w:lang w:eastAsia="ko-KR"/>
        </w:rPr>
        <w:t xml:space="preserve"> in PDCCH ordered RACH delay requirements</w:t>
      </w:r>
      <w:r>
        <w:rPr>
          <w:rFonts w:hint="eastAsia"/>
          <w:bCs/>
          <w:lang w:val="en-US" w:eastAsia="zh-CN"/>
        </w:rPr>
        <w:t>, the case that SSB outside actibe DL BWP is considered and margin (2ms) is added for MG resheduling.</w:t>
      </w:r>
    </w:p>
    <w:p>
      <w:pPr>
        <w:numPr>
          <w:numId w:val="0"/>
        </w:numPr>
        <w:spacing w:before="157" w:beforeLines="50"/>
        <w:ind w:left="0" w:firstLine="0"/>
        <w:rPr>
          <w:rFonts w:hint="default" w:eastAsiaTheme="minorEastAsia"/>
          <w:lang w:val="en-US" w:eastAsia="zh-CN"/>
        </w:rPr>
      </w:pPr>
      <w:r>
        <w:rPr>
          <w:rFonts w:hint="eastAsia"/>
          <w:b/>
          <w:bCs w:val="0"/>
          <w:lang w:val="en-US" w:eastAsia="zh-CN"/>
        </w:rPr>
        <w:t xml:space="preserve">Proposal 1: </w:t>
      </w:r>
      <w:r>
        <w:rPr>
          <w:rFonts w:eastAsiaTheme="minorEastAsia"/>
          <w:b/>
          <w:lang w:eastAsia="zh-CN"/>
        </w:rPr>
        <w:t>RACH occasion</w:t>
      </w:r>
      <w:r>
        <w:rPr>
          <w:rFonts w:hint="eastAsia" w:eastAsiaTheme="minorEastAsia"/>
          <w:b/>
          <w:lang w:val="en-US" w:eastAsia="zh-CN"/>
        </w:rPr>
        <w:t xml:space="preserve"> and</w:t>
      </w:r>
      <w:r>
        <w:rPr>
          <w:rFonts w:eastAsiaTheme="minorEastAsia"/>
          <w:b/>
          <w:lang w:eastAsia="zh-CN"/>
        </w:rPr>
        <w:t xml:space="preserve"> MG occasion</w:t>
      </w:r>
      <w:r>
        <w:rPr>
          <w:rFonts w:hint="eastAsia" w:eastAsiaTheme="minorEastAsia"/>
          <w:b/>
          <w:lang w:val="en-US" w:eastAsia="zh-CN"/>
        </w:rPr>
        <w:t xml:space="preserve"> are considered colliding if </w:t>
      </w:r>
      <w:r>
        <w:rPr>
          <w:rFonts w:eastAsiaTheme="minorEastAsia"/>
          <w:b/>
          <w:kern w:val="2"/>
          <w:sz w:val="21"/>
          <w:szCs w:val="22"/>
          <w:lang w:val="en-US" w:eastAsia="zh-CN"/>
        </w:rPr>
        <w:t>the two occasions are fully or partially overlapping in time domain</w:t>
      </w:r>
      <w:r>
        <w:rPr>
          <w:rFonts w:hint="eastAsia" w:eastAsiaTheme="minorEastAsia"/>
          <w:b/>
          <w:kern w:val="2"/>
          <w:sz w:val="21"/>
          <w:szCs w:val="22"/>
          <w:highlight w:val="none"/>
          <w:lang w:val="en-US" w:eastAsia="zh-CN"/>
        </w:rPr>
        <w:t>.</w:t>
      </w:r>
    </w:p>
    <w:p>
      <w:pPr>
        <w:numPr>
          <w:ilvl w:val="-1"/>
          <w:numId w:val="0"/>
        </w:numPr>
        <w:ind w:left="0" w:firstLine="0"/>
        <w:rPr>
          <w:rFonts w:hint="default"/>
          <w:lang w:val="en-US"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8" w:hRule="atLeast"/>
        </w:trPr>
        <w:tc>
          <w:tcPr>
            <w:tcW w:w="9629" w:type="dxa"/>
          </w:tcPr>
          <w:p>
            <w:pPr>
              <w:spacing w:after="120" w:afterLines="50"/>
              <w:rPr>
                <w:b/>
                <w:bCs/>
                <w:u w:val="single"/>
              </w:rPr>
            </w:pPr>
            <w:bookmarkStart w:id="3" w:name="_Hlk182238467"/>
            <w:r>
              <w:rPr>
                <w:b/>
                <w:u w:val="single"/>
              </w:rPr>
              <w:t xml:space="preserve">Issue 1-3-1: </w:t>
            </w:r>
            <w:bookmarkStart w:id="4" w:name="_Hlk190100643"/>
            <w:r>
              <w:rPr>
                <w:b/>
                <w:bCs/>
                <w:u w:val="single"/>
              </w:rPr>
              <w:t>PDCCH-order PRACH</w:t>
            </w:r>
            <w:bookmarkEnd w:id="4"/>
            <w:r>
              <w:rPr>
                <w:b/>
                <w:bCs/>
                <w:u w:val="single"/>
              </w:rPr>
              <w:t xml:space="preserve"> delay</w:t>
            </w:r>
          </w:p>
          <w:p>
            <w:pPr>
              <w:pStyle w:val="48"/>
              <w:rPr>
                <w:color w:val="0070C0"/>
                <w:sz w:val="18"/>
                <w:szCs w:val="18"/>
                <w:lang w:eastAsia="en-US"/>
              </w:rPr>
            </w:pPr>
            <w:r>
              <w:rPr>
                <w:color w:val="0070C0"/>
                <w:sz w:val="18"/>
                <w:szCs w:val="18"/>
              </w:rPr>
              <w:t>Table 8.6.2-1: BWP switch delay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649"/>
              <w:gridCol w:w="1526"/>
              <w:gridCol w:w="1969"/>
              <w:gridCol w:w="1969"/>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tcBorders>
                    <w:top w:val="single" w:color="auto" w:sz="4" w:space="0"/>
                    <w:left w:val="single" w:color="auto" w:sz="4" w:space="0"/>
                    <w:bottom w:val="nil"/>
                    <w:right w:val="single" w:color="auto" w:sz="4" w:space="0"/>
                  </w:tcBorders>
                  <w:vAlign w:val="center"/>
                </w:tcPr>
                <w:p>
                  <w:pPr>
                    <w:pStyle w:val="38"/>
                    <w:rPr>
                      <w:color w:val="0070C0"/>
                      <w:sz w:val="16"/>
                      <w:szCs w:val="18"/>
                      <w:lang w:val="zh-CN"/>
                    </w:rPr>
                  </w:pPr>
                  <w:r>
                    <w:rPr>
                      <w:color w:val="0070C0"/>
                      <w:sz w:val="16"/>
                      <w:szCs w:val="18"/>
                      <w:lang w:eastAsia="zh-CN"/>
                    </w:rPr>
                    <w:drawing>
                      <wp:inline distT="0" distB="0" distL="0" distR="0">
                        <wp:extent cx="146050" cy="165100"/>
                        <wp:effectExtent l="0" t="0" r="6350" b="0"/>
                        <wp:docPr id="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6050" cy="165100"/>
                                </a:xfrm>
                                <a:prstGeom prst="rect">
                                  <a:avLst/>
                                </a:prstGeom>
                                <a:noFill/>
                                <a:ln>
                                  <a:noFill/>
                                </a:ln>
                              </pic:spPr>
                            </pic:pic>
                          </a:graphicData>
                        </a:graphic>
                      </wp:inline>
                    </w:drawing>
                  </w:r>
                </w:p>
              </w:tc>
              <w:tc>
                <w:tcPr>
                  <w:tcW w:w="1526" w:type="dxa"/>
                  <w:tcBorders>
                    <w:top w:val="single" w:color="auto" w:sz="4" w:space="0"/>
                    <w:left w:val="single" w:color="auto" w:sz="4" w:space="0"/>
                    <w:bottom w:val="nil"/>
                    <w:right w:val="single" w:color="auto" w:sz="4" w:space="0"/>
                  </w:tcBorders>
                </w:tcPr>
                <w:p>
                  <w:pPr>
                    <w:pStyle w:val="38"/>
                    <w:rPr>
                      <w:color w:val="0070C0"/>
                      <w:sz w:val="16"/>
                      <w:szCs w:val="18"/>
                    </w:rPr>
                  </w:pPr>
                  <w:r>
                    <w:rPr>
                      <w:color w:val="0070C0"/>
                      <w:sz w:val="16"/>
                      <w:szCs w:val="18"/>
                    </w:rPr>
                    <w:t xml:space="preserve">NR Slot length </w:t>
                  </w:r>
                </w:p>
              </w:tc>
              <w:tc>
                <w:tcPr>
                  <w:tcW w:w="3938" w:type="dxa"/>
                  <w:gridSpan w:val="2"/>
                  <w:tcBorders>
                    <w:top w:val="single" w:color="auto" w:sz="4" w:space="0"/>
                    <w:left w:val="single" w:color="auto" w:sz="4" w:space="0"/>
                    <w:bottom w:val="single" w:color="auto" w:sz="4" w:space="0"/>
                    <w:right w:val="single" w:color="auto" w:sz="4" w:space="0"/>
                  </w:tcBorders>
                </w:tcPr>
                <w:p>
                  <w:pPr>
                    <w:pStyle w:val="38"/>
                    <w:rPr>
                      <w:color w:val="0070C0"/>
                      <w:sz w:val="16"/>
                      <w:szCs w:val="18"/>
                      <w:lang w:eastAsia="zh-CN"/>
                    </w:rPr>
                  </w:pPr>
                  <w:r>
                    <w:rPr>
                      <w:color w:val="0070C0"/>
                      <w:sz w:val="16"/>
                      <w:szCs w:val="18"/>
                      <w:lang w:eastAsia="zh-CN"/>
                    </w:rPr>
                    <w:t>BWP switch delay T</w:t>
                  </w:r>
                  <w:r>
                    <w:rPr>
                      <w:color w:val="0070C0"/>
                      <w:sz w:val="16"/>
                      <w:szCs w:val="18"/>
                      <w:vertAlign w:val="subscript"/>
                      <w:lang w:eastAsia="zh-CN"/>
                    </w:rPr>
                    <w:t>BWPswitchDelay</w:t>
                  </w:r>
                  <w:r>
                    <w:rPr>
                      <w:color w:val="0070C0"/>
                      <w:sz w:val="16"/>
                      <w:szCs w:val="18"/>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tcBorders>
                    <w:top w:val="nil"/>
                    <w:left w:val="single" w:color="auto" w:sz="4" w:space="0"/>
                    <w:bottom w:val="single" w:color="auto" w:sz="4" w:space="0"/>
                    <w:right w:val="single" w:color="auto" w:sz="4" w:space="0"/>
                  </w:tcBorders>
                  <w:vAlign w:val="center"/>
                </w:tcPr>
                <w:p>
                  <w:pPr>
                    <w:pStyle w:val="38"/>
                    <w:rPr>
                      <w:color w:val="0070C0"/>
                      <w:sz w:val="16"/>
                      <w:szCs w:val="18"/>
                    </w:rPr>
                  </w:pPr>
                </w:p>
              </w:tc>
              <w:tc>
                <w:tcPr>
                  <w:tcW w:w="1526" w:type="dxa"/>
                  <w:tcBorders>
                    <w:top w:val="nil"/>
                    <w:left w:val="single" w:color="auto" w:sz="4" w:space="0"/>
                    <w:bottom w:val="single" w:color="auto" w:sz="4" w:space="0"/>
                    <w:right w:val="single" w:color="auto" w:sz="4" w:space="0"/>
                  </w:tcBorders>
                </w:tcPr>
                <w:p>
                  <w:pPr>
                    <w:pStyle w:val="38"/>
                    <w:rPr>
                      <w:color w:val="0070C0"/>
                      <w:sz w:val="16"/>
                      <w:szCs w:val="18"/>
                    </w:rPr>
                  </w:pPr>
                  <w:r>
                    <w:rPr>
                      <w:color w:val="0070C0"/>
                      <w:sz w:val="16"/>
                      <w:szCs w:val="18"/>
                    </w:rPr>
                    <w:t>(ms)</w:t>
                  </w:r>
                </w:p>
              </w:tc>
              <w:tc>
                <w:tcPr>
                  <w:tcW w:w="1969" w:type="dxa"/>
                  <w:tcBorders>
                    <w:top w:val="single" w:color="auto" w:sz="4" w:space="0"/>
                    <w:left w:val="single" w:color="auto" w:sz="4" w:space="0"/>
                    <w:bottom w:val="single" w:color="auto" w:sz="4" w:space="0"/>
                    <w:right w:val="single" w:color="auto" w:sz="4" w:space="0"/>
                  </w:tcBorders>
                </w:tcPr>
                <w:p>
                  <w:pPr>
                    <w:pStyle w:val="38"/>
                    <w:rPr>
                      <w:color w:val="0070C0"/>
                      <w:sz w:val="16"/>
                      <w:szCs w:val="18"/>
                      <w:vertAlign w:val="superscript"/>
                      <w:lang w:eastAsia="zh-CN"/>
                    </w:rPr>
                  </w:pPr>
                  <w:r>
                    <w:rPr>
                      <w:color w:val="0070C0"/>
                      <w:sz w:val="16"/>
                      <w:szCs w:val="18"/>
                      <w:lang w:eastAsia="zh-CN"/>
                    </w:rPr>
                    <w:t>Type 1</w:t>
                  </w:r>
                  <w:r>
                    <w:rPr>
                      <w:color w:val="0070C0"/>
                      <w:sz w:val="16"/>
                      <w:szCs w:val="18"/>
                      <w:vertAlign w:val="superscript"/>
                      <w:lang w:eastAsia="zh-CN"/>
                    </w:rPr>
                    <w:t>Note 1</w:t>
                  </w:r>
                </w:p>
              </w:tc>
              <w:tc>
                <w:tcPr>
                  <w:tcW w:w="1969" w:type="dxa"/>
                  <w:tcBorders>
                    <w:top w:val="single" w:color="auto" w:sz="4" w:space="0"/>
                    <w:left w:val="single" w:color="auto" w:sz="4" w:space="0"/>
                    <w:bottom w:val="single" w:color="auto" w:sz="4" w:space="0"/>
                    <w:right w:val="single" w:color="auto" w:sz="4" w:space="0"/>
                  </w:tcBorders>
                </w:tcPr>
                <w:p>
                  <w:pPr>
                    <w:pStyle w:val="38"/>
                    <w:rPr>
                      <w:color w:val="0070C0"/>
                      <w:sz w:val="16"/>
                      <w:szCs w:val="18"/>
                      <w:vertAlign w:val="superscript"/>
                      <w:lang w:eastAsia="zh-CN"/>
                    </w:rPr>
                  </w:pPr>
                  <w:r>
                    <w:rPr>
                      <w:color w:val="0070C0"/>
                      <w:sz w:val="16"/>
                      <w:szCs w:val="18"/>
                      <w:lang w:eastAsia="zh-CN"/>
                    </w:rPr>
                    <w:t>Type 2</w:t>
                  </w:r>
                  <w:r>
                    <w:rPr>
                      <w:color w:val="0070C0"/>
                      <w:sz w:val="16"/>
                      <w:szCs w:val="18"/>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rPr>
                    <w:t>0</w:t>
                  </w:r>
                </w:p>
              </w:tc>
              <w:tc>
                <w:tcPr>
                  <w:tcW w:w="1526"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rPr>
                    <w:t>1</w:t>
                  </w:r>
                </w:p>
              </w:tc>
              <w:tc>
                <w:tcPr>
                  <w:tcW w:w="196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rPr>
                    <w:t>1</w:t>
                  </w:r>
                </w:p>
              </w:tc>
              <w:tc>
                <w:tcPr>
                  <w:tcW w:w="196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rPr>
                    <w:t>1</w:t>
                  </w:r>
                </w:p>
              </w:tc>
              <w:tc>
                <w:tcPr>
                  <w:tcW w:w="1526"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rPr>
                    <w:t>0.5</w:t>
                  </w:r>
                </w:p>
              </w:tc>
              <w:tc>
                <w:tcPr>
                  <w:tcW w:w="196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rPr>
                    <w:t>2</w:t>
                  </w:r>
                </w:p>
              </w:tc>
              <w:tc>
                <w:tcPr>
                  <w:tcW w:w="196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rPr>
                    <w:t>2</w:t>
                  </w:r>
                </w:p>
              </w:tc>
              <w:tc>
                <w:tcPr>
                  <w:tcW w:w="1526"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rPr>
                    <w:t>0.25</w:t>
                  </w:r>
                </w:p>
              </w:tc>
              <w:tc>
                <w:tcPr>
                  <w:tcW w:w="196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rPr>
                    <w:t>3</w:t>
                  </w:r>
                </w:p>
              </w:tc>
              <w:tc>
                <w:tcPr>
                  <w:tcW w:w="196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rPr>
                    <w:t>3</w:t>
                  </w:r>
                </w:p>
              </w:tc>
              <w:tc>
                <w:tcPr>
                  <w:tcW w:w="1526"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rPr>
                    <w:t>0.125</w:t>
                  </w:r>
                </w:p>
              </w:tc>
              <w:tc>
                <w:tcPr>
                  <w:tcW w:w="196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rPr>
                    <w:t>6</w:t>
                  </w:r>
                </w:p>
              </w:tc>
              <w:tc>
                <w:tcPr>
                  <w:tcW w:w="196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lang w:eastAsia="zh-CN"/>
                    </w:rPr>
                    <w:t>5</w:t>
                  </w:r>
                </w:p>
              </w:tc>
              <w:tc>
                <w:tcPr>
                  <w:tcW w:w="1526"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lang w:eastAsia="zh-CN"/>
                    </w:rPr>
                    <w:t>0.03125</w:t>
                  </w:r>
                </w:p>
              </w:tc>
              <w:tc>
                <w:tcPr>
                  <w:tcW w:w="196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lang w:eastAsia="zh-CN"/>
                    </w:rPr>
                    <w:t>20</w:t>
                  </w:r>
                </w:p>
              </w:tc>
              <w:tc>
                <w:tcPr>
                  <w:tcW w:w="196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lang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lang w:eastAsia="zh-CN"/>
                    </w:rPr>
                    <w:t>6</w:t>
                  </w:r>
                </w:p>
              </w:tc>
              <w:tc>
                <w:tcPr>
                  <w:tcW w:w="1526"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lang w:eastAsia="zh-CN"/>
                    </w:rPr>
                    <w:t>0.015625</w:t>
                  </w:r>
                </w:p>
              </w:tc>
              <w:tc>
                <w:tcPr>
                  <w:tcW w:w="196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lang w:eastAsia="zh-CN"/>
                    </w:rPr>
                    <w:t>39</w:t>
                  </w:r>
                </w:p>
              </w:tc>
              <w:tc>
                <w:tcPr>
                  <w:tcW w:w="1969" w:type="dxa"/>
                  <w:tcBorders>
                    <w:top w:val="single" w:color="auto" w:sz="4" w:space="0"/>
                    <w:left w:val="single" w:color="auto" w:sz="4" w:space="0"/>
                    <w:bottom w:val="single" w:color="auto" w:sz="4" w:space="0"/>
                    <w:right w:val="single" w:color="auto" w:sz="4" w:space="0"/>
                  </w:tcBorders>
                </w:tcPr>
                <w:p>
                  <w:pPr>
                    <w:pStyle w:val="39"/>
                    <w:rPr>
                      <w:color w:val="0070C0"/>
                      <w:sz w:val="16"/>
                      <w:szCs w:val="18"/>
                    </w:rPr>
                  </w:pPr>
                  <w:r>
                    <w:rPr>
                      <w:color w:val="0070C0"/>
                      <w:sz w:val="16"/>
                      <w:szCs w:val="18"/>
                      <w:lang w:eastAsia="zh-CN"/>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21" w:type="dxa"/>
                  <w:gridSpan w:val="5"/>
                  <w:tcBorders>
                    <w:top w:val="single" w:color="auto" w:sz="4" w:space="0"/>
                    <w:left w:val="single" w:color="auto" w:sz="4" w:space="0"/>
                    <w:bottom w:val="single" w:color="auto" w:sz="4" w:space="0"/>
                    <w:right w:val="single" w:color="auto" w:sz="4" w:space="0"/>
                  </w:tcBorders>
                </w:tcPr>
                <w:p>
                  <w:pPr>
                    <w:pStyle w:val="51"/>
                    <w:rPr>
                      <w:color w:val="0070C0"/>
                      <w:sz w:val="16"/>
                      <w:szCs w:val="18"/>
                    </w:rPr>
                  </w:pPr>
                  <w:r>
                    <w:rPr>
                      <w:color w:val="0070C0"/>
                      <w:sz w:val="16"/>
                      <w:szCs w:val="18"/>
                    </w:rPr>
                    <w:t>NOTE 1:</w:t>
                  </w:r>
                  <w:r>
                    <w:rPr>
                      <w:color w:val="0070C0"/>
                      <w:sz w:val="16"/>
                      <w:szCs w:val="18"/>
                    </w:rPr>
                    <w:tab/>
                  </w:r>
                  <w:r>
                    <w:rPr>
                      <w:color w:val="0070C0"/>
                      <w:sz w:val="16"/>
                      <w:szCs w:val="18"/>
                    </w:rPr>
                    <w:t>Depends on UE capability.</w:t>
                  </w:r>
                </w:p>
                <w:p>
                  <w:pPr>
                    <w:pStyle w:val="51"/>
                    <w:rPr>
                      <w:color w:val="0070C0"/>
                      <w:sz w:val="16"/>
                      <w:szCs w:val="18"/>
                    </w:rPr>
                  </w:pPr>
                  <w:r>
                    <w:rPr>
                      <w:color w:val="0070C0"/>
                      <w:sz w:val="16"/>
                      <w:szCs w:val="18"/>
                    </w:rPr>
                    <w:t>NOTE 2:</w:t>
                  </w:r>
                  <w:r>
                    <w:rPr>
                      <w:color w:val="0070C0"/>
                      <w:sz w:val="16"/>
                      <w:szCs w:val="18"/>
                    </w:rPr>
                    <w:tab/>
                  </w:r>
                  <w:r>
                    <w:rPr>
                      <w:color w:val="0070C0"/>
                      <w:sz w:val="16"/>
                      <w:szCs w:val="18"/>
                    </w:rPr>
                    <w:t>If the BWP switch involves changing of SCS, the BWP switch delay is determined by the smaller SCS between the SCS before BWP switch and the SCS after BWP switch.</w:t>
                  </w:r>
                </w:p>
              </w:tc>
            </w:tr>
          </w:tbl>
          <w:p>
            <w:pPr>
              <w:spacing w:after="120" w:afterLines="50"/>
              <w:rPr>
                <w:b/>
                <w:bCs/>
                <w:u w:val="single"/>
                <w:lang w:val="en-US" w:eastAsia="en-US"/>
              </w:rPr>
            </w:pPr>
          </w:p>
          <w:p>
            <w:pPr>
              <w:rPr>
                <w:b/>
                <w:u w:val="single"/>
                <w:lang w:eastAsia="ko-KR"/>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Further discuss the following proposals</w:t>
            </w:r>
          </w:p>
          <w:p>
            <w:pPr>
              <w:pStyle w:val="37"/>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1 (Ericsson):</w:t>
            </w:r>
          </w:p>
          <w:p>
            <w:pPr>
              <w:pStyle w:val="37"/>
              <w:numPr>
                <w:ilvl w:val="2"/>
                <w:numId w:val="4"/>
              </w:numPr>
              <w:ind w:left="2376" w:firstLineChars="0"/>
              <w:textAlignment w:val="auto"/>
              <w:rPr>
                <w:rFonts w:eastAsia="宋体"/>
                <w:szCs w:val="24"/>
                <w:lang w:eastAsia="zh-CN"/>
              </w:rPr>
            </w:pPr>
            <w:r>
              <w:rPr>
                <w:rFonts w:eastAsia="宋体"/>
                <w:szCs w:val="24"/>
                <w:lang w:eastAsia="zh-CN"/>
              </w:rPr>
              <w:t>If PRACH is outside UL BWP of PCell, but withing UL BWP of any active SCell, for PRACH transmission using 1.25kHz or 5 kHz SCS, UE determines BWP switch delay assuming µ=0.</w:t>
            </w:r>
          </w:p>
          <w:p>
            <w:pPr>
              <w:pStyle w:val="37"/>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2 (QC):</w:t>
            </w:r>
          </w:p>
          <w:p>
            <w:pPr>
              <w:pStyle w:val="37"/>
              <w:numPr>
                <w:ilvl w:val="2"/>
                <w:numId w:val="4"/>
              </w:numPr>
              <w:overflowPunct/>
              <w:autoSpaceDE/>
              <w:adjustRightInd/>
              <w:spacing w:after="120"/>
              <w:ind w:left="2376" w:firstLineChars="0"/>
              <w:textAlignment w:val="auto"/>
              <w:rPr>
                <w:rFonts w:eastAsia="宋体"/>
                <w:szCs w:val="24"/>
                <w:lang w:eastAsia="zh-CN"/>
              </w:rPr>
            </w:pPr>
            <w:r>
              <w:t>Update the value of T_SSB-proc defined for SSB processing in PDCCH-order PRACH delay requirement to 7 ms from 2 ms</w:t>
            </w:r>
          </w:p>
          <w:bookmarkEnd w:id="3"/>
          <w:p>
            <w:pPr>
              <w:pStyle w:val="96"/>
              <w:numPr>
                <w:ilvl w:val="-1"/>
                <w:numId w:val="0"/>
              </w:numPr>
              <w:tabs>
                <w:tab w:val="left" w:pos="644"/>
                <w:tab w:val="clear" w:pos="1619"/>
              </w:tabs>
              <w:overflowPunct w:val="0"/>
              <w:autoSpaceDE w:val="0"/>
              <w:autoSpaceDN w:val="0"/>
              <w:adjustRightInd w:val="0"/>
              <w:spacing w:before="157" w:beforeLines="50" w:after="157" w:afterLines="50"/>
              <w:ind w:left="0" w:firstLine="0"/>
              <w:textAlignment w:val="baseline"/>
              <w:rPr>
                <w:rFonts w:cs="Arial"/>
                <w:sz w:val="21"/>
                <w:szCs w:val="21"/>
              </w:rPr>
            </w:pPr>
          </w:p>
        </w:tc>
      </w:tr>
    </w:tbl>
    <w:p>
      <w:pPr>
        <w:spacing w:before="157" w:beforeLines="50" w:after="157" w:afterLines="50"/>
        <w:rPr>
          <w:rFonts w:hint="eastAsia"/>
          <w:b w:val="0"/>
          <w:bCs/>
          <w:color w:val="auto"/>
          <w:sz w:val="21"/>
          <w:szCs w:val="21"/>
          <w:u w:val="none"/>
          <w:lang w:val="en-US" w:eastAsia="zh-CN"/>
        </w:rPr>
      </w:pPr>
      <w:r>
        <w:rPr>
          <w:rFonts w:hint="eastAsia"/>
          <w:b w:val="0"/>
          <w:bCs/>
          <w:color w:val="auto"/>
          <w:sz w:val="21"/>
          <w:szCs w:val="21"/>
          <w:u w:val="none"/>
          <w:lang w:val="en-US" w:eastAsia="zh-CN"/>
        </w:rPr>
        <w:t>This issue is about requirements on PDCCH order RACH delay. We can disciss one by one.</w:t>
      </w:r>
    </w:p>
    <w:p>
      <w:pPr>
        <w:spacing w:before="157" w:beforeLines="50" w:after="157" w:afterLines="50"/>
        <w:rPr>
          <w:rFonts w:hint="eastAsia" w:hAnsi="Cambria Math"/>
          <w:i w:val="0"/>
          <w:lang w:val="en-US" w:eastAsia="zh-CN"/>
        </w:rPr>
      </w:pPr>
      <w:r>
        <w:rPr>
          <w:rFonts w:hint="eastAsia"/>
          <w:b w:val="0"/>
          <w:bCs/>
          <w:color w:val="auto"/>
          <w:sz w:val="21"/>
          <w:szCs w:val="21"/>
          <w:u w:val="none"/>
          <w:lang w:val="en-US" w:eastAsia="zh-CN"/>
        </w:rPr>
        <w:t xml:space="preserve">For proposal 1, proponent mentioned that RACH transmission can use 1.25kHz or 5kHz in LTM but BWP switch delay do not refer to 1.25KHz or 5KHz. As mentioned in TS 38.213, </w:t>
      </w:r>
      <w:r>
        <w:rPr>
          <w:sz w:val="22"/>
          <w:szCs w:val="22"/>
          <w:lang w:val="en-US" w:eastAsia="zh-CN"/>
        </w:rPr>
        <w:t>∆</w:t>
      </w:r>
      <w:r>
        <w:rPr>
          <w:sz w:val="22"/>
          <w:szCs w:val="22"/>
          <w:vertAlign w:val="subscript"/>
          <w:lang w:val="en-US" w:eastAsia="zh-CN"/>
        </w:rPr>
        <w:t>RF/BB preparation</w:t>
      </w:r>
      <w:r>
        <w:rPr>
          <w:sz w:val="22"/>
          <w:szCs w:val="22"/>
          <w:lang w:val="en-US" w:eastAsia="zh-CN"/>
        </w:rPr>
        <w:t>=T</w:t>
      </w:r>
      <w:r>
        <w:rPr>
          <w:sz w:val="22"/>
          <w:szCs w:val="22"/>
          <w:vertAlign w:val="subscript"/>
          <w:lang w:val="en-US" w:eastAsia="zh-CN"/>
        </w:rPr>
        <w:t>BWPSwitchDelay</w:t>
      </w:r>
      <w:r>
        <w:rPr>
          <w:rFonts w:hint="eastAsia"/>
          <w:sz w:val="22"/>
          <w:szCs w:val="22"/>
          <w:lang w:val="en-US" w:eastAsia="zh-CN"/>
        </w:rPr>
        <w:t xml:space="preserve"> refers to TS 38.133 and we should make it clear which one should be considered. From TS 38.213, we can observed that RAN1 defined the value of N2 assuming SCS configuration </w:t>
      </w:r>
      <m:oMath>
        <m:r>
          <m:rPr/>
          <w:rPr>
            <w:rFonts w:ascii="Cambria Math" w:hAnsi="Cambria Math"/>
          </w:rPr>
          <m:t>μ=0</m:t>
        </m:r>
      </m:oMath>
      <w:r>
        <w:rPr>
          <w:rFonts w:hint="eastAsia" w:hAnsi="Cambria Math"/>
          <w:i w:val="0"/>
          <w:lang w:val="en-US" w:eastAsia="zh-CN"/>
        </w:rPr>
        <w:t xml:space="preserve"> </w:t>
      </w:r>
      <w:r>
        <w:rPr>
          <w:rFonts w:hint="eastAsia"/>
          <w:lang w:val="en-US" w:eastAsia="zh-CN"/>
        </w:rPr>
        <w:t>f</w:t>
      </w:r>
      <w:r>
        <w:rPr>
          <w:lang w:val="en-US"/>
        </w:rPr>
        <w:t>or a PRACH transmission using 1.25 kHz or 5 kHz SCS</w:t>
      </w:r>
      <w:r>
        <w:rPr>
          <w:rFonts w:hint="eastAsia"/>
          <w:lang w:val="en-US" w:eastAsia="zh-CN"/>
        </w:rPr>
        <w:t xml:space="preserve">. Therefore, the same method can be used for </w:t>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BWPswitchDelay</m:t>
            </m:r>
            <m:ctrlPr>
              <w:rPr>
                <w:rFonts w:ascii="Cambria Math" w:hAnsi="Cambria Math"/>
                <w:i/>
              </w:rPr>
            </m:ctrlPr>
          </m:sub>
        </m:sSub>
      </m:oMath>
      <w:r>
        <w:rPr>
          <w:rFonts w:hint="eastAsia" w:hAnsi="Cambria Math"/>
          <w:i w:val="0"/>
          <w:lang w:val="en-US" w:eastAsia="zh-CN"/>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trPr>
        <w:tc>
          <w:tcPr>
            <w:tcW w:w="9629" w:type="dxa"/>
          </w:tcPr>
          <w:p>
            <w:pPr>
              <w:rPr>
                <w:rFonts w:hint="eastAsia"/>
                <w:lang w:val="en-US" w:eastAsia="zh-CN"/>
              </w:rPr>
            </w:pPr>
            <w:r>
              <w:rPr>
                <w:rFonts w:hint="eastAsia"/>
                <w:lang w:val="en-US" w:eastAsia="zh-CN"/>
              </w:rPr>
              <w:t>TS 38.213 clause 8.1</w:t>
            </w:r>
          </w:p>
          <w:p>
            <w:pPr>
              <w:rPr>
                <w:rFonts w:hint="default"/>
                <w:lang w:val="en-US" w:eastAsia="zh-CN"/>
              </w:rPr>
            </w:pPr>
          </w:p>
          <w:p>
            <w:pPr>
              <w:rPr>
                <w:lang w:val="en-US"/>
              </w:rPr>
            </w:pPr>
            <w:r>
              <w:rPr>
                <w:rFonts w:hint="eastAsia"/>
              </w:rPr>
              <w:t>If</w:t>
            </w:r>
            <w:r>
              <w:t xml:space="preserve"> a</w:t>
            </w:r>
            <w:r>
              <w:rPr>
                <w:rFonts w:hint="eastAsia"/>
              </w:rPr>
              <w:t xml:space="preserve"> </w:t>
            </w:r>
            <w:r>
              <w:t>random access procedure</w:t>
            </w:r>
            <w:r>
              <w:rPr>
                <w:rFonts w:hint="eastAsia"/>
              </w:rPr>
              <w:t xml:space="preserve"> is </w:t>
            </w:r>
            <w:r>
              <w:t>initiated by a</w:t>
            </w:r>
            <w:r>
              <w:rPr>
                <w:rFonts w:hint="eastAsia"/>
              </w:rPr>
              <w:t xml:space="preserve"> PDCCH </w:t>
            </w:r>
            <w:r>
              <w:t>order</w:t>
            </w:r>
            <w:r>
              <w:rPr>
                <w:rFonts w:hint="eastAsia"/>
              </w:rPr>
              <w:t xml:space="preserve">, </w:t>
            </w:r>
            <w:r>
              <w:t xml:space="preserve">the </w:t>
            </w:r>
            <w:r>
              <w:rPr>
                <w:rFonts w:hint="eastAsia"/>
              </w:rPr>
              <w:t>UE, if requested by higher layers, transmit</w:t>
            </w:r>
            <w:r>
              <w:t>s</w:t>
            </w:r>
            <w:r>
              <w:rPr>
                <w:rFonts w:hint="eastAsia"/>
              </w:rPr>
              <w:t xml:space="preserve"> </w:t>
            </w:r>
            <w: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T,2</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ctrlPr>
                    <w:rPr>
                      <w:rFonts w:ascii="Cambria Math" w:hAnsi="Cambria Math"/>
                    </w:rPr>
                  </m:ctrlPr>
                </m:e>
                <m:sub>
                  <m:r>
                    <m:rPr>
                      <m:sty m:val="p"/>
                    </m:rPr>
                    <w:rPr>
                      <w:rFonts w:ascii="Cambria Math" w:hAnsi="Cambria Math"/>
                    </w:rPr>
                    <m:t>BWPSwitching</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ctrlPr>
                    <w:rPr>
                      <w:rFonts w:ascii="Cambria Math" w:hAnsi="Cambria Math"/>
                    </w:rPr>
                  </m:ctrlPr>
                </m:e>
                <m:sub>
                  <m:r>
                    <m:rPr>
                      <m:sty m:val="p"/>
                    </m:rPr>
                    <w:rPr>
                      <w:rFonts w:ascii="Cambria Math" w:hAnsi="Cambria Math"/>
                    </w:rPr>
                    <m:t>Delay</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switch</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ctrlPr>
                    <w:rPr>
                      <w:rFonts w:ascii="Cambria Math" w:hAnsi="Cambria Math"/>
                    </w:rPr>
                  </m:ctrlPr>
                </m:e>
                <m:sub>
                  <m:r>
                    <m:rPr>
                      <m:sty m:val="p"/>
                    </m:rPr>
                    <w:rPr>
                      <w:rFonts w:ascii="Cambria Math" w:hAnsi="Cambria Math"/>
                    </w:rPr>
                    <m:t>RF/BB preparation</m:t>
                  </m:r>
                  <m:ctrlPr>
                    <w:rPr>
                      <w:rFonts w:ascii="Cambria Math" w:hAnsi="Cambria Math"/>
                    </w:rPr>
                  </m:ctrlPr>
                </m:sub>
              </m:sSub>
            </m:oMath>
            <w:r>
              <w:t xml:space="preserve"> </w:t>
            </w:r>
            <w:r>
              <w:rPr>
                <w:lang w:val="en-US"/>
              </w:rPr>
              <w:t xml:space="preserve">msec, where </w:t>
            </w:r>
          </w:p>
          <w:p>
            <w:pPr>
              <w:pStyle w:val="53"/>
              <w:rPr>
                <w:lang w:val="en-US"/>
              </w:rPr>
            </w:pPr>
            <w:r>
              <w:t>-</w:t>
            </w:r>
            <w:r>
              <w:tab/>
            </w: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T,2</m:t>
                  </m:r>
                  <m:ctrlPr>
                    <w:rPr>
                      <w:rFonts w:ascii="Cambria Math" w:hAnsi="Cambria Math"/>
                    </w:rPr>
                  </m:ctrlPr>
                </m:sub>
              </m:sSub>
            </m:oMath>
            <w:r>
              <w:t xml:space="preserve"> is a time duration of </w:t>
            </w:r>
            <m:oMath>
              <m:sSub>
                <m:sSubPr>
                  <m:ctrlPr>
                    <w:rPr>
                      <w:rFonts w:ascii="Cambria Math" w:hAnsi="Cambria Math"/>
                      <w:i w:val="0"/>
                      <w:highlight w:val="yellow"/>
                    </w:rPr>
                  </m:ctrlPr>
                </m:sSubPr>
                <m:e>
                  <m:r>
                    <m:rPr>
                      <m:sty m:val="p"/>
                    </m:rPr>
                    <w:rPr>
                      <w:rFonts w:ascii="Cambria Math" w:hAnsi="Cambria Math"/>
                      <w:highlight w:val="yellow"/>
                    </w:rPr>
                    <m:t>N</m:t>
                  </m:r>
                  <m:ctrlPr>
                    <w:rPr>
                      <w:rFonts w:ascii="Cambria Math" w:hAnsi="Cambria Math"/>
                      <w:i w:val="0"/>
                      <w:highlight w:val="yellow"/>
                    </w:rPr>
                  </m:ctrlPr>
                </m:e>
                <m:sub>
                  <m:r>
                    <m:rPr>
                      <m:sty m:val="p"/>
                    </m:rPr>
                    <w:rPr>
                      <w:rFonts w:ascii="Cambria Math" w:hAnsi="Cambria Math"/>
                      <w:highlight w:val="yellow"/>
                    </w:rPr>
                    <m:t>2</m:t>
                  </m:r>
                  <m:ctrlPr>
                    <w:rPr>
                      <w:rFonts w:ascii="Cambria Math" w:hAnsi="Cambria Math"/>
                      <w:i w:val="0"/>
                      <w:highlight w:val="yellow"/>
                    </w:rPr>
                  </m:ctrlPr>
                </m:sub>
              </m:sSub>
            </m:oMath>
            <w:r>
              <w:t xml:space="preserve"> symbols corresponding to a PUSCH preparation time for UE processing capability 1 [6, TS 38.214]</w:t>
            </w:r>
            <w:r>
              <w:rPr>
                <w:rFonts w:hint="eastAsia"/>
                <w:lang w:eastAsia="zh-CN"/>
              </w:rPr>
              <w:t xml:space="preserve"> assuming </w:t>
            </w:r>
            <m:oMath>
              <m:r>
                <m:rPr>
                  <m:sty m:val="p"/>
                </m:rPr>
                <w:rPr>
                  <w:rFonts w:ascii="Cambria Math" w:hAnsi="Cambria Math"/>
                </w:rPr>
                <m:t>μ</m:t>
              </m:r>
            </m:oMath>
            <w:r>
              <w:rPr>
                <w:rFonts w:hint="eastAsia"/>
                <w:lang w:eastAsia="zh-CN"/>
              </w:rPr>
              <w:t xml:space="preserve"> corresponds to the </w:t>
            </w:r>
            <w:r>
              <w:rPr>
                <w:lang w:eastAsia="zh-CN"/>
              </w:rPr>
              <w:t xml:space="preserve">smallest </w:t>
            </w:r>
            <w:r>
              <w:rPr>
                <w:rFonts w:hint="eastAsia"/>
                <w:lang w:eastAsia="zh-CN"/>
              </w:rPr>
              <w:t xml:space="preserve">SCS configuration </w:t>
            </w:r>
            <w:r>
              <w:rPr>
                <w:lang w:eastAsia="zh-CN"/>
              </w:rPr>
              <w:t xml:space="preserve">between the SCS configuration of the PDCCH order and the SCS configuration of the corresponding </w:t>
            </w:r>
            <w:r>
              <w:rPr>
                <w:rFonts w:hint="eastAsia"/>
                <w:lang w:eastAsia="zh-CN"/>
              </w:rPr>
              <w:t>PRACH transmission</w:t>
            </w:r>
            <w:r>
              <w:rPr>
                <w:lang w:val="en-US"/>
              </w:rPr>
              <w:t xml:space="preserve"> </w:t>
            </w:r>
          </w:p>
          <w:p>
            <w:pPr>
              <w:pStyle w:val="53"/>
            </w:pPr>
            <w:r>
              <w:t>-</w:t>
            </w:r>
            <w:r>
              <w:tab/>
            </w:r>
            <m:oMath>
              <m:sSub>
                <m:sSubPr>
                  <m:ctrlPr>
                    <w:rPr>
                      <w:rFonts w:ascii="Cambria Math" w:hAnsi="Cambria Math"/>
                    </w:rPr>
                  </m:ctrlPr>
                </m:sSubPr>
                <m:e>
                  <m:r>
                    <m:rPr>
                      <m:sty m:val="p"/>
                    </m:rPr>
                    <w:rPr>
                      <w:rFonts w:ascii="Cambria Math" w:hAnsi="Cambria Math"/>
                    </w:rPr>
                    <m:t>∆</m:t>
                  </m:r>
                  <m:ctrlPr>
                    <w:rPr>
                      <w:rFonts w:ascii="Cambria Math" w:hAnsi="Cambria Math"/>
                    </w:rPr>
                  </m:ctrlPr>
                </m:e>
                <m:sub>
                  <m:r>
                    <m:rPr>
                      <m:sty m:val="p"/>
                    </m:rPr>
                    <w:rPr>
                      <w:rFonts w:ascii="Cambria Math" w:hAnsi="Cambria Math"/>
                    </w:rPr>
                    <m:t>BWPSwitching</m:t>
                  </m:r>
                  <m:ctrlPr>
                    <w:rPr>
                      <w:rFonts w:ascii="Cambria Math" w:hAnsi="Cambria Math"/>
                    </w:rPr>
                  </m:ctrlPr>
                </m:sub>
              </m:sSub>
              <m:r>
                <m:rPr>
                  <m:sty m:val="p"/>
                </m:rPr>
                <w:rPr>
                  <w:rFonts w:ascii="Cambria Math" w:hAnsi="Cambria Math"/>
                </w:rPr>
                <m:t>=0</m:t>
              </m:r>
            </m:oMath>
            <w:r>
              <w:t xml:space="preserve"> if the active UL BWP does not change, or if a cell indicator field in the PDCCH order indicates a non-serving cell</w:t>
            </w:r>
            <w:r>
              <w:rPr>
                <w:lang w:val="en-US"/>
              </w:rPr>
              <w:t xml:space="preserve"> [5, TS 38.212]</w:t>
            </w:r>
            <w:r>
              <w:t xml:space="preserve">, and </w:t>
            </w:r>
            <m:oMath>
              <m:sSub>
                <m:sSubPr>
                  <m:ctrlPr>
                    <w:rPr>
                      <w:rFonts w:ascii="Cambria Math" w:hAnsi="Cambria Math"/>
                      <w:i w:val="0"/>
                    </w:rPr>
                  </m:ctrlPr>
                </m:sSubPr>
                <m:e>
                  <m:r>
                    <m:rPr>
                      <m:sty m:val="p"/>
                    </m:rPr>
                    <w:rPr>
                      <w:rFonts w:ascii="Cambria Math" w:hAnsi="Cambria Math"/>
                    </w:rPr>
                    <m:t>∆</m:t>
                  </m:r>
                  <m:ctrlPr>
                    <w:rPr>
                      <w:rFonts w:ascii="Cambria Math" w:hAnsi="Cambria Math"/>
                      <w:i w:val="0"/>
                    </w:rPr>
                  </m:ctrlPr>
                </m:e>
                <m:sub>
                  <m:r>
                    <m:rPr>
                      <m:sty m:val="p"/>
                    </m:rPr>
                    <w:rPr>
                      <w:rFonts w:ascii="Cambria Math" w:hAnsi="Cambria Math"/>
                    </w:rPr>
                    <m:t>BWPSwitching</m:t>
                  </m:r>
                  <m:ctrlPr>
                    <w:rPr>
                      <w:rFonts w:ascii="Cambria Math" w:hAnsi="Cambria Math"/>
                      <w:i w:val="0"/>
                    </w:rPr>
                  </m:ctrlPr>
                </m:sub>
              </m:sSub>
            </m:oMath>
            <w:r>
              <w:rPr>
                <w:rFonts w:hint="default"/>
                <w:lang w:eastAsia="zh-CN"/>
              </w:rPr>
              <w:t xml:space="preserve"> </w:t>
            </w:r>
            <w:r>
              <w:t xml:space="preserve">is a time duration of </w:t>
            </w:r>
            <m:oMath>
              <m:sSub>
                <m:sSubPr>
                  <m:ctrlPr>
                    <w:rPr>
                      <w:rFonts w:ascii="Cambria Math" w:hAnsi="Cambria Math"/>
                      <w:i w:val="0"/>
                    </w:rPr>
                  </m:ctrlPr>
                </m:sSubPr>
                <m:e>
                  <m:r>
                    <m:rPr>
                      <m:sty m:val="p"/>
                    </m:rPr>
                    <w:rPr>
                      <w:rFonts w:ascii="Cambria Math" w:hAnsi="Cambria Math"/>
                    </w:rPr>
                    <m:t>T</m:t>
                  </m:r>
                  <m:ctrlPr>
                    <w:rPr>
                      <w:rFonts w:ascii="Cambria Math" w:hAnsi="Cambria Math"/>
                      <w:i w:val="0"/>
                    </w:rPr>
                  </m:ctrlPr>
                </m:e>
                <m:sub>
                  <m:r>
                    <m:rPr>
                      <m:sty m:val="p"/>
                    </m:rPr>
                    <w:rPr>
                      <w:rFonts w:ascii="Cambria Math" w:hAnsi="Cambria Math"/>
                    </w:rPr>
                    <m:t>BWPswitchDelay</m:t>
                  </m:r>
                  <m:ctrlPr>
                    <w:rPr>
                      <w:rFonts w:ascii="Cambria Math" w:hAnsi="Cambria Math"/>
                      <w:i w:val="0"/>
                    </w:rPr>
                  </m:ctrlPr>
                </m:sub>
              </m:sSub>
            </m:oMath>
            <w:r>
              <w:t xml:space="preserve"> defined in [10, TS 38.133] otherwise </w:t>
            </w:r>
          </w:p>
          <w:p>
            <w:pPr>
              <w:pStyle w:val="53"/>
              <w:rPr>
                <w:lang w:val="en-US"/>
              </w:rPr>
            </w:pPr>
            <w:r>
              <w:t>-</w:t>
            </w:r>
            <w:r>
              <w:tab/>
            </w:r>
            <m:oMath>
              <m:sSub>
                <m:sSubPr>
                  <m:ctrlPr>
                    <w:rPr>
                      <w:rFonts w:ascii="Cambria Math" w:hAnsi="Cambria Math"/>
                    </w:rPr>
                  </m:ctrlPr>
                </m:sSubPr>
                <m:e>
                  <m:r>
                    <m:rPr>
                      <m:sty m:val="p"/>
                    </m:rPr>
                    <w:rPr>
                      <w:rFonts w:ascii="Cambria Math" w:hAnsi="Cambria Math"/>
                    </w:rPr>
                    <m:t>∆</m:t>
                  </m:r>
                  <m:ctrlPr>
                    <w:rPr>
                      <w:rFonts w:ascii="Cambria Math" w:hAnsi="Cambria Math"/>
                    </w:rPr>
                  </m:ctrlPr>
                </m:e>
                <m:sub>
                  <m:r>
                    <m:rPr>
                      <m:sty m:val="p"/>
                    </m:rPr>
                    <w:rPr>
                      <w:rFonts w:ascii="Cambria Math" w:hAnsi="Cambria Math"/>
                    </w:rPr>
                    <m:t>Delay</m:t>
                  </m:r>
                  <m:ctrlPr>
                    <w:rPr>
                      <w:rFonts w:ascii="Cambria Math" w:hAnsi="Cambria Math"/>
                    </w:rPr>
                  </m:ctrlPr>
                </m:sub>
              </m:sSub>
              <m:r>
                <m:rPr>
                  <m:sty m:val="p"/>
                </m:rPr>
                <w:rPr>
                  <w:rFonts w:ascii="Cambria Math" w:hAnsi="Cambria Math"/>
                </w:rPr>
                <m:t>=0.5</m:t>
              </m:r>
            </m:oMath>
            <w:r>
              <w:t xml:space="preserve"> msec for FR1 and </w:t>
            </w:r>
            <m:oMath>
              <m:sSub>
                <m:sSubPr>
                  <m:ctrlPr>
                    <w:rPr>
                      <w:rFonts w:ascii="Cambria Math" w:hAnsi="Cambria Math"/>
                    </w:rPr>
                  </m:ctrlPr>
                </m:sSubPr>
                <m:e>
                  <m:r>
                    <m:rPr>
                      <m:sty m:val="p"/>
                    </m:rPr>
                    <w:rPr>
                      <w:rFonts w:ascii="Cambria Math" w:hAnsi="Cambria Math"/>
                    </w:rPr>
                    <m:t>∆</m:t>
                  </m:r>
                  <m:ctrlPr>
                    <w:rPr>
                      <w:rFonts w:ascii="Cambria Math" w:hAnsi="Cambria Math"/>
                    </w:rPr>
                  </m:ctrlPr>
                </m:e>
                <m:sub>
                  <m:r>
                    <m:rPr>
                      <m:sty m:val="p"/>
                    </m:rPr>
                    <w:rPr>
                      <w:rFonts w:ascii="Cambria Math" w:hAnsi="Cambria Math"/>
                    </w:rPr>
                    <m:t>Delay</m:t>
                  </m:r>
                  <m:ctrlPr>
                    <w:rPr>
                      <w:rFonts w:ascii="Cambria Math" w:hAnsi="Cambria Math"/>
                    </w:rPr>
                  </m:ctrlPr>
                </m:sub>
              </m:sSub>
              <m:r>
                <m:rPr>
                  <m:sty m:val="p"/>
                </m:rPr>
                <w:rPr>
                  <w:rFonts w:ascii="Cambria Math" w:hAnsi="Cambria Math"/>
                </w:rPr>
                <m:t>=0.25</m:t>
              </m:r>
            </m:oMath>
            <w:r>
              <w:t xml:space="preserve"> msec for FR2</w:t>
            </w:r>
          </w:p>
          <w:p>
            <w:pPr>
              <w:pStyle w:val="53"/>
              <w:rPr>
                <w:lang w:val="en-US"/>
              </w:rPr>
            </w:pPr>
            <w:r>
              <w:t>-</w:t>
            </w: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switch</m:t>
                  </m:r>
                  <m:ctrlPr>
                    <w:rPr>
                      <w:rFonts w:ascii="Cambria Math" w:hAnsi="Cambria Math"/>
                    </w:rPr>
                  </m:ctrlPr>
                </m:sub>
              </m:sSub>
            </m:oMath>
            <w:r>
              <w:t xml:space="preserve"> is </w:t>
            </w:r>
            <w:r>
              <w:rPr>
                <w:lang w:val="en-US"/>
              </w:rPr>
              <w:t xml:space="preserve">a switching gap duration as </w:t>
            </w:r>
            <w:r>
              <w:t>defined i</w:t>
            </w:r>
            <w:r>
              <w:rPr>
                <w:lang w:val="en-US"/>
              </w:rPr>
              <w:t>n</w:t>
            </w:r>
            <w:r>
              <w:t xml:space="preserve"> [6, TS 38.214]</w:t>
            </w:r>
            <w:r>
              <w:rPr>
                <w:lang w:val="en-US"/>
              </w:rPr>
              <w:t xml:space="preserve"> </w:t>
            </w:r>
          </w:p>
          <w:p>
            <w:pPr>
              <w:pStyle w:val="53"/>
            </w:pPr>
            <w:r>
              <w:t>-</w:t>
            </w: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r>
                <m:rPr>
                  <m:sty m:val="p"/>
                </m:rPr>
                <w:rPr>
                  <w:rFonts w:ascii="Cambria Math" w:hAnsi="Cambria Math"/>
                </w:rPr>
                <m:t>=0</m:t>
              </m:r>
            </m:oMath>
            <w:r>
              <w:t xml:space="preserve"> if a cell indicator field in the PDCCH order indicates a serving cell or if cell indicator field is not present</w:t>
            </w:r>
            <w:r>
              <w:rPr>
                <w:lang w:eastAsia="zh-CN"/>
              </w:rPr>
              <w:t>,</w:t>
            </w:r>
            <w:r>
              <w:rPr>
                <w:lang w:val="en-US"/>
              </w:rPr>
              <w:t xml:space="preserve"> and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oMath>
            <w:r>
              <w:rPr>
                <w:lang w:val="en-US"/>
              </w:rPr>
              <w:t xml:space="preserve"> </w:t>
            </w:r>
            <w:r>
              <w:t>is defined in [10, TS 38.133] otherwise</w:t>
            </w:r>
          </w:p>
          <w:p>
            <w:pPr>
              <w:pStyle w:val="53"/>
              <w:rPr>
                <w:lang w:val="en-US"/>
              </w:rPr>
            </w:pPr>
            <w:r>
              <w:t>-</w:t>
            </w:r>
            <w:r>
              <w:tab/>
            </w:r>
            <m:oMath>
              <m:sSub>
                <m:sSubPr>
                  <m:ctrlPr>
                    <w:rPr>
                      <w:rFonts w:ascii="Cambria Math" w:hAnsi="Cambria Math"/>
                    </w:rPr>
                  </m:ctrlPr>
                </m:sSubPr>
                <m:e>
                  <m:r>
                    <m:rPr>
                      <m:sty m:val="p"/>
                    </m:rPr>
                    <w:rPr>
                      <w:rFonts w:ascii="Cambria Math" w:hAnsi="Cambria Math"/>
                    </w:rPr>
                    <m:t>∆</m:t>
                  </m:r>
                  <m:ctrlPr>
                    <w:rPr>
                      <w:rFonts w:ascii="Cambria Math" w:hAnsi="Cambria Math"/>
                    </w:rPr>
                  </m:ctrlPr>
                </m:e>
                <m:sub>
                  <m:r>
                    <m:rPr>
                      <m:sty m:val="p"/>
                    </m:rPr>
                    <w:rPr>
                      <w:rFonts w:ascii="Cambria Math" w:hAnsi="Cambria Math"/>
                    </w:rPr>
                    <m:t>RF/BB preparation</m:t>
                  </m:r>
                  <m:ctrlPr>
                    <w:rPr>
                      <w:rFonts w:ascii="Cambria Math" w:hAnsi="Cambria Math"/>
                    </w:rPr>
                  </m:ctrlPr>
                </m:sub>
              </m:sSub>
              <m:r>
                <m:rPr>
                  <m:sty m:val="p"/>
                </m:rPr>
                <w:rPr>
                  <w:rFonts w:ascii="Cambria Math" w:hAnsi="Cambria Math"/>
                </w:rPr>
                <m:t>=0</m:t>
              </m:r>
            </m:oMath>
            <w:r>
              <w:t xml:space="preserve"> if a cell indicator field in the PDCCH order indicates a serving cell or if cell indicator field is not present</w:t>
            </w:r>
            <w:r>
              <w:rPr>
                <w:lang w:eastAsia="zh-CN"/>
              </w:rPr>
              <w:t>,</w:t>
            </w:r>
            <w:r>
              <w:rPr>
                <w:lang w:val="en-US"/>
              </w:rPr>
              <w:t xml:space="preserve"> and </w:t>
            </w:r>
            <m:oMath>
              <m:sSub>
                <m:sSubPr>
                  <m:ctrlPr>
                    <w:rPr>
                      <w:rFonts w:ascii="Cambria Math" w:hAnsi="Cambria Math"/>
                      <w:highlight w:val="yellow"/>
                    </w:rPr>
                  </m:ctrlPr>
                </m:sSubPr>
                <m:e>
                  <m:r>
                    <m:rPr>
                      <m:sty m:val="p"/>
                    </m:rPr>
                    <w:rPr>
                      <w:rFonts w:ascii="Cambria Math" w:hAnsi="Cambria Math"/>
                      <w:highlight w:val="yellow"/>
                    </w:rPr>
                    <m:t>∆</m:t>
                  </m:r>
                  <m:ctrlPr>
                    <w:rPr>
                      <w:rFonts w:ascii="Cambria Math" w:hAnsi="Cambria Math"/>
                      <w:highlight w:val="yellow"/>
                    </w:rPr>
                  </m:ctrlPr>
                </m:e>
                <m:sub>
                  <m:r>
                    <m:rPr>
                      <m:sty m:val="p"/>
                    </m:rPr>
                    <w:rPr>
                      <w:rFonts w:ascii="Cambria Math" w:hAnsi="Cambria Math"/>
                      <w:highlight w:val="yellow"/>
                    </w:rPr>
                    <m:t>RF/BB preparation</m:t>
                  </m:r>
                  <m:ctrlPr>
                    <w:rPr>
                      <w:rFonts w:ascii="Cambria Math" w:hAnsi="Cambria Math"/>
                      <w:highlight w:val="yellow"/>
                    </w:rPr>
                  </m:ctrlPr>
                </m:sub>
              </m:sSub>
            </m:oMath>
            <w:r>
              <w:rPr>
                <w:highlight w:val="yellow"/>
                <w:lang w:val="en-US"/>
              </w:rPr>
              <w:t xml:space="preserve"> </w:t>
            </w:r>
            <w:r>
              <w:rPr>
                <w:highlight w:val="yellow"/>
              </w:rPr>
              <w:t>is defined in [10, TS 38.133]</w:t>
            </w:r>
            <w:r>
              <w:t xml:space="preserve"> otherwise</w:t>
            </w:r>
          </w:p>
          <w:p>
            <w:pPr>
              <w:pStyle w:val="53"/>
              <w:ind w:left="0" w:firstLine="0"/>
              <w:rPr>
                <w:highlight w:val="yellow"/>
              </w:rPr>
            </w:pPr>
            <w:r>
              <w:rPr>
                <w:highlight w:val="yellow"/>
                <w:lang w:val="en-US"/>
              </w:rPr>
              <w:t xml:space="preserve">For a PRACH transmission using 1.25 kHz or 5 kHz SCS, the UE determines </w:t>
            </w:r>
            <m:oMath>
              <m:sSub>
                <m:sSubPr>
                  <m:ctrlPr>
                    <w:rPr>
                      <w:rFonts w:ascii="Cambria Math" w:hAnsi="Cambria Math"/>
                      <w:i w:val="0"/>
                      <w:highlight w:val="yellow"/>
                    </w:rPr>
                  </m:ctrlPr>
                </m:sSubPr>
                <m:e>
                  <m:r>
                    <m:rPr>
                      <m:sty m:val="p"/>
                    </m:rPr>
                    <w:rPr>
                      <w:rFonts w:ascii="Cambria Math" w:hAnsi="Cambria Math"/>
                      <w:highlight w:val="yellow"/>
                    </w:rPr>
                    <m:t>N</m:t>
                  </m:r>
                  <m:ctrlPr>
                    <w:rPr>
                      <w:rFonts w:ascii="Cambria Math" w:hAnsi="Cambria Math"/>
                      <w:i w:val="0"/>
                      <w:highlight w:val="yellow"/>
                    </w:rPr>
                  </m:ctrlPr>
                </m:e>
                <m:sub>
                  <m:r>
                    <m:rPr>
                      <m:sty m:val="p"/>
                    </m:rPr>
                    <w:rPr>
                      <w:rFonts w:ascii="Cambria Math" w:hAnsi="Cambria Math"/>
                      <w:highlight w:val="yellow"/>
                    </w:rPr>
                    <m:t>2</m:t>
                  </m:r>
                  <m:ctrlPr>
                    <w:rPr>
                      <w:rFonts w:ascii="Cambria Math" w:hAnsi="Cambria Math"/>
                      <w:i w:val="0"/>
                      <w:highlight w:val="yellow"/>
                    </w:rPr>
                  </m:ctrlPr>
                </m:sub>
              </m:sSub>
            </m:oMath>
            <w:r>
              <w:rPr>
                <w:highlight w:val="yellow"/>
              </w:rPr>
              <w:t xml:space="preserve"> assuming SCS configuration </w:t>
            </w:r>
            <m:oMath>
              <m:r>
                <m:rPr>
                  <m:sty m:val="p"/>
                </m:rPr>
                <w:rPr>
                  <w:rFonts w:ascii="Cambria Math" w:hAnsi="Cambria Math"/>
                  <w:highlight w:val="yellow"/>
                </w:rPr>
                <m:t>μ=0</m:t>
              </m:r>
            </m:oMath>
            <w:r>
              <w:rPr>
                <w:highlight w:val="yellow"/>
              </w:rPr>
              <w:t>.</w:t>
            </w:r>
          </w:p>
          <w:p/>
          <w:p>
            <w:pPr>
              <w:pStyle w:val="96"/>
              <w:numPr>
                <w:ilvl w:val="-1"/>
                <w:numId w:val="0"/>
              </w:numPr>
              <w:tabs>
                <w:tab w:val="left" w:pos="644"/>
                <w:tab w:val="clear" w:pos="1619"/>
              </w:tabs>
              <w:overflowPunct w:val="0"/>
              <w:autoSpaceDE w:val="0"/>
              <w:autoSpaceDN w:val="0"/>
              <w:adjustRightInd w:val="0"/>
              <w:spacing w:before="157" w:beforeLines="50" w:after="157" w:afterLines="50"/>
              <w:ind w:left="0" w:firstLine="0"/>
              <w:textAlignment w:val="baseline"/>
              <w:rPr>
                <w:rFonts w:hint="eastAsia"/>
                <w:lang w:val="en-US" w:eastAsia="zh-CN"/>
              </w:rPr>
            </w:pPr>
            <w:r>
              <w:rPr>
                <w:rFonts w:hint="eastAsia"/>
                <w:lang w:val="en-US" w:eastAsia="zh-CN"/>
              </w:rPr>
              <w:t>TS 38.133 clause 6.2.2C.2</w:t>
            </w:r>
          </w:p>
          <w:p>
            <w:pPr>
              <w:pStyle w:val="53"/>
              <w:rPr>
                <w:szCs w:val="24"/>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RF/BB preparation</m:t>
                  </m:r>
                  <m:ctrlPr>
                    <w:rPr>
                      <w:rFonts w:ascii="Cambria Math" w:hAnsi="Cambria Math"/>
                      <w:i/>
                    </w:rPr>
                  </m:ctrlPr>
                </m:sub>
              </m:sSub>
            </m:oMath>
            <w:r>
              <w:rPr>
                <w:szCs w:val="24"/>
                <w:lang w:eastAsia="zh-CN"/>
              </w:rPr>
              <w:t xml:space="preserve"> is the time for RF and baseband preparation.</w:t>
            </w:r>
            <w:r>
              <w:rPr>
                <w:rFonts w:hint="eastAsia"/>
                <w:szCs w:val="24"/>
                <w:lang w:eastAsia="zh-CN"/>
              </w:rPr>
              <w:t xml:space="preserve"> </w:t>
            </w:r>
            <w:r>
              <w:rPr>
                <w:szCs w:val="24"/>
                <w:lang w:eastAsia="zh-CN"/>
              </w:rPr>
              <w:t>The following apply:</w:t>
            </w:r>
          </w:p>
          <w:p>
            <w:pPr>
              <w:pStyle w:val="104"/>
              <w:ind w:leftChars="200"/>
              <w:rPr>
                <w:lang w:eastAsia="zh-CN"/>
              </w:rPr>
            </w:pPr>
            <w:r>
              <w:rPr>
                <w:lang w:eastAsia="zh-CN"/>
              </w:rPr>
              <w:t>-</w:t>
            </w:r>
            <w:r>
              <w:rPr>
                <w:lang w:eastAsia="zh-CN"/>
              </w:rPr>
              <w:tab/>
            </w:r>
            <w:r>
              <w:rPr>
                <w:rFonts w:hint="eastAsia"/>
                <w:lang w:eastAsia="zh-CN"/>
              </w:rPr>
              <w:t>I</w:t>
            </w:r>
            <w:r>
              <w:rPr>
                <w:lang w:eastAsia="zh-CN"/>
              </w:rPr>
              <w:t>f PRACH bandwidth is outside active UL BWP of serving cell(s) but within one of configured UL BWPs of an active serving cell,</w:t>
            </w:r>
            <w:r>
              <w:rPr>
                <w:rFonts w:hint="eastAsia"/>
                <w:lang w:eastAsia="zh-CN"/>
              </w:rPr>
              <w:t xml:space="preserve"> </w:t>
            </w:r>
            <w:r>
              <w:rPr>
                <w:rFonts w:hint="eastAsia"/>
                <w:highlight w:val="yellow"/>
                <w:lang w:eastAsia="zh-CN"/>
              </w:rPr>
              <w:t>the</w:t>
            </w:r>
            <w:r>
              <w:rPr>
                <w:highlight w:val="yellow"/>
                <w:lang w:eastAsia="zh-CN"/>
              </w:rPr>
              <w:t xml:space="preserve"> </w:t>
            </w:r>
            <m:oMath>
              <m:sSub>
                <m:sSubPr>
                  <m:ctrlPr>
                    <w:rPr>
                      <w:rFonts w:ascii="Cambria Math" w:hAnsi="Cambria Math"/>
                      <w:i/>
                      <w:highlight w:val="yellow"/>
                    </w:rPr>
                  </m:ctrlPr>
                </m:sSubPr>
                <m:e>
                  <m:r>
                    <m:rPr/>
                    <w:rPr>
                      <w:rFonts w:ascii="Cambria Math" w:hAnsi="Cambria Math"/>
                      <w:highlight w:val="yellow"/>
                    </w:rPr>
                    <m:t>∆</m:t>
                  </m:r>
                  <m:ctrlPr>
                    <w:rPr>
                      <w:rFonts w:ascii="Cambria Math" w:hAnsi="Cambria Math"/>
                      <w:i/>
                      <w:highlight w:val="yellow"/>
                    </w:rPr>
                  </m:ctrlPr>
                </m:e>
                <m:sub>
                  <m:r>
                    <m:rPr>
                      <m:sty m:val="p"/>
                    </m:rPr>
                    <w:rPr>
                      <w:rFonts w:ascii="Cambria Math" w:hAnsi="Cambria Math"/>
                      <w:highlight w:val="yellow"/>
                    </w:rPr>
                    <m:t>RF/BB preparation</m:t>
                  </m:r>
                  <m:ctrlPr>
                    <w:rPr>
                      <w:rFonts w:ascii="Cambria Math" w:hAnsi="Cambria Math"/>
                      <w:i/>
                      <w:highlight w:val="yellow"/>
                    </w:rPr>
                  </m:ctrlPr>
                </m:sub>
              </m:sSub>
            </m:oMath>
            <w:r>
              <w:rPr>
                <w:highlight w:val="yellow"/>
              </w:rPr>
              <w:t xml:space="preserve"> </w:t>
            </w:r>
            <w:r>
              <w:rPr>
                <w:bCs/>
                <w:highlight w:val="yellow"/>
                <w:lang w:eastAsia="zh-CN"/>
              </w:rPr>
              <w:t>is the DCI based BWP switching delay specified in clause 8.6</w:t>
            </w:r>
            <w:r>
              <w:rPr>
                <w:bCs/>
                <w:lang w:eastAsia="zh-CN"/>
              </w:rPr>
              <w:t>.</w:t>
            </w:r>
            <w:r>
              <w:rPr>
                <w:lang w:eastAsia="zh-CN"/>
              </w:rPr>
              <w:t xml:space="preserve"> </w:t>
            </w:r>
          </w:p>
          <w:p>
            <w:pPr>
              <w:pStyle w:val="104"/>
              <w:ind w:leftChars="200"/>
              <w:rPr>
                <w:lang w:eastAsia="zh-CN"/>
              </w:rPr>
            </w:pPr>
            <w:r>
              <w:rPr>
                <w:lang w:eastAsia="zh-CN"/>
              </w:rPr>
              <w:t>-</w:t>
            </w:r>
            <w:r>
              <w:rPr>
                <w:lang w:eastAsia="zh-CN"/>
              </w:rPr>
              <w:tab/>
            </w:r>
            <w:r>
              <w:rPr>
                <w:lang w:eastAsia="zh-CN"/>
              </w:rPr>
              <w:t xml:space="preserve">If PRACH bandwidth is not within any of the configured UL BWPs of any active serving cell, </w:t>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RF/BB preparation</m:t>
                  </m:r>
                  <m:ctrlPr>
                    <w:rPr>
                      <w:rFonts w:ascii="Cambria Math" w:hAnsi="Cambria Math"/>
                      <w:i/>
                    </w:rPr>
                  </m:ctrlPr>
                </m:sub>
              </m:sSub>
              <m:r>
                <m:rPr/>
                <w:rPr>
                  <w:rFonts w:ascii="Cambria Math" w:hAnsi="Cambria Math"/>
                </w:rPr>
                <m:t xml:space="preserve"> </m:t>
              </m:r>
            </m:oMath>
            <w:r>
              <w:rPr>
                <w:lang w:eastAsia="zh-CN"/>
              </w:rPr>
              <w:t xml:space="preserve">equals to capability value reported in </w:t>
            </w:r>
            <w:r>
              <w:rPr>
                <w:i/>
                <w:iCs/>
                <w:lang w:eastAsia="zh-CN"/>
              </w:rPr>
              <w:t>pdcch-RACH-PrepTimeList-r18</w:t>
            </w:r>
            <w:r>
              <w:rPr>
                <w:lang w:eastAsia="zh-CN"/>
              </w:rPr>
              <w:t>.</w:t>
            </w:r>
          </w:p>
          <w:p>
            <w:pPr>
              <w:pStyle w:val="104"/>
              <w:ind w:leftChars="200"/>
              <w:rPr>
                <w:lang w:eastAsia="zh-CN"/>
              </w:rPr>
            </w:pPr>
            <w:r>
              <w:rPr>
                <w:lang w:eastAsia="zh-CN"/>
              </w:rPr>
              <w:t>-</w:t>
            </w:r>
            <w:r>
              <w:rPr>
                <w:lang w:eastAsia="zh-CN"/>
              </w:rPr>
              <w:tab/>
            </w:r>
            <w:r>
              <w:rPr>
                <w:lang w:eastAsia="zh-CN"/>
              </w:rPr>
              <w:t xml:space="preserve">Otherwise, </w:t>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RF/BB preparation</m:t>
                  </m:r>
                  <m:ctrlPr>
                    <w:rPr>
                      <w:rFonts w:ascii="Cambria Math" w:hAnsi="Cambria Math"/>
                      <w:i/>
                    </w:rPr>
                  </m:ctrlPr>
                </m:sub>
              </m:sSub>
              <m:r>
                <m:rPr/>
                <w:rPr>
                  <w:rFonts w:ascii="Cambria Math" w:hAnsi="Cambria Math"/>
                </w:rPr>
                <m:t xml:space="preserve"> </m:t>
              </m:r>
            </m:oMath>
            <w:r>
              <w:rPr>
                <w:lang w:eastAsia="zh-CN"/>
              </w:rPr>
              <w:t>= 0.</w:t>
            </w:r>
          </w:p>
          <w:p>
            <w:pPr>
              <w:pStyle w:val="97"/>
              <w:ind w:left="0" w:firstLine="0"/>
              <w:rPr>
                <w:rFonts w:hint="default"/>
                <w:lang w:val="en-US" w:eastAsia="zh-CN"/>
              </w:rPr>
            </w:pPr>
          </w:p>
          <w:p>
            <w:pPr>
              <w:pStyle w:val="97"/>
              <w:ind w:left="0" w:firstLine="0"/>
              <w:rPr>
                <w:rFonts w:hint="default"/>
                <w:lang w:val="en-US" w:eastAsia="zh-CN"/>
              </w:rPr>
            </w:pPr>
          </w:p>
          <w:p>
            <w:pPr>
              <w:pStyle w:val="97"/>
              <w:ind w:left="0" w:firstLine="0"/>
              <w:rPr>
                <w:rFonts w:hint="eastAsia"/>
                <w:lang w:val="en-US" w:eastAsia="zh-CN"/>
              </w:rPr>
            </w:pPr>
            <w:r>
              <w:rPr>
                <w:rFonts w:hint="eastAsia"/>
                <w:lang w:val="en-US" w:eastAsia="zh-CN"/>
              </w:rPr>
              <w:t>TS 38.133 clause 8.6.2</w:t>
            </w:r>
          </w:p>
          <w:p>
            <w:pPr>
              <w:rPr>
                <w:lang w:eastAsia="zh-CN"/>
              </w:rPr>
            </w:pPr>
            <w:r>
              <w:rPr>
                <w:lang w:eastAsia="zh-CN"/>
              </w:rPr>
              <w:t>Depending on UE capability</w:t>
            </w:r>
            <w:r>
              <w:t xml:space="preserve"> </w:t>
            </w:r>
            <w:r>
              <w:rPr>
                <w:i/>
              </w:rPr>
              <w:t>bwp-SwitchingDelay</w:t>
            </w:r>
            <w:r>
              <w:rPr>
                <w:lang w:eastAsia="zh-CN"/>
              </w:rPr>
              <w:t xml:space="preserve"> [2], UE shall finish BWP switch within the time duration T</w:t>
            </w:r>
            <w:r>
              <w:rPr>
                <w:vertAlign w:val="subscript"/>
                <w:lang w:eastAsia="zh-CN"/>
              </w:rPr>
              <w:t>BWPswitchDelay</w:t>
            </w:r>
            <w:r>
              <w:rPr>
                <w:lang w:eastAsia="zh-CN"/>
              </w:rPr>
              <w:t xml:space="preserve"> defined in table 8.6.2-1.</w:t>
            </w:r>
          </w:p>
          <w:p>
            <w:pPr>
              <w:pStyle w:val="48"/>
            </w:pPr>
            <w:r>
              <w:t>Table 8.6.2-1: BWP switch delay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649"/>
              <w:gridCol w:w="1526"/>
              <w:gridCol w:w="1969"/>
              <w:gridCol w:w="1969"/>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tcBorders>
                    <w:bottom w:val="nil"/>
                  </w:tcBorders>
                  <w:shd w:val="clear" w:color="auto" w:fill="auto"/>
                  <w:vAlign w:val="center"/>
                </w:tcPr>
                <w:p>
                  <w:pPr>
                    <w:pStyle w:val="38"/>
                  </w:pPr>
                  <w:r>
                    <w:rPr>
                      <w:lang w:eastAsia="zh-CN"/>
                    </w:rPr>
                    <w:drawing>
                      <wp:inline distT="0" distB="0" distL="0" distR="0">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526" w:type="dxa"/>
                  <w:tcBorders>
                    <w:bottom w:val="nil"/>
                  </w:tcBorders>
                </w:tcPr>
                <w:p>
                  <w:pPr>
                    <w:pStyle w:val="38"/>
                  </w:pPr>
                  <w:r>
                    <w:t xml:space="preserve">NR Slot length </w:t>
                  </w:r>
                </w:p>
              </w:tc>
              <w:tc>
                <w:tcPr>
                  <w:tcW w:w="3938" w:type="dxa"/>
                  <w:gridSpan w:val="2"/>
                </w:tcPr>
                <w:p>
                  <w:pPr>
                    <w:pStyle w:val="38"/>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tcBorders>
                    <w:top w:val="nil"/>
                  </w:tcBorders>
                  <w:shd w:val="clear" w:color="auto" w:fill="auto"/>
                  <w:vAlign w:val="center"/>
                </w:tcPr>
                <w:p>
                  <w:pPr>
                    <w:pStyle w:val="38"/>
                  </w:pPr>
                </w:p>
              </w:tc>
              <w:tc>
                <w:tcPr>
                  <w:tcW w:w="1526" w:type="dxa"/>
                  <w:tcBorders>
                    <w:top w:val="nil"/>
                  </w:tcBorders>
                </w:tcPr>
                <w:p>
                  <w:pPr>
                    <w:pStyle w:val="38"/>
                  </w:pPr>
                  <w:r>
                    <w:t>(ms)</w:t>
                  </w:r>
                </w:p>
              </w:tc>
              <w:tc>
                <w:tcPr>
                  <w:tcW w:w="1969" w:type="dxa"/>
                </w:tcPr>
                <w:p>
                  <w:pPr>
                    <w:pStyle w:val="38"/>
                    <w:rPr>
                      <w:vertAlign w:val="superscript"/>
                      <w:lang w:eastAsia="zh-CN"/>
                    </w:rPr>
                  </w:pPr>
                  <w:r>
                    <w:rPr>
                      <w:lang w:eastAsia="zh-CN"/>
                    </w:rPr>
                    <w:t>Type 1</w:t>
                  </w:r>
                  <w:r>
                    <w:rPr>
                      <w:vertAlign w:val="superscript"/>
                      <w:lang w:eastAsia="zh-CN"/>
                    </w:rPr>
                    <w:t>Note 1</w:t>
                  </w:r>
                </w:p>
              </w:tc>
              <w:tc>
                <w:tcPr>
                  <w:tcW w:w="1969" w:type="dxa"/>
                </w:tcPr>
                <w:p>
                  <w:pPr>
                    <w:pStyle w:val="38"/>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pPr>
                    <w:pStyle w:val="39"/>
                  </w:pPr>
                  <w:r>
                    <w:t>0</w:t>
                  </w:r>
                </w:p>
              </w:tc>
              <w:tc>
                <w:tcPr>
                  <w:tcW w:w="1526" w:type="dxa"/>
                </w:tcPr>
                <w:p>
                  <w:pPr>
                    <w:pStyle w:val="39"/>
                  </w:pPr>
                  <w:r>
                    <w:t>1</w:t>
                  </w:r>
                </w:p>
              </w:tc>
              <w:tc>
                <w:tcPr>
                  <w:tcW w:w="1969" w:type="dxa"/>
                  <w:shd w:val="clear" w:color="auto" w:fill="auto"/>
                </w:tcPr>
                <w:p>
                  <w:pPr>
                    <w:pStyle w:val="39"/>
                  </w:pPr>
                  <w:r>
                    <w:t>1</w:t>
                  </w:r>
                </w:p>
              </w:tc>
              <w:tc>
                <w:tcPr>
                  <w:tcW w:w="1969" w:type="dxa"/>
                </w:tcPr>
                <w:p>
                  <w:pPr>
                    <w:pStyle w:val="39"/>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pPr>
                    <w:pStyle w:val="39"/>
                  </w:pPr>
                  <w:r>
                    <w:t>1</w:t>
                  </w:r>
                </w:p>
              </w:tc>
              <w:tc>
                <w:tcPr>
                  <w:tcW w:w="1526" w:type="dxa"/>
                </w:tcPr>
                <w:p>
                  <w:pPr>
                    <w:pStyle w:val="39"/>
                  </w:pPr>
                  <w:r>
                    <w:t>0.5</w:t>
                  </w:r>
                </w:p>
              </w:tc>
              <w:tc>
                <w:tcPr>
                  <w:tcW w:w="1969" w:type="dxa"/>
                  <w:shd w:val="clear" w:color="auto" w:fill="auto"/>
                </w:tcPr>
                <w:p>
                  <w:pPr>
                    <w:pStyle w:val="39"/>
                  </w:pPr>
                  <w:r>
                    <w:t>2</w:t>
                  </w:r>
                </w:p>
              </w:tc>
              <w:tc>
                <w:tcPr>
                  <w:tcW w:w="1969" w:type="dxa"/>
                </w:tcPr>
                <w:p>
                  <w:pPr>
                    <w:pStyle w:val="39"/>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pPr>
                    <w:pStyle w:val="39"/>
                  </w:pPr>
                  <w:r>
                    <w:t>2</w:t>
                  </w:r>
                </w:p>
              </w:tc>
              <w:tc>
                <w:tcPr>
                  <w:tcW w:w="1526" w:type="dxa"/>
                </w:tcPr>
                <w:p>
                  <w:pPr>
                    <w:pStyle w:val="39"/>
                  </w:pPr>
                  <w:r>
                    <w:t>0.25</w:t>
                  </w:r>
                </w:p>
              </w:tc>
              <w:tc>
                <w:tcPr>
                  <w:tcW w:w="1969" w:type="dxa"/>
                  <w:shd w:val="clear" w:color="auto" w:fill="auto"/>
                </w:tcPr>
                <w:p>
                  <w:pPr>
                    <w:pStyle w:val="39"/>
                  </w:pPr>
                  <w:r>
                    <w:t>3</w:t>
                  </w:r>
                </w:p>
              </w:tc>
              <w:tc>
                <w:tcPr>
                  <w:tcW w:w="1969" w:type="dxa"/>
                </w:tcPr>
                <w:p>
                  <w:pPr>
                    <w:pStyle w:val="39"/>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pPr>
                    <w:pStyle w:val="39"/>
                  </w:pPr>
                  <w:r>
                    <w:t>3</w:t>
                  </w:r>
                </w:p>
              </w:tc>
              <w:tc>
                <w:tcPr>
                  <w:tcW w:w="1526" w:type="dxa"/>
                </w:tcPr>
                <w:p>
                  <w:pPr>
                    <w:pStyle w:val="39"/>
                  </w:pPr>
                  <w:r>
                    <w:t>0.125</w:t>
                  </w:r>
                </w:p>
              </w:tc>
              <w:tc>
                <w:tcPr>
                  <w:tcW w:w="1969" w:type="dxa"/>
                  <w:shd w:val="clear" w:color="auto" w:fill="auto"/>
                </w:tcPr>
                <w:p>
                  <w:pPr>
                    <w:pStyle w:val="39"/>
                  </w:pPr>
                  <w:r>
                    <w:t>6</w:t>
                  </w:r>
                </w:p>
              </w:tc>
              <w:tc>
                <w:tcPr>
                  <w:tcW w:w="1969" w:type="dxa"/>
                </w:tcPr>
                <w:p>
                  <w:pPr>
                    <w:pStyle w:val="39"/>
                  </w:pPr>
                  <w: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pPr>
                    <w:pStyle w:val="39"/>
                  </w:pPr>
                  <w:r>
                    <w:rPr>
                      <w:rFonts w:eastAsia="宋体"/>
                      <w:lang w:eastAsia="zh-CN"/>
                    </w:rPr>
                    <w:t>5</w:t>
                  </w:r>
                </w:p>
              </w:tc>
              <w:tc>
                <w:tcPr>
                  <w:tcW w:w="1526" w:type="dxa"/>
                </w:tcPr>
                <w:p>
                  <w:pPr>
                    <w:pStyle w:val="39"/>
                  </w:pPr>
                  <w:r>
                    <w:rPr>
                      <w:rFonts w:hint="eastAsia" w:eastAsia="宋体"/>
                      <w:lang w:eastAsia="zh-CN"/>
                    </w:rPr>
                    <w:t>0</w:t>
                  </w:r>
                  <w:r>
                    <w:rPr>
                      <w:rFonts w:eastAsia="宋体"/>
                      <w:lang w:eastAsia="zh-CN"/>
                    </w:rPr>
                    <w:t>.03125</w:t>
                  </w:r>
                </w:p>
              </w:tc>
              <w:tc>
                <w:tcPr>
                  <w:tcW w:w="1969" w:type="dxa"/>
                  <w:shd w:val="clear" w:color="auto" w:fill="auto"/>
                </w:tcPr>
                <w:p>
                  <w:pPr>
                    <w:pStyle w:val="39"/>
                  </w:pPr>
                  <w:r>
                    <w:rPr>
                      <w:rFonts w:hint="eastAsia" w:eastAsia="宋体"/>
                      <w:lang w:eastAsia="zh-CN"/>
                    </w:rPr>
                    <w:t>2</w:t>
                  </w:r>
                  <w:r>
                    <w:rPr>
                      <w:rFonts w:eastAsia="宋体"/>
                      <w:lang w:eastAsia="zh-CN"/>
                    </w:rPr>
                    <w:t>0</w:t>
                  </w:r>
                </w:p>
              </w:tc>
              <w:tc>
                <w:tcPr>
                  <w:tcW w:w="1969" w:type="dxa"/>
                </w:tcPr>
                <w:p>
                  <w:pPr>
                    <w:pStyle w:val="39"/>
                  </w:pPr>
                  <w:r>
                    <w:rPr>
                      <w:rFonts w:hint="eastAsia" w:eastAsia="宋体"/>
                      <w:lang w:eastAsia="zh-CN"/>
                    </w:rPr>
                    <w:t>6</w:t>
                  </w: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pPr>
                    <w:pStyle w:val="39"/>
                  </w:pPr>
                  <w:r>
                    <w:rPr>
                      <w:rFonts w:eastAsia="宋体"/>
                      <w:lang w:eastAsia="zh-CN"/>
                    </w:rPr>
                    <w:t>6</w:t>
                  </w:r>
                </w:p>
              </w:tc>
              <w:tc>
                <w:tcPr>
                  <w:tcW w:w="1526" w:type="dxa"/>
                </w:tcPr>
                <w:p>
                  <w:pPr>
                    <w:pStyle w:val="39"/>
                  </w:pPr>
                  <w:r>
                    <w:rPr>
                      <w:rFonts w:hint="eastAsia" w:eastAsia="宋体"/>
                      <w:lang w:eastAsia="zh-CN"/>
                    </w:rPr>
                    <w:t>0</w:t>
                  </w:r>
                  <w:r>
                    <w:rPr>
                      <w:rFonts w:eastAsia="宋体"/>
                      <w:lang w:eastAsia="zh-CN"/>
                    </w:rPr>
                    <w:t>.015625</w:t>
                  </w:r>
                </w:p>
              </w:tc>
              <w:tc>
                <w:tcPr>
                  <w:tcW w:w="1969" w:type="dxa"/>
                  <w:shd w:val="clear" w:color="auto" w:fill="auto"/>
                </w:tcPr>
                <w:p>
                  <w:pPr>
                    <w:pStyle w:val="39"/>
                  </w:pPr>
                  <w:r>
                    <w:rPr>
                      <w:rFonts w:hint="eastAsia" w:eastAsia="宋体"/>
                      <w:lang w:eastAsia="zh-CN"/>
                    </w:rPr>
                    <w:t>3</w:t>
                  </w:r>
                  <w:r>
                    <w:rPr>
                      <w:rFonts w:eastAsia="宋体"/>
                      <w:lang w:eastAsia="zh-CN"/>
                    </w:rPr>
                    <w:t>9</w:t>
                  </w:r>
                </w:p>
              </w:tc>
              <w:tc>
                <w:tcPr>
                  <w:tcW w:w="1969" w:type="dxa"/>
                </w:tcPr>
                <w:p>
                  <w:pPr>
                    <w:pStyle w:val="39"/>
                  </w:pPr>
                  <w:r>
                    <w:rPr>
                      <w:rFonts w:hint="eastAsia" w:eastAsia="宋体"/>
                      <w:lang w:eastAsia="zh-CN"/>
                    </w:rPr>
                    <w:t>1</w:t>
                  </w:r>
                  <w:r>
                    <w:rPr>
                      <w:rFonts w:eastAsia="宋体"/>
                      <w:lang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21" w:type="dxa"/>
                  <w:gridSpan w:val="5"/>
                  <w:shd w:val="clear" w:color="auto" w:fill="auto"/>
                </w:tcPr>
                <w:p>
                  <w:pPr>
                    <w:pStyle w:val="51"/>
                  </w:pPr>
                  <w:r>
                    <w:t>NOTE 1:</w:t>
                  </w:r>
                  <w:r>
                    <w:tab/>
                  </w:r>
                  <w:r>
                    <w:t>Depends on UE capability.</w:t>
                  </w:r>
                </w:p>
                <w:p>
                  <w:pPr>
                    <w:pStyle w:val="51"/>
                  </w:pPr>
                  <w:r>
                    <w:t>NOTE 2:</w:t>
                  </w:r>
                  <w:r>
                    <w:tab/>
                  </w:r>
                  <w:r>
                    <w:t>If the BWP switch involves changing of SCS, the BWP switch delay is determined by the smaller SCS between the SCS before BWP switch and the SCS after BWP switch.</w:t>
                  </w:r>
                </w:p>
              </w:tc>
            </w:tr>
          </w:tbl>
          <w:p>
            <w:pPr>
              <w:pStyle w:val="97"/>
              <w:ind w:left="0" w:firstLine="0"/>
              <w:rPr>
                <w:rFonts w:hint="default"/>
                <w:lang w:val="en-US" w:eastAsia="zh-CN"/>
              </w:rPr>
            </w:pPr>
          </w:p>
        </w:tc>
      </w:tr>
    </w:tbl>
    <w:p>
      <w:pPr>
        <w:spacing w:before="157" w:beforeLines="50" w:after="157" w:afterLines="50"/>
        <w:rPr>
          <w:rFonts w:eastAsia="宋体"/>
          <w:b/>
          <w:szCs w:val="24"/>
          <w:lang w:eastAsia="zh-CN"/>
        </w:rPr>
      </w:pPr>
      <w:r>
        <w:rPr>
          <w:rFonts w:hint="eastAsia"/>
          <w:b/>
          <w:bCs w:val="0"/>
          <w:color w:val="auto"/>
          <w:sz w:val="21"/>
          <w:szCs w:val="21"/>
          <w:u w:val="none"/>
          <w:lang w:val="en-US" w:eastAsia="zh-CN"/>
        </w:rPr>
        <w:t xml:space="preserve">Proposal 2: </w:t>
      </w:r>
      <w:r>
        <w:rPr>
          <w:rFonts w:eastAsia="宋体"/>
          <w:b/>
          <w:szCs w:val="24"/>
          <w:lang w:eastAsia="zh-CN"/>
        </w:rPr>
        <w:t>If PRACH is outside UL BWP of PCell, but withing UL BWP of any active SCell, for PRACH transmission using 1.25kHz or 5 kHz SCS, UE determines BWP switch delay assuming µ=0.</w:t>
      </w:r>
    </w:p>
    <w:p>
      <w:pPr>
        <w:spacing w:before="157" w:beforeLines="50" w:after="157" w:afterLines="50"/>
        <w:rPr>
          <w:rFonts w:hint="default"/>
          <w:b w:val="0"/>
          <w:bCs/>
          <w:sz w:val="21"/>
          <w:szCs w:val="24"/>
          <w:u w:val="none"/>
          <w:lang w:val="en-US" w:eastAsia="zh-CN"/>
        </w:rPr>
      </w:pPr>
      <w:r>
        <w:rPr>
          <w:rFonts w:hint="eastAsia"/>
          <w:b w:val="0"/>
          <w:bCs/>
          <w:sz w:val="21"/>
          <w:szCs w:val="24"/>
          <w:u w:val="none"/>
          <w:lang w:val="en-US" w:eastAsia="zh-CN"/>
        </w:rPr>
        <w:t>For proposal 2, proponent proposed to update the value of T</w:t>
      </w:r>
      <w:r>
        <w:rPr>
          <w:rFonts w:hint="eastAsia"/>
          <w:b w:val="0"/>
          <w:bCs/>
          <w:sz w:val="21"/>
          <w:szCs w:val="24"/>
          <w:u w:val="none"/>
          <w:vertAlign w:val="subscript"/>
          <w:lang w:val="en-US" w:eastAsia="zh-CN"/>
        </w:rPr>
        <w:t>SSB-proc</w:t>
      </w:r>
      <w:r>
        <w:rPr>
          <w:rFonts w:hint="eastAsia"/>
          <w:b w:val="0"/>
          <w:bCs/>
          <w:sz w:val="21"/>
          <w:szCs w:val="24"/>
          <w:u w:val="none"/>
          <w:lang w:val="en-US" w:eastAsia="zh-CN"/>
        </w:rPr>
        <w:t xml:space="preserve"> defined for SSB processing in PDCCH-order PRACH delay requirement from 2 ms to 7 ms due to </w:t>
      </w:r>
      <w:r>
        <w:t xml:space="preserve">the fine timing of the SSB may not always be estimated immediately after the reception of the SSB indicated in the PDCCH order. </w:t>
      </w:r>
      <w:r>
        <w:rPr>
          <w:rFonts w:hint="eastAsia"/>
          <w:lang w:val="en-US" w:eastAsia="zh-CN"/>
        </w:rPr>
        <w:t>We have no strong view on this issue and we slightly</w:t>
      </w:r>
      <w:r>
        <w:rPr>
          <w:rFonts w:hint="eastAsia"/>
          <w:b w:val="0"/>
          <w:bCs/>
          <w:sz w:val="21"/>
          <w:szCs w:val="24"/>
          <w:u w:val="none"/>
          <w:lang w:val="en-US" w:eastAsia="zh-CN"/>
        </w:rPr>
        <w:t xml:space="preserve"> prefer to reuse the legacy value which is used widely in RAN4 requirements.</w:t>
      </w:r>
    </w:p>
    <w:p>
      <w:pPr>
        <w:spacing w:before="157" w:beforeLines="50" w:after="157" w:afterLines="50"/>
        <w:rPr>
          <w:rFonts w:hint="default"/>
          <w:b/>
          <w:bCs w:val="0"/>
          <w:sz w:val="21"/>
          <w:szCs w:val="24"/>
          <w:u w:val="none"/>
          <w:lang w:val="en-US" w:eastAsia="zh-CN"/>
        </w:rPr>
      </w:pPr>
    </w:p>
    <w:p>
      <w:pPr>
        <w:pStyle w:val="58"/>
        <w:tabs>
          <w:tab w:val="left" w:pos="567"/>
          <w:tab w:val="clear" w:pos="1985"/>
        </w:tabs>
        <w:adjustRightInd w:val="0"/>
        <w:spacing w:before="0" w:beforeLines="0" w:after="0" w:afterLines="0"/>
        <w:ind w:left="510" w:hanging="510"/>
      </w:pPr>
      <w:r>
        <w:t>Conclusions</w:t>
      </w:r>
    </w:p>
    <w:p>
      <w:pPr>
        <w:numPr>
          <w:ilvl w:val="0"/>
          <w:numId w:val="0"/>
        </w:numPr>
        <w:spacing w:before="157" w:beforeLines="50" w:after="157" w:afterLines="5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w:t>
      </w:r>
      <w:r>
        <w:rPr>
          <w:rFonts w:hint="eastAsia" w:cs="Times New Roman"/>
          <w:b w:val="0"/>
          <w:bCs w:val="0"/>
          <w:sz w:val="21"/>
          <w:szCs w:val="21"/>
          <w:lang w:val="en-US" w:eastAsia="zh-CN"/>
        </w:rPr>
        <w:t xml:space="preserve"> and observations</w:t>
      </w:r>
      <w:r>
        <w:rPr>
          <w:rFonts w:hint="default" w:ascii="Times New Roman" w:hAnsi="Times New Roman" w:cs="Times New Roman"/>
          <w:b w:val="0"/>
          <w:bCs w:val="0"/>
          <w:sz w:val="21"/>
          <w:szCs w:val="21"/>
        </w:rPr>
        <w:t xml:space="preserve"> on</w:t>
      </w:r>
      <w:r>
        <w:rPr>
          <w:rFonts w:hint="default" w:ascii="Times New Roman" w:hAnsi="Times New Roman" w:cs="Times New Roman"/>
          <w:b w:val="0"/>
          <w:bCs w:val="0"/>
          <w:sz w:val="21"/>
          <w:szCs w:val="21"/>
          <w:lang w:val="en-US" w:eastAsia="en-US"/>
        </w:rPr>
        <w:t xml:space="preserve"> L1/L2 triggered mobility</w:t>
      </w:r>
      <w:r>
        <w:rPr>
          <w:rFonts w:hint="eastAsia" w:cs="Times New Roman"/>
          <w:b w:val="0"/>
          <w:bCs w:val="0"/>
          <w:sz w:val="21"/>
          <w:szCs w:val="21"/>
          <w:lang w:val="en-US" w:eastAsia="zh-CN"/>
        </w:rPr>
        <w:t>.</w:t>
      </w:r>
    </w:p>
    <w:p>
      <w:pPr>
        <w:numPr>
          <w:ilvl w:val="0"/>
          <w:numId w:val="0"/>
        </w:numPr>
        <w:spacing w:before="157" w:beforeLines="50"/>
        <w:ind w:left="0" w:firstLine="0"/>
        <w:rPr>
          <w:rFonts w:hint="default" w:eastAsiaTheme="minorEastAsia"/>
          <w:color w:val="auto"/>
          <w:lang w:val="en-US" w:eastAsia="zh-CN"/>
        </w:rPr>
      </w:pPr>
      <w:r>
        <w:rPr>
          <w:rFonts w:hint="eastAsia"/>
          <w:b/>
          <w:bCs w:val="0"/>
          <w:color w:val="auto"/>
          <w:lang w:val="en-US" w:eastAsia="zh-CN"/>
        </w:rPr>
        <w:t xml:space="preserve">Proposal 1: </w:t>
      </w:r>
      <w:r>
        <w:rPr>
          <w:rFonts w:eastAsiaTheme="minorEastAsia"/>
          <w:b/>
          <w:color w:val="auto"/>
          <w:lang w:eastAsia="zh-CN"/>
        </w:rPr>
        <w:t>RACH occasion</w:t>
      </w:r>
      <w:r>
        <w:rPr>
          <w:rFonts w:hint="eastAsia" w:eastAsiaTheme="minorEastAsia"/>
          <w:b/>
          <w:color w:val="auto"/>
          <w:lang w:val="en-US" w:eastAsia="zh-CN"/>
        </w:rPr>
        <w:t xml:space="preserve"> and</w:t>
      </w:r>
      <w:r>
        <w:rPr>
          <w:rFonts w:eastAsiaTheme="minorEastAsia"/>
          <w:b/>
          <w:color w:val="auto"/>
          <w:lang w:eastAsia="zh-CN"/>
        </w:rPr>
        <w:t xml:space="preserve"> MG occasion</w:t>
      </w:r>
      <w:r>
        <w:rPr>
          <w:rFonts w:hint="eastAsia" w:eastAsiaTheme="minorEastAsia"/>
          <w:b/>
          <w:color w:val="auto"/>
          <w:lang w:val="en-US" w:eastAsia="zh-CN"/>
        </w:rPr>
        <w:t xml:space="preserve"> are considered colliding if </w:t>
      </w:r>
      <w:r>
        <w:rPr>
          <w:rFonts w:eastAsiaTheme="minorEastAsia"/>
          <w:b/>
          <w:color w:val="auto"/>
          <w:kern w:val="2"/>
          <w:sz w:val="21"/>
          <w:szCs w:val="22"/>
          <w:lang w:val="en-US" w:eastAsia="zh-CN"/>
        </w:rPr>
        <w:t>the two occasions are fully or partially overlapping in time domain</w:t>
      </w:r>
      <w:r>
        <w:rPr>
          <w:rFonts w:hint="eastAsia" w:eastAsiaTheme="minorEastAsia"/>
          <w:b/>
          <w:color w:val="auto"/>
          <w:kern w:val="2"/>
          <w:sz w:val="21"/>
          <w:szCs w:val="22"/>
          <w:highlight w:val="none"/>
          <w:lang w:val="en-US" w:eastAsia="zh-CN"/>
        </w:rPr>
        <w:t>.</w:t>
      </w:r>
    </w:p>
    <w:p>
      <w:pPr>
        <w:spacing w:before="157" w:beforeLines="50" w:after="157" w:afterLines="50"/>
        <w:rPr>
          <w:rFonts w:eastAsia="宋体"/>
          <w:b/>
          <w:szCs w:val="24"/>
          <w:lang w:eastAsia="zh-CN"/>
        </w:rPr>
      </w:pPr>
      <w:r>
        <w:rPr>
          <w:rFonts w:hint="eastAsia"/>
          <w:b/>
          <w:bCs w:val="0"/>
          <w:color w:val="auto"/>
          <w:sz w:val="21"/>
          <w:szCs w:val="21"/>
          <w:u w:val="none"/>
          <w:lang w:val="en-US" w:eastAsia="zh-CN"/>
        </w:rPr>
        <w:t xml:space="preserve">Proposal 2: </w:t>
      </w:r>
      <w:r>
        <w:rPr>
          <w:rFonts w:eastAsia="宋体"/>
          <w:b/>
          <w:szCs w:val="24"/>
          <w:lang w:eastAsia="zh-CN"/>
        </w:rPr>
        <w:t>If PRACH is outside UL BWP of PCell, but withing UL BWP of any active SCell, for PRACH transmission using 1.25kHz or 5 kHz SCS, UE determines BWP switch delay assuming µ=0.</w:t>
      </w:r>
    </w:p>
    <w:p>
      <w:pPr>
        <w:pStyle w:val="58"/>
        <w:tabs>
          <w:tab w:val="left" w:pos="567"/>
          <w:tab w:val="clear" w:pos="1985"/>
        </w:tabs>
        <w:adjustRightInd w:val="0"/>
        <w:spacing w:before="0" w:beforeLines="0" w:after="0" w:afterLines="0"/>
        <w:ind w:left="510" w:hanging="510"/>
      </w:pPr>
      <w:r>
        <w:t>References</w:t>
      </w:r>
    </w:p>
    <w:p>
      <w:pPr>
        <w:pStyle w:val="56"/>
        <w:widowControl/>
        <w:numPr>
          <w:ilvl w:val="0"/>
          <w:numId w:val="5"/>
        </w:numPr>
        <w:spacing w:before="0" w:beforeLines="0" w:after="157" w:afterLines="50"/>
        <w:jc w:val="left"/>
        <w:rPr>
          <w:rFonts w:hint="default"/>
          <w:sz w:val="21"/>
          <w:szCs w:val="21"/>
          <w:lang w:val="en-US" w:eastAsia="zh-CN"/>
        </w:rPr>
      </w:pPr>
      <w:r>
        <w:rPr>
          <w:rFonts w:hint="default"/>
          <w:sz w:val="21"/>
          <w:szCs w:val="21"/>
          <w:lang w:val="en-US" w:eastAsia="zh-CN"/>
        </w:rPr>
        <w:t>R4-</w:t>
      </w:r>
      <w:r>
        <w:rPr>
          <w:rFonts w:hint="default"/>
          <w:lang w:val="en-US" w:eastAsia="zh-CN"/>
        </w:rPr>
        <w:t>2</w:t>
      </w:r>
      <w:r>
        <w:rPr>
          <w:rFonts w:hint="eastAsia"/>
          <w:lang w:val="en-US" w:eastAsia="zh-CN"/>
        </w:rPr>
        <w:t>502584,</w:t>
      </w:r>
      <w:r>
        <w:rPr>
          <w:rFonts w:hint="eastAsia"/>
          <w:sz w:val="21"/>
          <w:szCs w:val="21"/>
          <w:lang w:val="en-US" w:eastAsia="zh-CN"/>
        </w:rPr>
        <w:t xml:space="preserve"> WF on RRM requirements for NR_Mob_enh2, MediaTek</w:t>
      </w:r>
    </w:p>
    <w:p>
      <w:pPr>
        <w:pStyle w:val="22"/>
        <w:shd w:val="clear" w:color="auto" w:fill="FFFFFF"/>
        <w:spacing w:before="0" w:beforeLines="0" w:beforeAutospacing="0" w:after="0" w:afterLines="0" w:afterAutospacing="0" w:line="300" w:lineRule="atLeast"/>
        <w:rPr>
          <w:rStyle w:val="30"/>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PMingLiU-ExtB"/>
    <w:panose1 w:val="02020500000000000000"/>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9"/>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84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6"/>
      <w:lvlText w:val=""/>
      <w:lvlJc w:val="left"/>
      <w:pPr>
        <w:tabs>
          <w:tab w:val="left" w:pos="1619"/>
        </w:tabs>
        <w:ind w:left="570"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6F5686"/>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933D3"/>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0A94"/>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1D2DFA"/>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CF7035B"/>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87D20"/>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01128"/>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21AD8"/>
    <w:rsid w:val="32946A84"/>
    <w:rsid w:val="32B22C9D"/>
    <w:rsid w:val="32BC6631"/>
    <w:rsid w:val="32C05B65"/>
    <w:rsid w:val="32C6418D"/>
    <w:rsid w:val="32D14A7F"/>
    <w:rsid w:val="32D26AE6"/>
    <w:rsid w:val="32D733FA"/>
    <w:rsid w:val="32DE353D"/>
    <w:rsid w:val="32E148E8"/>
    <w:rsid w:val="32E252EC"/>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EE22E7"/>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A6564"/>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24924"/>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8E0A56"/>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E97840"/>
    <w:rsid w:val="42F875D5"/>
    <w:rsid w:val="42FD7D09"/>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C14C38"/>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CF3C7C"/>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43926"/>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65AD"/>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95652"/>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2D41E4"/>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8F687F"/>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2F3320"/>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74B91"/>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57245"/>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02EF8"/>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140D5F"/>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EC176D"/>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1F2359"/>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1"/>
    <w:next w:val="1"/>
    <w:link w:val="68"/>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2"/>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caption"/>
    <w:basedOn w:val="1"/>
    <w:next w:val="1"/>
    <w:link w:val="74"/>
    <w:qFormat/>
    <w:uiPriority w:val="0"/>
    <w:pPr>
      <w:widowControl/>
      <w:spacing w:before="152" w:after="160"/>
    </w:pPr>
    <w:rPr>
      <w:rFonts w:ascii="Arial" w:hAnsi="Arial" w:eastAsia="黑体"/>
      <w:kern w:val="0"/>
      <w:sz w:val="20"/>
      <w:szCs w:val="20"/>
    </w:rPr>
  </w:style>
  <w:style w:type="paragraph" w:styleId="15">
    <w:name w:val="Document Map"/>
    <w:basedOn w:val="1"/>
    <w:link w:val="82"/>
    <w:unhideWhenUsed/>
    <w:qFormat/>
    <w:uiPriority w:val="99"/>
    <w:rPr>
      <w:rFonts w:ascii="宋体"/>
      <w:kern w:val="0"/>
      <w:sz w:val="18"/>
      <w:szCs w:val="18"/>
    </w:rPr>
  </w:style>
  <w:style w:type="paragraph" w:styleId="16">
    <w:name w:val="annotation text"/>
    <w:basedOn w:val="1"/>
    <w:link w:val="91"/>
    <w:unhideWhenUsed/>
    <w:qFormat/>
    <w:uiPriority w:val="99"/>
    <w:rPr>
      <w:sz w:val="20"/>
      <w:szCs w:val="20"/>
    </w:rPr>
  </w:style>
  <w:style w:type="paragraph" w:styleId="17">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8">
    <w:name w:val="Balloon Text"/>
    <w:basedOn w:val="1"/>
    <w:link w:val="34"/>
    <w:unhideWhenUsed/>
    <w:qFormat/>
    <w:uiPriority w:val="99"/>
    <w:rPr>
      <w:sz w:val="18"/>
      <w:szCs w:val="18"/>
    </w:rPr>
  </w:style>
  <w:style w:type="paragraph" w:styleId="19">
    <w:name w:val="footer"/>
    <w:basedOn w:val="20"/>
    <w:link w:val="85"/>
    <w:unhideWhenUsed/>
    <w:qFormat/>
    <w:uiPriority w:val="99"/>
    <w:pPr>
      <w:tabs>
        <w:tab w:val="center" w:pos="4153"/>
        <w:tab w:val="right" w:pos="8306"/>
      </w:tabs>
      <w:jc w:val="left"/>
    </w:pPr>
  </w:style>
  <w:style w:type="paragraph" w:styleId="20">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List 4"/>
    <w:basedOn w:val="11"/>
    <w:qFormat/>
    <w:uiPriority w:val="0"/>
    <w:pPr>
      <w:ind w:left="1418"/>
    </w:p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4">
    <w:name w:val="annotation subject"/>
    <w:basedOn w:val="16"/>
    <w:next w:val="16"/>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character" w:customStyle="1" w:styleId="34">
    <w:name w:val="批注框文本 Char"/>
    <w:link w:val="18"/>
    <w:semiHidden/>
    <w:qFormat/>
    <w:uiPriority w:val="99"/>
    <w:rPr>
      <w:kern w:val="2"/>
      <w:sz w:val="18"/>
      <w:szCs w:val="18"/>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0"/>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3"/>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7"/>
    <w:qFormat/>
    <w:uiPriority w:val="0"/>
  </w:style>
  <w:style w:type="character" w:customStyle="1" w:styleId="66">
    <w:name w:val="c-icon"/>
    <w:basedOn w:val="27"/>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Char"/>
    <w:link w:val="7"/>
    <w:qFormat/>
    <w:uiPriority w:val="0"/>
    <w:rPr>
      <w:rFonts w:ascii="Arial" w:hAnsi="Arial" w:eastAsia="宋体"/>
      <w:lang w:val="en-GB" w:eastAsia="en-US"/>
    </w:rPr>
  </w:style>
  <w:style w:type="character" w:customStyle="1" w:styleId="69">
    <w:name w:val="c-icon14"/>
    <w:basedOn w:val="27"/>
    <w:qFormat/>
    <w:uiPriority w:val="0"/>
  </w:style>
  <w:style w:type="character" w:customStyle="1" w:styleId="70">
    <w:name w:val="标题 8 Char"/>
    <w:link w:val="9"/>
    <w:qFormat/>
    <w:uiPriority w:val="0"/>
    <w:rPr>
      <w:rFonts w:ascii="Arial" w:hAnsi="Arial" w:eastAsia="宋体"/>
      <w:sz w:val="36"/>
      <w:lang w:val="en-GB" w:eastAsia="en-US"/>
    </w:rPr>
  </w:style>
  <w:style w:type="character" w:customStyle="1" w:styleId="71">
    <w:name w:val="op_dict_text2"/>
    <w:basedOn w:val="27"/>
    <w:qFormat/>
    <w:uiPriority w:val="0"/>
  </w:style>
  <w:style w:type="character" w:customStyle="1" w:styleId="72">
    <w:name w:val="标题 9 Char"/>
    <w:link w:val="10"/>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Char"/>
    <w:link w:val="14"/>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Char"/>
    <w:link w:val="17"/>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7"/>
    <w:link w:val="39"/>
    <w:qFormat/>
    <w:uiPriority w:val="0"/>
    <w:rPr>
      <w:rFonts w:ascii="Arial" w:hAnsi="Arial" w:eastAsia="Times New Roman" w:cs="Times New Roman"/>
      <w:kern w:val="0"/>
      <w:sz w:val="18"/>
      <w:szCs w:val="20"/>
      <w:lang w:val="en-GB" w:eastAsia="ja-JP"/>
    </w:rPr>
  </w:style>
  <w:style w:type="character" w:customStyle="1" w:styleId="79">
    <w:name w:val="标题 4 Char"/>
    <w:link w:val="5"/>
    <w:qFormat/>
    <w:uiPriority w:val="0"/>
    <w:rPr>
      <w:rFonts w:ascii="Arial" w:hAnsi="Arial" w:eastAsia="宋体"/>
      <w:sz w:val="24"/>
      <w:lang w:val="en-GB" w:eastAsia="en-US"/>
    </w:rPr>
  </w:style>
  <w:style w:type="character" w:customStyle="1" w:styleId="80">
    <w:name w:val="char char char Char"/>
    <w:link w:val="42"/>
    <w:qFormat/>
    <w:uiPriority w:val="0"/>
    <w:rPr>
      <w:rFonts w:ascii="Arial" w:hAnsi="Arial" w:eastAsia="宋体" w:cs="Times New Roman"/>
      <w:kern w:val="0"/>
      <w:sz w:val="24"/>
      <w:szCs w:val="28"/>
    </w:rPr>
  </w:style>
  <w:style w:type="character" w:customStyle="1" w:styleId="81">
    <w:name w:val="页眉 Char"/>
    <w:link w:val="20"/>
    <w:qFormat/>
    <w:uiPriority w:val="99"/>
    <w:rPr>
      <w:sz w:val="18"/>
      <w:szCs w:val="18"/>
    </w:rPr>
  </w:style>
  <w:style w:type="character" w:customStyle="1" w:styleId="82">
    <w:name w:val="文档结构图 Char"/>
    <w:link w:val="15"/>
    <w:semiHidden/>
    <w:qFormat/>
    <w:uiPriority w:val="99"/>
    <w:rPr>
      <w:rFonts w:ascii="宋体" w:eastAsia="宋体"/>
      <w:sz w:val="18"/>
      <w:szCs w:val="18"/>
    </w:rPr>
  </w:style>
  <w:style w:type="character" w:customStyle="1" w:styleId="83">
    <w:name w:val="标题 7 Char"/>
    <w:link w:val="8"/>
    <w:qFormat/>
    <w:uiPriority w:val="0"/>
    <w:rPr>
      <w:rFonts w:ascii="Arial" w:hAnsi="Arial" w:eastAsia="宋体"/>
      <w:lang w:val="en-GB" w:eastAsia="en-US"/>
    </w:rPr>
  </w:style>
  <w:style w:type="character" w:customStyle="1" w:styleId="84">
    <w:name w:val="标题 1 Char"/>
    <w:link w:val="2"/>
    <w:qFormat/>
    <w:uiPriority w:val="9"/>
    <w:rPr>
      <w:rFonts w:ascii="Cambria" w:hAnsi="Cambria" w:eastAsia="宋体" w:cs="Times New Roman"/>
      <w:b/>
      <w:bCs/>
      <w:kern w:val="32"/>
      <w:sz w:val="32"/>
      <w:szCs w:val="32"/>
      <w:lang w:val="en-US"/>
    </w:rPr>
  </w:style>
  <w:style w:type="character" w:customStyle="1" w:styleId="85">
    <w:name w:val="页脚 Char"/>
    <w:link w:val="19"/>
    <w:qFormat/>
    <w:uiPriority w:val="99"/>
    <w:rPr>
      <w:sz w:val="18"/>
      <w:szCs w:val="18"/>
    </w:rPr>
  </w:style>
  <w:style w:type="character" w:customStyle="1" w:styleId="86">
    <w:name w:val="批注主题 Char"/>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Char"/>
    <w:link w:val="3"/>
    <w:qFormat/>
    <w:uiPriority w:val="0"/>
    <w:rPr>
      <w:rFonts w:ascii="Arial" w:hAnsi="Arial"/>
      <w:sz w:val="32"/>
      <w:lang w:eastAsia="en-US"/>
    </w:rPr>
  </w:style>
  <w:style w:type="character" w:customStyle="1" w:styleId="89">
    <w:name w:val="标题 5 Char"/>
    <w:link w:val="6"/>
    <w:qFormat/>
    <w:uiPriority w:val="0"/>
    <w:rPr>
      <w:rFonts w:ascii="Arial" w:hAnsi="Arial" w:eastAsia="宋体"/>
      <w:sz w:val="22"/>
      <w:lang w:val="en-GB" w:eastAsia="en-US"/>
    </w:rPr>
  </w:style>
  <w:style w:type="character" w:customStyle="1" w:styleId="90">
    <w:name w:val="标题 3 Char"/>
    <w:link w:val="4"/>
    <w:qFormat/>
    <w:uiPriority w:val="0"/>
    <w:rPr>
      <w:rFonts w:ascii="Arial" w:hAnsi="Arial"/>
      <w:sz w:val="28"/>
      <w:lang w:eastAsia="en-US"/>
    </w:rPr>
  </w:style>
  <w:style w:type="character" w:customStyle="1" w:styleId="91">
    <w:name w:val="批注文字 Char"/>
    <w:link w:val="16"/>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7"/>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paragraph" w:customStyle="1" w:styleId="96">
    <w:name w:val="Agreement"/>
    <w:basedOn w:val="1"/>
    <w:next w:val="97"/>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7">
    <w:name w:val="Doc-text2"/>
    <w:basedOn w:val="1"/>
    <w:qFormat/>
    <w:uiPriority w:val="0"/>
    <w:pPr>
      <w:tabs>
        <w:tab w:val="left" w:pos="1622"/>
      </w:tabs>
      <w:ind w:left="1622" w:hanging="363"/>
    </w:pPr>
    <w:rPr>
      <w:rFonts w:ascii="Arial" w:hAnsi="Arial" w:eastAsia="MS Mincho"/>
      <w:sz w:val="20"/>
      <w:lang w:eastAsia="en-GB"/>
    </w:rPr>
  </w:style>
  <w:style w:type="paragraph" w:customStyle="1" w:styleId="9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9">
    <w:name w:val="RAN4 proposal"/>
    <w:basedOn w:val="14"/>
    <w:next w:val="1"/>
    <w:qFormat/>
    <w:uiPriority w:val="0"/>
    <w:pPr>
      <w:numPr>
        <w:ilvl w:val="0"/>
        <w:numId w:val="3"/>
      </w:numPr>
      <w:jc w:val="left"/>
    </w:pPr>
    <w:rPr>
      <w:rFonts w:ascii="Times New Roman" w:hAnsi="Times New Roman"/>
      <w:sz w:val="20"/>
    </w:rPr>
  </w:style>
  <w:style w:type="character" w:customStyle="1" w:styleId="100">
    <w:name w:val="ui-provider"/>
    <w:basedOn w:val="27"/>
    <w:qFormat/>
    <w:uiPriority w:val="0"/>
  </w:style>
  <w:style w:type="paragraph" w:customStyle="1" w:styleId="10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02">
    <w:name w:val="B3"/>
    <w:basedOn w:val="11"/>
    <w:qFormat/>
    <w:uiPriority w:val="0"/>
  </w:style>
  <w:style w:type="paragraph" w:customStyle="1" w:styleId="103">
    <w:name w:val="B4"/>
    <w:basedOn w:val="21"/>
    <w:qFormat/>
    <w:uiPriority w:val="0"/>
  </w:style>
  <w:style w:type="paragraph" w:customStyle="1" w:styleId="104">
    <w:name w:val="B2"/>
    <w:basedOn w:val="12"/>
    <w:qFormat/>
    <w:uiPriority w:val="0"/>
  </w:style>
  <w:style w:type="character" w:customStyle="1" w:styleId="105">
    <w:name w:val="normaltextrun"/>
    <w:basedOn w:val="2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96</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2025-05-09T08:04:16Z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EF7E65D1C63641F8882D021147AADE3E</vt:lpwstr>
  </property>
</Properties>
</file>