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15</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2" w:name="_GoBack"/>
      <w:r>
        <w:rPr>
          <w:rFonts w:hint="eastAsia" w:ascii="Arial" w:hAnsi="Arial" w:cs="Arial"/>
          <w:b/>
          <w:sz w:val="24"/>
          <w:szCs w:val="24"/>
        </w:rPr>
        <w:t>R4-</w:t>
      </w:r>
      <w:r>
        <w:rPr>
          <w:rFonts w:hint="eastAsia" w:ascii="Arial" w:hAnsi="Arial" w:eastAsia="宋体" w:cs="Arial"/>
          <w:b/>
          <w:sz w:val="24"/>
          <w:szCs w:val="24"/>
          <w:lang w:val="en-US" w:eastAsia="zh-CN"/>
        </w:rPr>
        <w:t>2506565</w:t>
      </w:r>
      <w:bookmarkEnd w:id="2"/>
      <w:r>
        <w:rPr>
          <w:rFonts w:hint="eastAsia" w:ascii="Arial" w:hAnsi="Arial" w:cs="Arial"/>
          <w:b/>
          <w:sz w:val="24"/>
          <w:szCs w:val="24"/>
        </w:rPr>
        <w:t xml:space="preserve">                         </w:t>
      </w:r>
    </w:p>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 2025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pStyle w:val="14"/>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s="Arial"/>
          <w:b/>
          <w:bCs/>
          <w:sz w:val="24"/>
          <w:lang w:val="en-US" w:eastAsia="zh-CN"/>
        </w:rPr>
        <w:t>Discussion on impacts for measurement event prediction</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7.23.3.2</w:t>
      </w:r>
    </w:p>
    <w:p>
      <w:pPr>
        <w:pStyle w:val="14"/>
        <w:tabs>
          <w:tab w:val="left" w:pos="1800"/>
        </w:tabs>
        <w:snapToGrid w:val="0"/>
        <w:spacing w:after="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#105 meeting, a revised SID[1] for Rel-19 was approved </w:t>
      </w:r>
      <w:r>
        <w:rPr>
          <w:rFonts w:hint="eastAsia"/>
          <w:lang w:val="en-US" w:eastAsia="zh-CN"/>
        </w:rPr>
        <w:t>to study the AI/ML for mobility in NR. The objectives for RAN4 of this SID are listed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9514" w:type="dxa"/>
          </w:tcPr>
          <w:p>
            <w:pPr>
              <w:widowControl w:val="0"/>
              <w:numPr>
                <w:ilvl w:val="0"/>
                <w:numId w:val="4"/>
              </w:numPr>
              <w:overflowPunct/>
              <w:autoSpaceDE/>
              <w:autoSpaceDN/>
              <w:adjustRightInd/>
              <w:spacing w:after="0"/>
              <w:ind w:hanging="357"/>
              <w:jc w:val="both"/>
              <w:textAlignment w:val="auto"/>
              <w:rPr>
                <w:bCs/>
                <w:sz w:val="20"/>
                <w:szCs w:val="20"/>
                <w:highlight w:val="none"/>
              </w:rPr>
            </w:pPr>
            <w:bookmarkStart w:id="0" w:name="_Hlk153472406"/>
            <w:r>
              <w:rPr>
                <w:bCs/>
                <w:sz w:val="20"/>
                <w:szCs w:val="20"/>
                <w:highlight w:val="none"/>
                <w:lang w:eastAsia="zh-CN"/>
              </w:rPr>
              <w:t>Evaluate testability, interoperability,</w:t>
            </w:r>
            <w:bookmarkEnd w:id="0"/>
            <w:r>
              <w:rPr>
                <w:bCs/>
                <w:sz w:val="20"/>
                <w:szCs w:val="20"/>
                <w:highlight w:val="none"/>
                <w:lang w:eastAsia="zh-CN"/>
              </w:rPr>
              <w:t xml:space="preserve"> and </w:t>
            </w:r>
            <w:r>
              <w:rPr>
                <w:bCs/>
                <w:sz w:val="20"/>
                <w:szCs w:val="20"/>
                <w:highlight w:val="none"/>
              </w:rPr>
              <w:t>impacts on RRM requirements and performance</w:t>
            </w:r>
            <w:r>
              <w:rPr>
                <w:bCs/>
                <w:sz w:val="20"/>
                <w:szCs w:val="20"/>
                <w:highlight w:val="none"/>
                <w:lang w:eastAsia="zh-CN"/>
              </w:rPr>
              <w:t xml:space="preserve"> [RAN4]</w:t>
            </w:r>
          </w:p>
          <w:p>
            <w:pPr>
              <w:widowControl w:val="0"/>
              <w:numPr>
                <w:ilvl w:val="1"/>
                <w:numId w:val="4"/>
              </w:numPr>
              <w:tabs>
                <w:tab w:val="left" w:pos="720"/>
              </w:tabs>
              <w:overflowPunct/>
              <w:autoSpaceDE/>
              <w:autoSpaceDN/>
              <w:adjustRightInd/>
              <w:spacing w:after="0"/>
              <w:jc w:val="both"/>
              <w:textAlignment w:val="auto"/>
              <w:rPr>
                <w:bCs/>
                <w:sz w:val="20"/>
                <w:szCs w:val="20"/>
                <w:highlight w:val="none"/>
                <w:lang w:val="en-US"/>
              </w:rPr>
            </w:pPr>
            <w:r>
              <w:rPr>
                <w:rFonts w:hint="eastAsia"/>
                <w:bCs/>
                <w:sz w:val="20"/>
                <w:szCs w:val="20"/>
                <w:highlight w:val="none"/>
                <w:u w:val="single"/>
                <w:lang w:val="en-US"/>
              </w:rPr>
              <w:t xml:space="preserve">Study the impacts on requirements based on RAN2 assumptions, and coordinate with RAN2 if needed </w:t>
            </w:r>
          </w:p>
          <w:p>
            <w:pPr>
              <w:widowControl w:val="0"/>
              <w:numPr>
                <w:ilvl w:val="1"/>
                <w:numId w:val="4"/>
              </w:numPr>
              <w:tabs>
                <w:tab w:val="left" w:pos="720"/>
              </w:tabs>
              <w:overflowPunct/>
              <w:autoSpaceDE/>
              <w:autoSpaceDN/>
              <w:adjustRightInd/>
              <w:spacing w:after="0"/>
              <w:jc w:val="both"/>
              <w:textAlignment w:val="auto"/>
              <w:rPr>
                <w:bCs/>
                <w:sz w:val="20"/>
                <w:szCs w:val="20"/>
                <w:highlight w:val="none"/>
                <w:lang w:val="en-US"/>
              </w:rPr>
            </w:pPr>
            <w:r>
              <w:rPr>
                <w:rFonts w:hint="eastAsia"/>
                <w:bCs/>
                <w:sz w:val="20"/>
                <w:szCs w:val="20"/>
                <w:highlight w:val="none"/>
                <w:u w:val="single"/>
                <w:lang w:val="en-US"/>
              </w:rPr>
              <w:t>Study the testability and interoperability based on RAN2 framework (e.g., number of cells to measure, beams etc.)</w:t>
            </w:r>
          </w:p>
          <w:p>
            <w:pPr>
              <w:pStyle w:val="28"/>
              <w:widowControl w:val="0"/>
              <w:numPr>
                <w:ilvl w:val="1"/>
                <w:numId w:val="4"/>
              </w:numPr>
              <w:overflowPunct/>
              <w:autoSpaceDE/>
              <w:autoSpaceDN/>
              <w:adjustRightInd/>
              <w:spacing w:after="0"/>
              <w:ind w:firstLineChars="0"/>
              <w:jc w:val="both"/>
              <w:textAlignment w:val="auto"/>
              <w:rPr>
                <w:bCs/>
                <w:sz w:val="20"/>
                <w:szCs w:val="20"/>
                <w:highlight w:val="none"/>
                <w:lang w:val="en-US"/>
              </w:rPr>
            </w:pPr>
            <w:r>
              <w:rPr>
                <w:rFonts w:hint="eastAsia"/>
                <w:bCs/>
                <w:sz w:val="20"/>
                <w:szCs w:val="20"/>
                <w:highlight w:val="none"/>
                <w:lang w:val="en-US"/>
              </w:rPr>
              <w:t>N</w:t>
            </w:r>
            <w:r>
              <w:rPr>
                <w:bCs/>
                <w:sz w:val="20"/>
                <w:szCs w:val="20"/>
                <w:highlight w:val="none"/>
                <w:lang w:val="en-US"/>
              </w:rPr>
              <w:t>OTE</w:t>
            </w:r>
            <w:r>
              <w:rPr>
                <w:rFonts w:hint="eastAsia"/>
                <w:bCs/>
                <w:sz w:val="20"/>
                <w:szCs w:val="20"/>
                <w:highlight w:val="none"/>
                <w:lang w:val="en-US"/>
              </w:rPr>
              <w:t xml:space="preserve"> </w:t>
            </w:r>
            <w:r>
              <w:rPr>
                <w:bCs/>
                <w:sz w:val="20"/>
                <w:szCs w:val="20"/>
                <w:highlight w:val="none"/>
                <w:lang w:val="en-US"/>
              </w:rPr>
              <w:t>4</w:t>
            </w:r>
            <w:r>
              <w:rPr>
                <w:rFonts w:hint="eastAsia"/>
                <w:bCs/>
                <w:sz w:val="20"/>
                <w:szCs w:val="20"/>
                <w:highlight w:val="none"/>
                <w:lang w:val="en-US"/>
              </w:rPr>
              <w:t xml:space="preserve">: Leverage the work from “AI/ML for NR air interface” led by RAN1 and avoid the duplicate study for testability and interoperability. </w:t>
            </w:r>
          </w:p>
          <w:p>
            <w:pPr>
              <w:pStyle w:val="28"/>
              <w:widowControl w:val="0"/>
              <w:numPr>
                <w:ilvl w:val="1"/>
                <w:numId w:val="4"/>
              </w:numPr>
              <w:overflowPunct/>
              <w:autoSpaceDE/>
              <w:autoSpaceDN/>
              <w:adjustRightInd/>
              <w:spacing w:after="0"/>
              <w:ind w:firstLineChars="0"/>
              <w:jc w:val="both"/>
              <w:textAlignment w:val="auto"/>
              <w:rPr>
                <w:bCs/>
                <w:sz w:val="20"/>
                <w:szCs w:val="20"/>
                <w:highlight w:val="none"/>
                <w:lang w:val="en-US"/>
              </w:rPr>
            </w:pPr>
            <w:r>
              <w:rPr>
                <w:rFonts w:hint="eastAsia"/>
                <w:bCs/>
                <w:sz w:val="20"/>
                <w:szCs w:val="20"/>
                <w:highlight w:val="none"/>
                <w:lang w:val="en-US"/>
              </w:rPr>
              <w:t>N</w:t>
            </w:r>
            <w:r>
              <w:rPr>
                <w:bCs/>
                <w:sz w:val="20"/>
                <w:szCs w:val="20"/>
                <w:highlight w:val="none"/>
                <w:lang w:val="en-US"/>
              </w:rPr>
              <w:t>OTE</w:t>
            </w:r>
            <w:r>
              <w:rPr>
                <w:rFonts w:hint="eastAsia"/>
                <w:bCs/>
                <w:sz w:val="20"/>
                <w:szCs w:val="20"/>
                <w:highlight w:val="none"/>
                <w:lang w:val="en-US"/>
              </w:rPr>
              <w:t xml:space="preserve"> </w:t>
            </w:r>
            <w:r>
              <w:rPr>
                <w:bCs/>
                <w:sz w:val="20"/>
                <w:szCs w:val="20"/>
                <w:highlight w:val="none"/>
                <w:lang w:val="en-US"/>
              </w:rPr>
              <w:t>5</w:t>
            </w:r>
            <w:r>
              <w:rPr>
                <w:rFonts w:hint="eastAsia"/>
                <w:bCs/>
                <w:sz w:val="20"/>
                <w:szCs w:val="20"/>
                <w:highlight w:val="none"/>
                <w:lang w:val="en-US"/>
              </w:rPr>
              <w:t>: Avoid the overlaps with RAN2 work for evaluation</w:t>
            </w:r>
          </w:p>
          <w:p>
            <w:pPr>
              <w:widowControl w:val="0"/>
              <w:overflowPunct/>
              <w:autoSpaceDE/>
              <w:autoSpaceDN/>
              <w:adjustRightInd/>
              <w:spacing w:after="0"/>
              <w:ind w:left="720"/>
              <w:jc w:val="both"/>
              <w:textAlignment w:val="auto"/>
              <w:rPr>
                <w:bCs/>
                <w:sz w:val="20"/>
                <w:szCs w:val="20"/>
                <w:lang w:val="en-US"/>
              </w:rPr>
            </w:pPr>
          </w:p>
          <w:p>
            <w:pPr>
              <w:pStyle w:val="28"/>
              <w:widowControl w:val="0"/>
              <w:numPr>
                <w:ilvl w:val="0"/>
                <w:numId w:val="4"/>
              </w:numPr>
              <w:overflowPunct/>
              <w:autoSpaceDE/>
              <w:autoSpaceDN/>
              <w:adjustRightInd/>
              <w:spacing w:after="0"/>
              <w:ind w:firstLineChars="0"/>
              <w:contextualSpacing/>
              <w:jc w:val="both"/>
              <w:textAlignment w:val="auto"/>
              <w:rPr>
                <w:bCs/>
                <w:sz w:val="20"/>
                <w:szCs w:val="20"/>
                <w:lang w:val="en-US"/>
              </w:rPr>
            </w:pPr>
            <w:r>
              <w:rPr>
                <w:bCs/>
                <w:sz w:val="20"/>
                <w:szCs w:val="20"/>
                <w:lang w:val="en-US"/>
              </w:rPr>
              <w:t>NOTE 1: RAN1/3 work can be triggered via LS</w:t>
            </w:r>
          </w:p>
          <w:p>
            <w:pPr>
              <w:widowControl w:val="0"/>
              <w:overflowPunct/>
              <w:autoSpaceDE/>
              <w:autoSpaceDN/>
              <w:adjustRightInd/>
              <w:spacing w:after="0"/>
              <w:ind w:left="720"/>
              <w:jc w:val="both"/>
              <w:textAlignment w:val="auto"/>
              <w:rPr>
                <w:bCs/>
                <w:sz w:val="20"/>
                <w:szCs w:val="20"/>
                <w:lang w:val="en-US"/>
              </w:rPr>
            </w:pPr>
            <w:r>
              <w:rPr>
                <w:bCs/>
                <w:sz w:val="20"/>
                <w:szCs w:val="20"/>
                <w:lang w:val="en-US"/>
              </w:rPr>
              <w:t xml:space="preserve">NOTE 2: </w:t>
            </w:r>
            <w:r>
              <w:rPr>
                <w:bCs/>
                <w:sz w:val="20"/>
                <w:szCs w:val="20"/>
              </w:rPr>
              <w:t>To avoid duplicate study with “AI/ML for NG-RAN” led by RAN3</w:t>
            </w:r>
          </w:p>
          <w:p>
            <w:pPr>
              <w:widowControl w:val="0"/>
              <w:overflowPunct/>
              <w:autoSpaceDE/>
              <w:autoSpaceDN/>
              <w:adjustRightInd/>
              <w:spacing w:after="0"/>
              <w:ind w:left="720"/>
              <w:jc w:val="both"/>
              <w:textAlignment w:val="auto"/>
              <w:rPr>
                <w:bCs/>
                <w:szCs w:val="20"/>
              </w:rPr>
            </w:pPr>
            <w:r>
              <w:rPr>
                <w:bCs/>
                <w:sz w:val="20"/>
                <w:szCs w:val="20"/>
                <w:lang w:val="en-US"/>
              </w:rPr>
              <w:t>NOTE 3: Two-sided model is not included</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some views on </w:t>
      </w:r>
      <w:r>
        <w:rPr>
          <w:rFonts w:hint="eastAsia"/>
          <w:bCs/>
          <w:sz w:val="20"/>
          <w:szCs w:val="20"/>
          <w:u w:val="none"/>
          <w:lang w:val="en-US"/>
        </w:rPr>
        <w:t>requirements</w:t>
      </w:r>
      <w:r>
        <w:rPr>
          <w:rFonts w:hint="eastAsia" w:eastAsia="宋体"/>
          <w:bCs/>
          <w:sz w:val="20"/>
          <w:szCs w:val="20"/>
          <w:u w:val="none"/>
          <w:lang w:val="en-US" w:eastAsia="zh-CN"/>
        </w:rPr>
        <w:t xml:space="preserve"> </w:t>
      </w:r>
      <w:r>
        <w:rPr>
          <w:rFonts w:hint="eastAsia"/>
          <w:bCs/>
          <w:sz w:val="20"/>
          <w:szCs w:val="20"/>
          <w:u w:val="none"/>
          <w:lang w:val="en-US"/>
        </w:rPr>
        <w:t>impacts based on RAN2 assumptions</w:t>
      </w:r>
      <w:r>
        <w:rPr>
          <w:rFonts w:hint="eastAsia" w:eastAsia="宋体"/>
          <w:color w:val="auto"/>
          <w:sz w:val="20"/>
          <w:szCs w:val="20"/>
          <w:lang w:val="en-US" w:eastAsia="zh-CN"/>
        </w:rPr>
        <w:t xml:space="preserve"> of AI/ML for mobility from the RAN4 perspective.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spacing w:after="157" w:afterLines="50"/>
        <w:rPr>
          <w:rFonts w:hint="default"/>
          <w:iCs/>
          <w:lang w:val="en-US" w:eastAsia="zh-CN"/>
        </w:rPr>
      </w:pPr>
      <w:r>
        <w:rPr>
          <w:rFonts w:hint="eastAsia"/>
          <w:iCs/>
          <w:lang w:val="en-US" w:eastAsia="zh-CN"/>
        </w:rPr>
        <w:t>In previous meeting, we discussed the priorities of different use cases and have reached consensus that RAN4 to start the discussion with RRM measurement prediction use-case first. For measurement event prediction use-case and RLF use-case, more progress is needed from RAN2, and RAN4 to only start the discussion of measurement event prediction use-case and RLF use-case if sufficient progress in RAN2. In this paper, we will provide our views on measurement event prediction use case.</w:t>
      </w:r>
    </w:p>
    <w:p>
      <w:pPr>
        <w:spacing w:after="157" w:afterLines="50"/>
        <w:rPr>
          <w:rFonts w:hint="default"/>
          <w:iCs/>
          <w:lang w:val="en-US" w:eastAsia="zh-CN"/>
        </w:rPr>
      </w:pPr>
      <w:r>
        <w:rPr>
          <w:rFonts w:hint="eastAsia"/>
          <w:iCs/>
          <w:lang w:val="en-US" w:eastAsia="zh-CN"/>
        </w:rPr>
        <w:t>As we known, RAN2 has discussed measurement event prediction use-case many times and reached some agreements. To our knowledge, RAN2 focused on discussing simulation assumptions and results based on measurement event prediction in previous meetings and the progress of RAN2 is replicated as follows.</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9"/>
              <w:rPr>
                <w:b/>
                <w:bCs/>
                <w:u w:val="single"/>
                <w:lang w:val="en-US"/>
              </w:rPr>
            </w:pPr>
            <w:r>
              <w:rPr>
                <w:rFonts w:hint="eastAsia" w:eastAsia="宋体"/>
                <w:b/>
                <w:bCs/>
                <w:u w:val="single"/>
                <w:lang w:val="en-US" w:eastAsia="zh-CN"/>
              </w:rPr>
              <w:t>RAN2#127bis</w:t>
            </w:r>
          </w:p>
          <w:p>
            <w:pPr>
              <w:pStyle w:val="57"/>
              <w:numPr>
                <w:ilvl w:val="-1"/>
                <w:numId w:val="0"/>
              </w:numPr>
              <w:ind w:left="0" w:firstLine="0"/>
              <w:rPr>
                <w:rFonts w:hint="eastAsia"/>
              </w:rPr>
            </w:pPr>
          </w:p>
          <w:p>
            <w:pPr>
              <w:pStyle w:val="57"/>
              <w:numPr>
                <w:ilvl w:val="-1"/>
                <w:numId w:val="0"/>
              </w:numPr>
              <w:ind w:left="0" w:firstLine="0"/>
              <w:rPr>
                <w:rFonts w:hint="eastAsia"/>
                <w:lang w:val="en-GB" w:eastAsia="ja-JP"/>
              </w:rPr>
            </w:pPr>
            <w:r>
              <w:rPr>
                <w:rFonts w:hint="eastAsia"/>
                <w:lang w:val="en-GB" w:eastAsia="ja-JP"/>
              </w:rPr>
              <w:t>Agreements on inputs/outputs and KPIs</w:t>
            </w:r>
          </w:p>
          <w:p>
            <w:pPr>
              <w:pStyle w:val="57"/>
              <w:numPr>
                <w:ilvl w:val="0"/>
                <w:numId w:val="5"/>
              </w:numPr>
              <w:ind w:left="420" w:hanging="420"/>
              <w:rPr>
                <w:rFonts w:hint="default" w:ascii="Times New Roman" w:hAnsi="Times New Roman" w:cs="Times New Roman"/>
                <w:b w:val="0"/>
                <w:bCs w:val="0"/>
                <w:highlight w:val="yellow"/>
                <w:lang w:val="en-GB" w:eastAsia="ja-JP"/>
              </w:rPr>
            </w:pPr>
            <w:r>
              <w:rPr>
                <w:rFonts w:hint="default" w:ascii="Times New Roman" w:hAnsi="Times New Roman" w:cs="Times New Roman"/>
                <w:b w:val="0"/>
                <w:bCs w:val="0"/>
                <w:highlight w:val="yellow"/>
                <w:lang w:val="en-GB" w:eastAsia="ja-JP"/>
              </w:rPr>
              <w:t>For indirect measurement event prediction, the intermediate output (i.e., the output of RRM prediction model) is RSRP of serving/neighboring cells.  The final output is the expected occurrence time of a certain measurement event (ex. event A3).</w:t>
            </w:r>
          </w:p>
          <w:p>
            <w:pPr>
              <w:pStyle w:val="57"/>
              <w:numPr>
                <w:ilvl w:val="0"/>
                <w:numId w:val="5"/>
              </w:numPr>
              <w:ind w:left="420" w:hanging="420"/>
              <w:rPr>
                <w:rFonts w:hint="default" w:ascii="Times New Roman" w:hAnsi="Times New Roman" w:cs="Times New Roman"/>
                <w:b w:val="0"/>
                <w:bCs w:val="0"/>
                <w:lang w:val="en-GB" w:eastAsia="ja-JP"/>
              </w:rPr>
            </w:pPr>
            <w:r>
              <w:rPr>
                <w:rFonts w:hint="default" w:ascii="Times New Roman" w:hAnsi="Times New Roman" w:cs="Times New Roman"/>
                <w:b w:val="0"/>
                <w:bCs w:val="0"/>
                <w:highlight w:val="yellow"/>
                <w:lang w:val="en-GB" w:eastAsia="ja-JP"/>
              </w:rPr>
              <w:t>For direct measurement event prediction, the model output is the probability of event occurrence within a time window.</w:t>
            </w:r>
          </w:p>
          <w:p>
            <w:pPr>
              <w:pStyle w:val="57"/>
              <w:numPr>
                <w:ilvl w:val="0"/>
                <w:numId w:val="5"/>
              </w:numPr>
              <w:ind w:left="420" w:hanging="420"/>
              <w:rPr>
                <w:rFonts w:hint="default" w:ascii="Times New Roman" w:hAnsi="Times New Roman" w:cs="Times New Roman"/>
                <w:b w:val="0"/>
                <w:bCs w:val="0"/>
                <w:lang w:val="en-GB" w:eastAsia="ja-JP"/>
              </w:rPr>
            </w:pPr>
            <w:r>
              <w:rPr>
                <w:rFonts w:hint="default" w:ascii="Times New Roman" w:hAnsi="Times New Roman" w:cs="Times New Roman"/>
                <w:b w:val="0"/>
                <w:bCs w:val="0"/>
                <w:lang w:val="en-GB" w:eastAsia="ja-JP"/>
              </w:rPr>
              <w:t xml:space="preserve">A3 event prediction should follow legacy rules (i.e. the “predicted” conditions have to persist for the duration of TTT).  </w:t>
            </w:r>
          </w:p>
          <w:p>
            <w:pPr>
              <w:pStyle w:val="57"/>
              <w:numPr>
                <w:ilvl w:val="0"/>
                <w:numId w:val="5"/>
              </w:numPr>
              <w:ind w:left="420" w:hanging="420"/>
              <w:rPr>
                <w:rFonts w:hint="default" w:ascii="Times New Roman" w:hAnsi="Times New Roman" w:cs="Times New Roman"/>
                <w:b w:val="0"/>
                <w:bCs w:val="0"/>
                <w:lang w:val="en-GB" w:eastAsia="ja-JP"/>
              </w:rPr>
            </w:pPr>
            <w:r>
              <w:rPr>
                <w:rFonts w:hint="default" w:ascii="Times New Roman" w:hAnsi="Times New Roman" w:cs="Times New Roman"/>
                <w:b w:val="0"/>
                <w:bCs w:val="0"/>
                <w:lang w:val="en-GB" w:eastAsia="ja-JP"/>
              </w:rPr>
              <w:t>As baseline, we will use RLF event prediction KPI:</w:t>
            </w:r>
          </w:p>
          <w:p>
            <w:pPr>
              <w:pStyle w:val="57"/>
              <w:numPr>
                <w:ilvl w:val="0"/>
                <w:numId w:val="5"/>
              </w:numPr>
              <w:ind w:left="420" w:hanging="420"/>
              <w:rPr>
                <w:rFonts w:hint="default" w:ascii="Times New Roman" w:hAnsi="Times New Roman" w:cs="Times New Roman"/>
                <w:b w:val="0"/>
                <w:bCs w:val="0"/>
                <w:lang w:val="en-GB" w:eastAsia="ja-JP"/>
              </w:rPr>
            </w:pPr>
            <w:r>
              <w:rPr>
                <w:rFonts w:hint="default" w:ascii="Times New Roman" w:hAnsi="Times New Roman" w:cs="Times New Roman"/>
                <w:b w:val="0"/>
                <w:bCs w:val="0"/>
                <w:lang w:val="en-GB" w:eastAsia="ja-JP"/>
              </w:rPr>
              <w:t xml:space="preserve">for indirect: F1 score.  the following can be reported: RSRP difference, missed event detection, false event detection.  FFS how to define F1 score.  </w:t>
            </w:r>
          </w:p>
          <w:p>
            <w:pPr>
              <w:pStyle w:val="57"/>
              <w:numPr>
                <w:ilvl w:val="0"/>
                <w:numId w:val="5"/>
              </w:numPr>
              <w:ind w:left="420" w:hanging="420"/>
              <w:rPr>
                <w:rFonts w:hint="default" w:ascii="Times New Roman" w:hAnsi="Times New Roman" w:cs="Times New Roman"/>
                <w:b w:val="0"/>
                <w:bCs w:val="0"/>
                <w:lang w:val="en-GB" w:eastAsia="ja-JP"/>
              </w:rPr>
            </w:pPr>
            <w:r>
              <w:rPr>
                <w:rFonts w:hint="default" w:ascii="Times New Roman" w:hAnsi="Times New Roman" w:cs="Times New Roman"/>
                <w:b w:val="0"/>
                <w:bCs w:val="0"/>
                <w:lang w:val="en-GB" w:eastAsia="ja-JP"/>
              </w:rPr>
              <w:t xml:space="preserve">time difference of true time event reporting triggered and predicted time event reporting triggered, true event prediction. </w:t>
            </w:r>
          </w:p>
          <w:p>
            <w:pPr>
              <w:pStyle w:val="57"/>
              <w:numPr>
                <w:ilvl w:val="0"/>
                <w:numId w:val="5"/>
              </w:numPr>
              <w:ind w:left="420" w:hanging="420"/>
              <w:rPr>
                <w:rFonts w:hint="default" w:ascii="Times New Roman" w:hAnsi="Times New Roman" w:cs="Times New Roman"/>
                <w:b w:val="0"/>
                <w:bCs w:val="0"/>
                <w:lang w:val="en-GB" w:eastAsia="ja-JP"/>
              </w:rPr>
            </w:pPr>
            <w:r>
              <w:rPr>
                <w:rFonts w:hint="default" w:ascii="Times New Roman" w:hAnsi="Times New Roman" w:cs="Times New Roman"/>
                <w:b w:val="0"/>
                <w:bCs w:val="0"/>
                <w:lang w:val="en-GB" w:eastAsia="ja-JP"/>
              </w:rPr>
              <w:t>for direct: F1 score.  The following can be reported: missed event detection, false event detection,</w:t>
            </w:r>
          </w:p>
          <w:p>
            <w:pPr>
              <w:pStyle w:val="57"/>
              <w:numPr>
                <w:ilvl w:val="0"/>
                <w:numId w:val="5"/>
              </w:numPr>
              <w:ind w:left="420" w:hanging="420"/>
              <w:rPr>
                <w:rFonts w:hint="default"/>
                <w:lang w:val="en-GB" w:eastAsia="ja-JP"/>
              </w:rPr>
            </w:pPr>
            <w:r>
              <w:rPr>
                <w:rFonts w:hint="default" w:ascii="Times New Roman" w:hAnsi="Times New Roman" w:cs="Times New Roman"/>
                <w:b w:val="0"/>
                <w:bCs w:val="0"/>
                <w:lang w:val="en-GB" w:eastAsia="ja-JP"/>
              </w:rPr>
              <w:t xml:space="preserve">Continue discussion over email discussion to see if there is a difference. </w:t>
            </w:r>
            <w:r>
              <w:rPr>
                <w:rFonts w:hint="default"/>
                <w:lang w:val="en-GB" w:eastAsia="ja-JP"/>
              </w:rPr>
              <w:t xml:space="preserve"> </w:t>
            </w:r>
          </w:p>
          <w:p>
            <w:pPr>
              <w:pStyle w:val="57"/>
              <w:numPr>
                <w:ilvl w:val="-1"/>
                <w:numId w:val="0"/>
              </w:numPr>
              <w:ind w:left="0" w:firstLine="0"/>
              <w:rPr>
                <w:rFonts w:hint="eastAsia"/>
              </w:rPr>
            </w:pPr>
          </w:p>
          <w:p>
            <w:pPr>
              <w:tabs>
                <w:tab w:val="left" w:pos="1622"/>
              </w:tabs>
              <w:spacing w:before="120" w:line="280" w:lineRule="atLeast"/>
              <w:ind w:left="363" w:hanging="363"/>
              <w:jc w:val="left"/>
              <w:rPr>
                <w:rFonts w:ascii="Times New Roman" w:hAnsi="Times New Roman" w:eastAsia="MS Mincho"/>
                <w:highlight w:val="yellow"/>
                <w:lang w:eastAsia="en-GB"/>
              </w:rPr>
            </w:pPr>
            <w:r>
              <w:rPr>
                <w:rFonts w:ascii="Times New Roman" w:hAnsi="Times New Roman" w:eastAsia="MS Mincho"/>
                <w:highlight w:val="yellow"/>
                <w:lang w:eastAsia="en-GB"/>
              </w:rPr>
              <w:t>2</w:t>
            </w:r>
            <w:r>
              <w:rPr>
                <w:rFonts w:ascii="Times New Roman" w:hAnsi="Times New Roman" w:eastAsia="MS Mincho"/>
                <w:highlight w:val="yellow"/>
                <w:lang w:eastAsia="en-GB"/>
              </w:rPr>
              <w:tab/>
            </w:r>
            <w:r>
              <w:rPr>
                <w:rFonts w:ascii="Times New Roman" w:hAnsi="Times New Roman" w:eastAsia="MS Mincho"/>
                <w:highlight w:val="yellow"/>
                <w:lang w:eastAsia="en-GB"/>
              </w:rPr>
              <w:t>The input of model for RRM measurement prediction can be reused as baseline for corresponding direct measurement event prediction. Additional input(s) is also allowed.</w:t>
            </w:r>
          </w:p>
          <w:p>
            <w:pPr>
              <w:tabs>
                <w:tab w:val="left" w:pos="1622"/>
              </w:tabs>
              <w:spacing w:before="120" w:line="280" w:lineRule="atLeast"/>
              <w:ind w:left="363" w:hanging="363"/>
              <w:jc w:val="left"/>
              <w:rPr>
                <w:rFonts w:ascii="Times New Roman" w:hAnsi="Times New Roman" w:eastAsia="MS Mincho"/>
                <w:highlight w:val="yellow"/>
                <w:lang w:eastAsia="en-GB"/>
              </w:rPr>
            </w:pPr>
            <w:r>
              <w:rPr>
                <w:rFonts w:ascii="Times New Roman" w:hAnsi="Times New Roman" w:eastAsia="MS Mincho"/>
                <w:highlight w:val="yellow"/>
                <w:lang w:eastAsia="en-GB"/>
              </w:rPr>
              <w:t>3</w:t>
            </w:r>
            <w:r>
              <w:rPr>
                <w:rFonts w:ascii="Times New Roman" w:hAnsi="Times New Roman" w:eastAsia="MS Mincho"/>
                <w:highlight w:val="yellow"/>
                <w:lang w:eastAsia="en-GB"/>
              </w:rPr>
              <w:tab/>
            </w:r>
            <w:r>
              <w:rPr>
                <w:rFonts w:ascii="Times New Roman" w:hAnsi="Times New Roman" w:eastAsia="MS Mincho"/>
                <w:highlight w:val="yellow"/>
                <w:lang w:eastAsia="en-GB"/>
              </w:rPr>
              <w:t xml:space="preserve">For intra-frequency temporal domain case B indirect measurement event prediction is taken as baseline. Direct prediction is optional. </w:t>
            </w:r>
          </w:p>
          <w:p>
            <w:pPr>
              <w:pStyle w:val="57"/>
              <w:numPr>
                <w:ilvl w:val="-1"/>
                <w:numId w:val="0"/>
              </w:numPr>
              <w:ind w:left="0" w:firstLine="0"/>
              <w:rPr>
                <w:rFonts w:hint="default" w:eastAsia="宋体"/>
                <w:lang w:val="en-US" w:eastAsia="zh-CN"/>
              </w:rPr>
            </w:pPr>
          </w:p>
        </w:tc>
      </w:tr>
    </w:tbl>
    <w:p>
      <w:pPr>
        <w:spacing w:beforeLines="0" w:after="157" w:afterLines="50"/>
        <w:rPr>
          <w:rFonts w:hint="eastAsia"/>
          <w:iCs/>
          <w:lang w:val="en-US" w:eastAsia="zh-CN"/>
        </w:rPr>
      </w:pPr>
      <w:r>
        <w:rPr>
          <w:rFonts w:hint="eastAsia"/>
          <w:iCs/>
          <w:lang w:val="en-US" w:eastAsia="zh-CN"/>
        </w:rPr>
        <w:t xml:space="preserve">In RAN2, indirect measurement event prediction and direct measurement event prediction are both within the scope of their research. Indirect measurement event prediction means that intermediate results are needed. That is to say, the prediction of RRM measurement is first performed to obtain the predicted RSRP, and then based on these prediction results, the calculation results of measurement events are further obtained. Correspondingly, direct measurement event prediction does not require to obtain the prediction results of RSRP. </w:t>
      </w:r>
    </w:p>
    <w:p>
      <w:pPr>
        <w:spacing w:beforeLines="0" w:after="157" w:afterLines="50"/>
        <w:rPr>
          <w:rFonts w:hint="default"/>
          <w:iCs/>
          <w:lang w:val="en-US" w:eastAsia="zh-CN"/>
        </w:rPr>
      </w:pPr>
      <w:r>
        <w:rPr>
          <w:rFonts w:hint="eastAsia"/>
          <w:iCs/>
          <w:lang w:val="en-US" w:eastAsia="zh-CN"/>
        </w:rPr>
        <w:t>Based on RAN2</w:t>
      </w:r>
      <w:r>
        <w:rPr>
          <w:rFonts w:hint="default"/>
          <w:iCs/>
          <w:lang w:val="en-US" w:eastAsia="zh-CN"/>
        </w:rPr>
        <w:t>’</w:t>
      </w:r>
      <w:r>
        <w:rPr>
          <w:rFonts w:hint="eastAsia"/>
          <w:iCs/>
          <w:lang w:val="en-US" w:eastAsia="zh-CN"/>
        </w:rPr>
        <w:t>s progress, we perfer RAN4 to discuss both indirect measurement event and direct measurement event prediction. Meanwhile, RAN2 has an agreement that the simulation assumption of RRM measurement prediction can be reused unless otherwise specified, so we can apply the analysis results of the simulation parameters for RRM measurement prediction to measurement event prediction. In the discussion on RRM measurement prediction, we have considered the measurement error in high level that RAN4 think RF and baseband errors on the measurements would impact the prediction accuracy, while RAN4 has not agreed yet on the exact error model(s) in the SI phase. On the basic, measurement error should be considered into measurement event perdiction when we discuss the prediction accuracy.</w:t>
      </w:r>
    </w:p>
    <w:p>
      <w:pPr>
        <w:spacing w:beforeLines="0" w:after="157" w:afterLines="50"/>
        <w:rPr>
          <w:rFonts w:hint="eastAsia"/>
          <w:b/>
          <w:bCs/>
          <w:iCs/>
          <w:lang w:val="en-US" w:eastAsia="zh-CN"/>
        </w:rPr>
      </w:pPr>
      <w:r>
        <w:rPr>
          <w:rFonts w:hint="eastAsia"/>
          <w:b/>
          <w:bCs/>
          <w:iCs/>
          <w:lang w:val="en-US" w:eastAsia="zh-CN"/>
        </w:rPr>
        <w:t>Proposal 1: Measurement error should be considered into measurement event prediction, which will impact the prediction accuracy.</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7"/>
              <w:numPr>
                <w:ilvl w:val="0"/>
                <w:numId w:val="5"/>
              </w:numPr>
              <w:ind w:left="420" w:hanging="420"/>
              <w:rPr>
                <w:rFonts w:hint="eastAsia"/>
              </w:rPr>
            </w:pPr>
            <w:r>
              <w:rPr>
                <w:rFonts w:hint="eastAsia"/>
              </w:rPr>
              <w:t>Indirect prediction: Case A</w:t>
            </w:r>
          </w:p>
          <w:p>
            <w:pPr>
              <w:pStyle w:val="57"/>
              <w:numPr>
                <w:ilvl w:val="-1"/>
                <w:numId w:val="0"/>
              </w:numPr>
              <w:ind w:left="0" w:firstLine="0"/>
              <w:rPr>
                <w:rFonts w:hint="eastAsia"/>
              </w:rPr>
            </w:pPr>
            <w:r>
              <w:rPr>
                <w:rFonts w:hint="eastAsia"/>
              </w:rPr>
              <w:t xml:space="preserve">Most of the results show that the F1 score for prediction of measurement event is very good.   </w:t>
            </w:r>
          </w:p>
          <w:p>
            <w:pPr>
              <w:pStyle w:val="57"/>
              <w:numPr>
                <w:ilvl w:val="-1"/>
                <w:numId w:val="0"/>
              </w:numPr>
              <w:ind w:left="0" w:firstLine="0"/>
              <w:rPr>
                <w:rFonts w:hint="eastAsia"/>
              </w:rPr>
            </w:pPr>
            <w:r>
              <w:rPr>
                <w:rFonts w:hint="eastAsia"/>
              </w:rPr>
              <w:t xml:space="preserve">For handover decision option 3 and 2 AI/ML performs better than baseline (legacy) in terms of HO failure rate.  </w:t>
            </w:r>
          </w:p>
          <w:p>
            <w:pPr>
              <w:pStyle w:val="57"/>
              <w:numPr>
                <w:ilvl w:val="-1"/>
                <w:numId w:val="0"/>
              </w:numPr>
              <w:ind w:left="0" w:firstLine="0"/>
              <w:rPr>
                <w:rFonts w:hint="eastAsia"/>
              </w:rPr>
            </w:pPr>
          </w:p>
          <w:p>
            <w:pPr>
              <w:pStyle w:val="57"/>
              <w:numPr>
                <w:ilvl w:val="0"/>
                <w:numId w:val="5"/>
              </w:numPr>
              <w:ind w:left="420" w:hanging="420"/>
              <w:rPr>
                <w:rFonts w:hint="eastAsia"/>
              </w:rPr>
            </w:pPr>
            <w:r>
              <w:rPr>
                <w:rFonts w:hint="eastAsia"/>
              </w:rPr>
              <w:t>Indirect prediction: Case B</w:t>
            </w:r>
          </w:p>
          <w:p>
            <w:pPr>
              <w:pStyle w:val="57"/>
              <w:numPr>
                <w:ilvl w:val="-1"/>
                <w:numId w:val="0"/>
              </w:numPr>
              <w:ind w:left="0" w:firstLine="0"/>
              <w:rPr>
                <w:rFonts w:hint="eastAsia"/>
              </w:rPr>
            </w:pPr>
            <w:r>
              <w:rPr>
                <w:rFonts w:hint="eastAsia"/>
              </w:rPr>
              <w:t xml:space="preserve">Measurement event case B can have very good F1 score depending on filtering approach/PW </w:t>
            </w:r>
          </w:p>
          <w:p>
            <w:pPr>
              <w:pStyle w:val="57"/>
              <w:numPr>
                <w:ilvl w:val="-1"/>
                <w:numId w:val="0"/>
              </w:numPr>
              <w:ind w:left="0" w:firstLine="0"/>
              <w:rPr>
                <w:rFonts w:hint="eastAsia"/>
              </w:rPr>
            </w:pPr>
            <w:r>
              <w:rPr>
                <w:rFonts w:hint="eastAsia"/>
              </w:rPr>
              <w:t>F1 score is good for the PW window for case B (i.e. low PW)</w:t>
            </w:r>
          </w:p>
          <w:p>
            <w:pPr>
              <w:pStyle w:val="57"/>
              <w:numPr>
                <w:ilvl w:val="-1"/>
                <w:numId w:val="0"/>
              </w:numPr>
              <w:ind w:left="0" w:firstLine="0"/>
              <w:rPr>
                <w:rFonts w:hint="eastAsia"/>
              </w:rPr>
            </w:pPr>
            <w:r>
              <w:rPr>
                <w:rFonts w:hint="eastAsia"/>
              </w:rPr>
              <w:t>F1 score decreases with an increasing MRRT value</w:t>
            </w:r>
          </w:p>
          <w:p>
            <w:pPr>
              <w:pStyle w:val="57"/>
              <w:numPr>
                <w:ilvl w:val="-1"/>
                <w:numId w:val="0"/>
              </w:numPr>
              <w:ind w:left="0" w:firstLine="0"/>
              <w:rPr>
                <w:rFonts w:hint="eastAsia"/>
              </w:rPr>
            </w:pPr>
            <w:r>
              <w:rPr>
                <w:rFonts w:hint="eastAsia"/>
              </w:rPr>
              <w:t>We will focus on finding cases that bring benefits to the system rather than trying to compare</w:t>
            </w:r>
          </w:p>
          <w:p>
            <w:pPr>
              <w:pStyle w:val="57"/>
              <w:numPr>
                <w:ilvl w:val="-1"/>
                <w:numId w:val="0"/>
              </w:numPr>
              <w:ind w:left="0" w:firstLine="0"/>
              <w:rPr>
                <w:rFonts w:hint="eastAsia"/>
              </w:rPr>
            </w:pPr>
            <w:r>
              <w:rPr>
                <w:rFonts w:hint="eastAsia"/>
              </w:rPr>
              <w:t xml:space="preserve">With indirect measurement event prediction based on temporal domain Case B (MRRT=50%), the AI-based HO has a minor/no system-level performance (i.e., HOF rate and HO number) decrease compared with the legacy HO mechanism. </w:t>
            </w:r>
          </w:p>
          <w:p>
            <w:pPr>
              <w:pStyle w:val="57"/>
              <w:numPr>
                <w:ilvl w:val="0"/>
                <w:numId w:val="5"/>
              </w:numPr>
              <w:ind w:left="420" w:hanging="420"/>
              <w:rPr>
                <w:rFonts w:hint="eastAsia"/>
              </w:rPr>
            </w:pPr>
            <w:r>
              <w:rPr>
                <w:rFonts w:hint="eastAsia"/>
              </w:rPr>
              <w:t xml:space="preserve">Other </w:t>
            </w:r>
          </w:p>
          <w:p>
            <w:pPr>
              <w:pStyle w:val="57"/>
              <w:numPr>
                <w:ilvl w:val="-1"/>
                <w:numId w:val="0"/>
              </w:numPr>
              <w:ind w:left="0" w:firstLine="0"/>
              <w:rPr>
                <w:rFonts w:hint="eastAsia"/>
              </w:rPr>
            </w:pPr>
            <w:r>
              <w:rPr>
                <w:rFonts w:hint="eastAsia"/>
              </w:rPr>
              <w:t xml:space="preserve">Inter-frequency measurement event prediction will be considered for the specification impact study but no explicit simulations will be required. </w:t>
            </w:r>
          </w:p>
          <w:p>
            <w:pPr>
              <w:pStyle w:val="57"/>
              <w:numPr>
                <w:ilvl w:val="-1"/>
                <w:numId w:val="0"/>
              </w:numPr>
              <w:ind w:left="0" w:firstLine="0"/>
              <w:rPr>
                <w:rFonts w:hint="eastAsia"/>
              </w:rPr>
            </w:pPr>
          </w:p>
          <w:p>
            <w:pPr>
              <w:pStyle w:val="57"/>
              <w:numPr>
                <w:ilvl w:val="0"/>
                <w:numId w:val="5"/>
              </w:numPr>
              <w:ind w:left="420" w:hanging="420"/>
              <w:rPr>
                <w:rFonts w:hint="eastAsia"/>
              </w:rPr>
            </w:pPr>
            <w:r>
              <w:rPr>
                <w:rFonts w:hint="eastAsia"/>
              </w:rPr>
              <w:t>Direct prediction</w:t>
            </w:r>
          </w:p>
          <w:p>
            <w:pPr>
              <w:pStyle w:val="57"/>
              <w:numPr>
                <w:ilvl w:val="-1"/>
                <w:numId w:val="0"/>
              </w:numPr>
              <w:ind w:left="0" w:firstLine="0"/>
              <w:rPr>
                <w:rFonts w:hint="eastAsia"/>
              </w:rPr>
            </w:pPr>
            <w:r>
              <w:rPr>
                <w:rFonts w:hint="eastAsia"/>
              </w:rPr>
              <w:t xml:space="preserve">F1 score for direct measurement is very good based on the current simulation results. </w:t>
            </w:r>
          </w:p>
          <w:p>
            <w:pPr>
              <w:pStyle w:val="57"/>
              <w:numPr>
                <w:ilvl w:val="-1"/>
                <w:numId w:val="0"/>
              </w:numPr>
              <w:ind w:left="0" w:firstLine="0"/>
            </w:pPr>
          </w:p>
        </w:tc>
      </w:tr>
    </w:tbl>
    <w:p>
      <w:pPr>
        <w:spacing w:before="0" w:beforeLines="0" w:after="157" w:afterLines="50"/>
        <w:rPr>
          <w:rFonts w:hint="default" w:eastAsiaTheme="minorEastAsia"/>
          <w:b w:val="0"/>
          <w:bCs w:val="0"/>
          <w:iCs w:val="0"/>
          <w:lang w:val="en-US" w:eastAsia="zh-CN"/>
        </w:rPr>
      </w:pPr>
      <w:r>
        <w:rPr>
          <w:rFonts w:hint="default" w:eastAsiaTheme="minorEastAsia"/>
          <w:b w:val="0"/>
          <w:bCs w:val="0"/>
          <w:iCs w:val="0"/>
          <w:lang w:val="en-US" w:eastAsia="zh-CN"/>
        </w:rPr>
        <w:t>Based on the current discussion of RAN2, we suggest that similar to RRM measurement prediction</w:t>
      </w:r>
      <w:r>
        <w:rPr>
          <w:rFonts w:hint="eastAsia" w:eastAsiaTheme="minorEastAsia"/>
          <w:b w:val="0"/>
          <w:bCs w:val="0"/>
          <w:iCs w:val="0"/>
          <w:lang w:val="en-US" w:eastAsia="zh-CN"/>
        </w:rPr>
        <w:t xml:space="preserve"> and</w:t>
      </w:r>
      <w:r>
        <w:rPr>
          <w:rFonts w:hint="default" w:eastAsiaTheme="minorEastAsia"/>
          <w:b w:val="0"/>
          <w:bCs w:val="0"/>
          <w:iCs w:val="0"/>
          <w:lang w:val="en-US" w:eastAsia="zh-CN"/>
        </w:rPr>
        <w:t xml:space="preserve"> discuss the impact of </w:t>
      </w:r>
      <w:r>
        <w:rPr>
          <w:rFonts w:hint="eastAsia" w:eastAsiaTheme="minorEastAsia"/>
          <w:b w:val="0"/>
          <w:bCs w:val="0"/>
          <w:iCs w:val="0"/>
          <w:lang w:val="en-US" w:eastAsia="zh-CN"/>
        </w:rPr>
        <w:t>temproal domain</w:t>
      </w:r>
      <w:r>
        <w:rPr>
          <w:rFonts w:hint="default" w:eastAsiaTheme="minorEastAsia"/>
          <w:b w:val="0"/>
          <w:bCs w:val="0"/>
          <w:iCs w:val="0"/>
          <w:lang w:val="en-US" w:eastAsia="zh-CN"/>
        </w:rPr>
        <w:t xml:space="preserve"> and frequency domain</w:t>
      </w:r>
      <w:r>
        <w:rPr>
          <w:rFonts w:hint="eastAsia" w:eastAsiaTheme="minorEastAsia"/>
          <w:b w:val="0"/>
          <w:bCs w:val="0"/>
          <w:iCs w:val="0"/>
          <w:lang w:val="en-US" w:eastAsia="zh-CN"/>
        </w:rPr>
        <w:t xml:space="preserve"> first</w:t>
      </w:r>
      <w:r>
        <w:rPr>
          <w:rFonts w:hint="default" w:eastAsiaTheme="minorEastAsia"/>
          <w:b w:val="0"/>
          <w:bCs w:val="0"/>
          <w:iCs w:val="0"/>
          <w:lang w:val="en-US" w:eastAsia="zh-CN"/>
        </w:rPr>
        <w:t xml:space="preserve">. As for spatial </w:t>
      </w:r>
      <w:r>
        <w:rPr>
          <w:rFonts w:hint="eastAsia" w:eastAsiaTheme="minorEastAsia"/>
          <w:b w:val="0"/>
          <w:bCs w:val="0"/>
          <w:iCs w:val="0"/>
          <w:lang w:val="en-US" w:eastAsia="zh-CN"/>
        </w:rPr>
        <w:t>domain</w:t>
      </w:r>
      <w:r>
        <w:rPr>
          <w:rFonts w:hint="default" w:eastAsiaTheme="minorEastAsia"/>
          <w:b w:val="0"/>
          <w:bCs w:val="0"/>
          <w:iCs w:val="0"/>
          <w:lang w:val="en-US" w:eastAsia="zh-CN"/>
        </w:rPr>
        <w:t>, if time permits or work needs, we can further discuss</w:t>
      </w:r>
      <w:r>
        <w:rPr>
          <w:rFonts w:hint="eastAsia" w:eastAsiaTheme="minorEastAsia"/>
          <w:b w:val="0"/>
          <w:bCs w:val="0"/>
          <w:iCs w:val="0"/>
          <w:lang w:val="en-US" w:eastAsia="zh-CN"/>
        </w:rPr>
        <w:t xml:space="preserve"> the impacts</w:t>
      </w:r>
      <w:r>
        <w:rPr>
          <w:rFonts w:hint="default" w:eastAsiaTheme="minorEastAsia"/>
          <w:b w:val="0"/>
          <w:bCs w:val="0"/>
          <w:iCs w:val="0"/>
          <w:lang w:val="en-US" w:eastAsia="zh-CN"/>
        </w:rPr>
        <w:t>.</w:t>
      </w:r>
    </w:p>
    <w:p>
      <w:pPr>
        <w:spacing w:before="0" w:beforeLines="0" w:after="157" w:afterLines="50"/>
        <w:rPr>
          <w:rFonts w:hint="default" w:eastAsiaTheme="minorEastAsia"/>
          <w:b/>
          <w:bCs/>
          <w:iCs w:val="0"/>
          <w:lang w:val="en-US" w:eastAsia="zh-CN"/>
        </w:rPr>
      </w:pPr>
      <w:r>
        <w:rPr>
          <w:rFonts w:hint="default" w:eastAsiaTheme="minorEastAsia"/>
          <w:b/>
          <w:bCs/>
          <w:iCs w:val="0"/>
          <w:lang w:val="en-US" w:eastAsia="zh-CN"/>
        </w:rPr>
        <w:t xml:space="preserve">Proposal </w:t>
      </w:r>
      <w:r>
        <w:rPr>
          <w:rFonts w:hint="eastAsia" w:eastAsiaTheme="minorEastAsia"/>
          <w:b/>
          <w:bCs/>
          <w:iCs w:val="0"/>
          <w:lang w:val="en-US" w:eastAsia="zh-CN"/>
        </w:rPr>
        <w:t>2</w:t>
      </w:r>
      <w:r>
        <w:rPr>
          <w:rFonts w:hint="default" w:eastAsiaTheme="minorEastAsia"/>
          <w:b/>
          <w:bCs/>
          <w:iCs w:val="0"/>
          <w:lang w:val="en-US" w:eastAsia="zh-CN"/>
        </w:rPr>
        <w:t>: For measurement event prediction, RAN4 should at least consider</w:t>
      </w:r>
      <w:r>
        <w:rPr>
          <w:rFonts w:hint="eastAsia" w:eastAsiaTheme="minorEastAsia"/>
          <w:b/>
          <w:bCs/>
          <w:iCs w:val="0"/>
          <w:lang w:val="en-US" w:eastAsia="zh-CN"/>
        </w:rPr>
        <w:t xml:space="preserve"> </w:t>
      </w:r>
      <w:r>
        <w:rPr>
          <w:rFonts w:hint="default" w:eastAsiaTheme="minorEastAsia"/>
          <w:b/>
          <w:bCs/>
          <w:iCs w:val="0"/>
          <w:lang w:val="en-US" w:eastAsia="zh-CN"/>
        </w:rPr>
        <w:t>scenarios</w:t>
      </w:r>
      <w:r>
        <w:rPr>
          <w:rFonts w:hint="eastAsia" w:eastAsiaTheme="minorEastAsia"/>
          <w:b/>
          <w:bCs/>
          <w:iCs w:val="0"/>
          <w:lang w:val="en-US" w:eastAsia="zh-CN"/>
        </w:rPr>
        <w:t xml:space="preserve"> </w:t>
      </w:r>
      <w:r>
        <w:rPr>
          <w:rFonts w:hint="default" w:eastAsiaTheme="minorEastAsia"/>
          <w:b/>
          <w:bCs/>
          <w:iCs w:val="0"/>
          <w:lang w:val="en-US" w:eastAsia="zh-CN"/>
        </w:rPr>
        <w:t>2</w:t>
      </w:r>
      <w:r>
        <w:rPr>
          <w:rFonts w:hint="eastAsia" w:eastAsiaTheme="minorEastAsia"/>
          <w:b/>
          <w:bCs/>
          <w:iCs w:val="0"/>
          <w:lang w:val="en-US" w:eastAsia="zh-CN"/>
        </w:rPr>
        <w:t>(FR1 to FR1 intra-frequency temporal domain caseB)</w:t>
      </w:r>
      <w:r>
        <w:rPr>
          <w:rFonts w:hint="default" w:eastAsiaTheme="minorEastAsia"/>
          <w:b/>
          <w:bCs/>
          <w:iCs w:val="0"/>
          <w:lang w:val="en-US" w:eastAsia="zh-CN"/>
        </w:rPr>
        <w:t>, scenario 3</w:t>
      </w:r>
      <w:r>
        <w:rPr>
          <w:rFonts w:hint="eastAsia" w:eastAsiaTheme="minorEastAsia"/>
          <w:b/>
          <w:bCs/>
          <w:iCs w:val="0"/>
          <w:lang w:val="en-US" w:eastAsia="zh-CN"/>
        </w:rPr>
        <w:t xml:space="preserve"> </w:t>
      </w:r>
      <w:r>
        <w:rPr>
          <w:rFonts w:hint="default" w:eastAsiaTheme="minorEastAsia"/>
          <w:b/>
          <w:bCs/>
          <w:iCs w:val="0"/>
          <w:lang w:val="en-US" w:eastAsia="zh-CN"/>
        </w:rPr>
        <w:t>(FR1 to FR1 inter-frequency (frequency domain)), and scenario 4</w:t>
      </w:r>
      <w:r>
        <w:rPr>
          <w:rFonts w:hint="eastAsia" w:eastAsiaTheme="minorEastAsia"/>
          <w:b/>
          <w:bCs/>
          <w:iCs w:val="0"/>
          <w:lang w:val="en-US" w:eastAsia="zh-CN"/>
        </w:rPr>
        <w:t xml:space="preserve"> </w:t>
      </w:r>
      <w:r>
        <w:rPr>
          <w:rFonts w:hint="default" w:eastAsiaTheme="minorEastAsia"/>
          <w:b/>
          <w:bCs/>
          <w:iCs w:val="0"/>
          <w:lang w:val="en-US" w:eastAsia="zh-CN"/>
        </w:rPr>
        <w:t>(FR2 to FR2 intra-frequency temporal domain case A).</w:t>
      </w:r>
    </w:p>
    <w:p>
      <w:pPr>
        <w:spacing w:before="0" w:beforeLines="0" w:after="157" w:afterLines="50"/>
        <w:rPr>
          <w:rFonts w:hint="eastAsia" w:eastAsiaTheme="minorEastAsia"/>
          <w:lang w:val="en-US" w:eastAsia="zh-CN"/>
        </w:rPr>
      </w:pPr>
      <w:r>
        <w:rPr>
          <w:rFonts w:hint="eastAsia" w:eastAsiaTheme="minorEastAsia"/>
          <w:lang w:val="en-US" w:eastAsia="zh-CN"/>
        </w:rPr>
        <w:t>F</w:t>
      </w:r>
      <w:r>
        <w:rPr>
          <w:rFonts w:eastAsiaTheme="minorEastAsia"/>
        </w:rPr>
        <w:t>or indirect</w:t>
      </w:r>
      <w:r>
        <w:rPr>
          <w:rFonts w:hint="eastAsia" w:eastAsiaTheme="minorEastAsia"/>
          <w:lang w:val="en-US" w:eastAsia="zh-CN"/>
        </w:rPr>
        <w:t xml:space="preserve"> event measurement prediction</w:t>
      </w:r>
      <w:r>
        <w:rPr>
          <w:rFonts w:eastAsiaTheme="minorEastAsia"/>
        </w:rPr>
        <w:t xml:space="preserve">, </w:t>
      </w:r>
      <w:r>
        <w:rPr>
          <w:rFonts w:eastAsiaTheme="minorEastAsia"/>
          <w:lang w:eastAsia="en-GB"/>
        </w:rPr>
        <w:t>measurement result(s) is predicted by a RRM measurement prediction model first. Afterwards, predicted and optionally actual historical measurement result(s) are used to derive whether a measurement event at one time instance occurs, without further involvement of an AI/ML model.</w:t>
      </w:r>
      <w:r>
        <w:rPr>
          <w:rFonts w:hint="eastAsia" w:eastAsiaTheme="minorEastAsia"/>
          <w:lang w:val="en-US" w:eastAsia="zh-CN"/>
        </w:rPr>
        <w:t xml:space="preserve"> Therefore, the RRM impact </w:t>
      </w:r>
      <w:r>
        <w:rPr>
          <w:rFonts w:eastAsiaTheme="minorEastAsia"/>
        </w:rPr>
        <w:t>on RSRP difference prediction accuracy in RRM measurement prediction use case can be directly reused for indirect</w:t>
      </w:r>
      <w:r>
        <w:rPr>
          <w:rFonts w:hint="eastAsia" w:eastAsiaTheme="minorEastAsia"/>
          <w:lang w:val="en-US" w:eastAsia="zh-CN"/>
        </w:rPr>
        <w:t xml:space="preserve"> event measurement prediction. In the last meeting, we have discussed the performance metric for event prediction use case and reached consensus blew [2].</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snapToGrid w:val="0"/>
              <w:spacing w:after="120"/>
              <w:rPr>
                <w:b/>
                <w:sz w:val="21"/>
                <w:szCs w:val="21"/>
                <w:u w:val="single"/>
              </w:rPr>
            </w:pPr>
            <w:r>
              <w:rPr>
                <w:b/>
                <w:sz w:val="21"/>
                <w:szCs w:val="21"/>
                <w:u w:val="single"/>
              </w:rPr>
              <w:t>Issue 3-1-2: Performance metric for event prediction use case</w:t>
            </w:r>
          </w:p>
          <w:p>
            <w:pPr>
              <w:snapToGrid w:val="0"/>
              <w:spacing w:after="120"/>
              <w:rPr>
                <w:szCs w:val="21"/>
                <w:highlight w:val="green"/>
              </w:rPr>
            </w:pPr>
          </w:p>
          <w:p>
            <w:pPr>
              <w:snapToGrid w:val="0"/>
              <w:spacing w:after="120"/>
              <w:rPr>
                <w:sz w:val="21"/>
                <w:szCs w:val="21"/>
                <w:highlight w:val="green"/>
                <w:lang w:eastAsia="zh-CN"/>
              </w:rPr>
            </w:pPr>
            <w:r>
              <w:rPr>
                <w:sz w:val="21"/>
                <w:szCs w:val="21"/>
                <w:highlight w:val="green"/>
                <w:lang w:eastAsia="zh-CN"/>
              </w:rPr>
              <w:t>Agreement:</w:t>
            </w:r>
          </w:p>
          <w:p>
            <w:pPr>
              <w:pStyle w:val="28"/>
              <w:numPr>
                <w:ilvl w:val="0"/>
                <w:numId w:val="6"/>
              </w:numPr>
              <w:snapToGrid w:val="0"/>
              <w:spacing w:after="120"/>
              <w:ind w:firstLineChars="0"/>
              <w:textAlignment w:val="auto"/>
              <w:rPr>
                <w:szCs w:val="21"/>
                <w:highlight w:val="green"/>
              </w:rPr>
            </w:pPr>
            <w:r>
              <w:rPr>
                <w:szCs w:val="21"/>
                <w:highlight w:val="green"/>
              </w:rPr>
              <w:t>Potential RRM requirement impact for event prediction use case - for indirect case:</w:t>
            </w:r>
          </w:p>
          <w:p>
            <w:pPr>
              <w:pStyle w:val="28"/>
              <w:numPr>
                <w:ilvl w:val="0"/>
                <w:numId w:val="7"/>
              </w:numPr>
              <w:snapToGrid w:val="0"/>
              <w:spacing w:after="120"/>
              <w:ind w:firstLineChars="0"/>
              <w:textAlignment w:val="auto"/>
              <w:rPr>
                <w:szCs w:val="21"/>
                <w:highlight w:val="green"/>
              </w:rPr>
            </w:pPr>
            <w:r>
              <w:rPr>
                <w:szCs w:val="21"/>
                <w:highlight w:val="green"/>
              </w:rPr>
              <w:t>RAN4 to study the requirement for the</w:t>
            </w:r>
            <w:r>
              <w:rPr>
                <w:szCs w:val="21"/>
                <w:highlight w:val="green"/>
                <w:u w:val="none"/>
              </w:rPr>
              <w:t xml:space="preserve"> predicted event triggered reporting</w:t>
            </w:r>
          </w:p>
          <w:p>
            <w:pPr>
              <w:pStyle w:val="28"/>
              <w:numPr>
                <w:ilvl w:val="1"/>
                <w:numId w:val="8"/>
              </w:numPr>
              <w:snapToGrid w:val="0"/>
              <w:spacing w:after="120"/>
              <w:ind w:firstLineChars="0"/>
              <w:textAlignment w:val="auto"/>
              <w:rPr>
                <w:szCs w:val="21"/>
                <w:highlight w:val="green"/>
              </w:rPr>
            </w:pPr>
            <w:r>
              <w:rPr>
                <w:szCs w:val="21"/>
                <w:highlight w:val="green"/>
              </w:rPr>
              <w:t>RAN4 to study the requirement for [delay and accuracy]</w:t>
            </w:r>
          </w:p>
          <w:p>
            <w:pPr>
              <w:pStyle w:val="28"/>
              <w:numPr>
                <w:ilvl w:val="1"/>
                <w:numId w:val="8"/>
              </w:numPr>
              <w:snapToGrid w:val="0"/>
              <w:spacing w:after="120"/>
              <w:ind w:firstLineChars="0"/>
              <w:textAlignment w:val="auto"/>
              <w:rPr>
                <w:szCs w:val="21"/>
                <w:highlight w:val="green"/>
              </w:rPr>
            </w:pPr>
            <w:r>
              <w:rPr>
                <w:szCs w:val="21"/>
                <w:highlight w:val="green"/>
              </w:rPr>
              <w:t>RAN4 to discuss the metric for the event prediction</w:t>
            </w:r>
          </w:p>
          <w:p>
            <w:pPr>
              <w:pStyle w:val="28"/>
              <w:numPr>
                <w:ilvl w:val="0"/>
                <w:numId w:val="7"/>
              </w:numPr>
              <w:snapToGrid w:val="0"/>
              <w:spacing w:after="120"/>
              <w:ind w:firstLineChars="0"/>
              <w:textAlignment w:val="auto"/>
              <w:rPr>
                <w:szCs w:val="21"/>
                <w:highlight w:val="green"/>
              </w:rPr>
            </w:pPr>
            <w:r>
              <w:rPr>
                <w:szCs w:val="21"/>
                <w:highlight w:val="green"/>
              </w:rPr>
              <w:t>Additionally, if the report includes the predicted RSRPs [corresponding to the predicted event occurrence time],</w:t>
            </w:r>
          </w:p>
          <w:p>
            <w:pPr>
              <w:pStyle w:val="28"/>
              <w:numPr>
                <w:ilvl w:val="1"/>
                <w:numId w:val="7"/>
              </w:numPr>
              <w:snapToGrid w:val="0"/>
              <w:spacing w:after="120"/>
              <w:ind w:firstLineChars="0"/>
              <w:textAlignment w:val="auto"/>
              <w:rPr>
                <w:szCs w:val="21"/>
                <w:highlight w:val="green"/>
              </w:rPr>
            </w:pPr>
            <w:r>
              <w:rPr>
                <w:szCs w:val="21"/>
                <w:highlight w:val="green"/>
              </w:rPr>
              <w:t>Candidate options:</w:t>
            </w:r>
          </w:p>
          <w:p>
            <w:pPr>
              <w:pStyle w:val="28"/>
              <w:numPr>
                <w:ilvl w:val="2"/>
                <w:numId w:val="8"/>
              </w:numPr>
              <w:snapToGrid w:val="0"/>
              <w:spacing w:after="120"/>
              <w:ind w:firstLineChars="0"/>
              <w:textAlignment w:val="auto"/>
              <w:rPr>
                <w:szCs w:val="21"/>
                <w:highlight w:val="green"/>
              </w:rPr>
            </w:pPr>
            <w:r>
              <w:rPr>
                <w:szCs w:val="21"/>
                <w:highlight w:val="green"/>
              </w:rPr>
              <w:t>Option 1: RAN4 will define requirement for the predicted RSRPs</w:t>
            </w:r>
          </w:p>
          <w:p>
            <w:pPr>
              <w:pStyle w:val="28"/>
              <w:numPr>
                <w:ilvl w:val="2"/>
                <w:numId w:val="8"/>
              </w:numPr>
              <w:snapToGrid w:val="0"/>
              <w:spacing w:after="120"/>
              <w:ind w:firstLineChars="0"/>
              <w:textAlignment w:val="auto"/>
              <w:rPr>
                <w:szCs w:val="21"/>
                <w:highlight w:val="green"/>
              </w:rPr>
            </w:pPr>
            <w:r>
              <w:rPr>
                <w:szCs w:val="21"/>
                <w:highlight w:val="green"/>
              </w:rPr>
              <w:t>Option 2: RAN4 will not define requirement for the predicted RSRPs</w:t>
            </w:r>
          </w:p>
          <w:p>
            <w:pPr>
              <w:pStyle w:val="57"/>
              <w:numPr>
                <w:ilvl w:val="-1"/>
                <w:numId w:val="0"/>
              </w:numPr>
              <w:ind w:left="0" w:firstLine="0"/>
            </w:pPr>
          </w:p>
        </w:tc>
      </w:tr>
    </w:tbl>
    <w:p>
      <w:pPr>
        <w:spacing w:before="0" w:beforeLines="0" w:after="157" w:afterLines="50"/>
        <w:rPr>
          <w:rFonts w:hint="eastAsia" w:eastAsiaTheme="minorEastAsia"/>
          <w:lang w:val="en-US" w:eastAsia="zh-CN"/>
        </w:rPr>
      </w:pPr>
      <w:r>
        <w:rPr>
          <w:rFonts w:hint="eastAsia" w:eastAsiaTheme="minorEastAsia"/>
          <w:lang w:val="en-US" w:eastAsia="zh-CN"/>
        </w:rPr>
        <w:t>As to the issue whether need to define requirement for the predicted RSRPs or not if the report includes the predicted RSRPs, we prefer to define requirement for reported results and need to ensure that all reported results meet the relevant requirements. In our understanding, the requirements for measurement prediction can be used as baseline for intermediate output.</w:t>
      </w:r>
    </w:p>
    <w:p>
      <w:pPr>
        <w:spacing w:beforeLines="0" w:after="157" w:afterLines="50"/>
        <w:rPr>
          <w:rFonts w:hint="eastAsia" w:eastAsiaTheme="minorEastAsia"/>
          <w:b/>
          <w:bCs/>
          <w:lang w:val="en-US" w:eastAsia="zh-CN"/>
        </w:rPr>
      </w:pPr>
      <w:r>
        <w:rPr>
          <w:rFonts w:hint="eastAsia" w:eastAsiaTheme="minorEastAsia"/>
          <w:b/>
          <w:bCs/>
          <w:lang w:val="en-US" w:eastAsia="zh-CN"/>
        </w:rPr>
        <w:t>Proposal 3: For indirect case, if the report includes the predicted RSRPs, RAN4 should define requirements for the predicted RSRPs and the requirements for measurement prediction can be used as baseline.</w:t>
      </w:r>
    </w:p>
    <w:p>
      <w:pPr>
        <w:spacing w:beforeLines="0" w:after="157" w:afterLines="50"/>
        <w:rPr>
          <w:rFonts w:hint="eastAsia" w:eastAsiaTheme="minorEastAsia"/>
          <w:b w:val="0"/>
          <w:bCs w:val="0"/>
          <w:lang w:val="en-US" w:eastAsia="zh-CN"/>
        </w:rPr>
      </w:pPr>
      <w:r>
        <w:rPr>
          <w:rFonts w:hint="eastAsia" w:eastAsiaTheme="minorEastAsia"/>
          <w:b w:val="0"/>
          <w:bCs w:val="0"/>
          <w:lang w:val="en-US" w:eastAsia="zh-CN"/>
        </w:rPr>
        <w:t>For the metric of event prediction, RAN2 has consiered the timing fidderence between predicated event and ground truth event, i.e., EDT, which is not considered in legacy. To ensure the accuracy of the measurement, RAN4 should consider whether and how to define prediction accuracy for event prediction use case based on RAN2</w:t>
      </w:r>
      <w:r>
        <w:rPr>
          <w:rFonts w:hint="default" w:eastAsiaTheme="minorEastAsia"/>
          <w:b w:val="0"/>
          <w:bCs w:val="0"/>
          <w:lang w:val="en-US" w:eastAsia="zh-CN"/>
        </w:rPr>
        <w:t>’</w:t>
      </w:r>
      <w:r>
        <w:rPr>
          <w:rFonts w:hint="eastAsia" w:eastAsiaTheme="minorEastAsia"/>
          <w:b w:val="0"/>
          <w:bCs w:val="0"/>
          <w:lang w:val="en-US" w:eastAsia="zh-CN"/>
        </w:rPr>
        <w:t xml:space="preserve">s progress. </w:t>
      </w:r>
    </w:p>
    <w:p>
      <w:pPr>
        <w:spacing w:beforeLines="0" w:after="157" w:afterLines="50"/>
        <w:rPr>
          <w:rFonts w:hint="default" w:eastAsiaTheme="minorEastAsia"/>
          <w:b/>
          <w:bCs/>
          <w:lang w:val="en-US" w:eastAsia="zh-CN"/>
        </w:rPr>
      </w:pPr>
      <w:r>
        <w:rPr>
          <w:rFonts w:hint="eastAsia" w:eastAsiaTheme="minorEastAsia"/>
          <w:b/>
          <w:bCs/>
          <w:lang w:val="en-US" w:eastAsia="zh-CN"/>
        </w:rPr>
        <w:t>Proposal 4: RAN4 should consider whether and how to define prediction accuracy for event prediction use case based on RAN2</w:t>
      </w:r>
      <w:r>
        <w:rPr>
          <w:rFonts w:hint="default" w:eastAsiaTheme="minorEastAsia"/>
          <w:b/>
          <w:bCs/>
          <w:lang w:val="en-US" w:eastAsia="zh-CN"/>
        </w:rPr>
        <w:t>’</w:t>
      </w:r>
      <w:r>
        <w:rPr>
          <w:rFonts w:hint="eastAsia" w:eastAsiaTheme="minorEastAsia"/>
          <w:b/>
          <w:bCs/>
          <w:lang w:val="en-US" w:eastAsia="zh-CN"/>
        </w:rPr>
        <w:t>s progress.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AI/ML mobility on measurement event prediction</w:t>
      </w:r>
      <w:r>
        <w:rPr>
          <w:rFonts w:eastAsia="宋体"/>
          <w:bCs/>
          <w:color w:val="auto"/>
          <w:sz w:val="20"/>
          <w:szCs w:val="20"/>
          <w:lang w:val="en-GB" w:eastAsia="zh-CN"/>
        </w:rPr>
        <w:t>:</w:t>
      </w:r>
    </w:p>
    <w:p>
      <w:pPr>
        <w:spacing w:beforeLines="0" w:after="157" w:afterLines="50"/>
        <w:rPr>
          <w:rFonts w:hint="eastAsia"/>
          <w:b/>
          <w:bCs/>
          <w:iCs/>
          <w:lang w:val="en-US" w:eastAsia="zh-CN"/>
        </w:rPr>
      </w:pPr>
      <w:r>
        <w:rPr>
          <w:rFonts w:hint="eastAsia"/>
          <w:b/>
          <w:bCs/>
          <w:iCs/>
          <w:lang w:val="en-US" w:eastAsia="zh-CN"/>
        </w:rPr>
        <w:t>Proposal 1: Measurement error should be considered into measurement event prediction, which will impact the prediction accuracy.</w:t>
      </w:r>
    </w:p>
    <w:p>
      <w:pPr>
        <w:spacing w:before="0" w:beforeLines="0" w:after="157" w:afterLines="50"/>
        <w:rPr>
          <w:rFonts w:hint="default" w:eastAsiaTheme="minorEastAsia"/>
          <w:b/>
          <w:bCs/>
          <w:iCs w:val="0"/>
          <w:lang w:val="en-US" w:eastAsia="zh-CN"/>
        </w:rPr>
      </w:pPr>
      <w:r>
        <w:rPr>
          <w:rFonts w:hint="default" w:eastAsiaTheme="minorEastAsia"/>
          <w:b/>
          <w:bCs/>
          <w:iCs w:val="0"/>
          <w:lang w:val="en-US" w:eastAsia="zh-CN"/>
        </w:rPr>
        <w:t xml:space="preserve">Proposal </w:t>
      </w:r>
      <w:r>
        <w:rPr>
          <w:rFonts w:hint="eastAsia" w:eastAsiaTheme="minorEastAsia"/>
          <w:b/>
          <w:bCs/>
          <w:iCs w:val="0"/>
          <w:lang w:val="en-US" w:eastAsia="zh-CN"/>
        </w:rPr>
        <w:t>2</w:t>
      </w:r>
      <w:r>
        <w:rPr>
          <w:rFonts w:hint="default" w:eastAsiaTheme="minorEastAsia"/>
          <w:b/>
          <w:bCs/>
          <w:iCs w:val="0"/>
          <w:lang w:val="en-US" w:eastAsia="zh-CN"/>
        </w:rPr>
        <w:t>: For measurement event prediction, RAN4 should at least consider</w:t>
      </w:r>
      <w:r>
        <w:rPr>
          <w:rFonts w:hint="eastAsia" w:eastAsiaTheme="minorEastAsia"/>
          <w:b/>
          <w:bCs/>
          <w:iCs w:val="0"/>
          <w:lang w:val="en-US" w:eastAsia="zh-CN"/>
        </w:rPr>
        <w:t xml:space="preserve"> </w:t>
      </w:r>
      <w:r>
        <w:rPr>
          <w:rFonts w:hint="default" w:eastAsiaTheme="minorEastAsia"/>
          <w:b/>
          <w:bCs/>
          <w:iCs w:val="0"/>
          <w:lang w:val="en-US" w:eastAsia="zh-CN"/>
        </w:rPr>
        <w:t>scenarios</w:t>
      </w:r>
      <w:r>
        <w:rPr>
          <w:rFonts w:hint="eastAsia" w:eastAsiaTheme="minorEastAsia"/>
          <w:b/>
          <w:bCs/>
          <w:iCs w:val="0"/>
          <w:lang w:val="en-US" w:eastAsia="zh-CN"/>
        </w:rPr>
        <w:t xml:space="preserve"> </w:t>
      </w:r>
      <w:r>
        <w:rPr>
          <w:rFonts w:hint="default" w:eastAsiaTheme="minorEastAsia"/>
          <w:b/>
          <w:bCs/>
          <w:iCs w:val="0"/>
          <w:lang w:val="en-US" w:eastAsia="zh-CN"/>
        </w:rPr>
        <w:t>2</w:t>
      </w:r>
      <w:r>
        <w:rPr>
          <w:rFonts w:hint="eastAsia" w:eastAsiaTheme="minorEastAsia"/>
          <w:b/>
          <w:bCs/>
          <w:iCs w:val="0"/>
          <w:lang w:val="en-US" w:eastAsia="zh-CN"/>
        </w:rPr>
        <w:t>(FR1 to FR1 intra-frequency temporal domain caseB)</w:t>
      </w:r>
      <w:r>
        <w:rPr>
          <w:rFonts w:hint="default" w:eastAsiaTheme="minorEastAsia"/>
          <w:b/>
          <w:bCs/>
          <w:iCs w:val="0"/>
          <w:lang w:val="en-US" w:eastAsia="zh-CN"/>
        </w:rPr>
        <w:t>, scenario 3</w:t>
      </w:r>
      <w:r>
        <w:rPr>
          <w:rFonts w:hint="eastAsia" w:eastAsiaTheme="minorEastAsia"/>
          <w:b/>
          <w:bCs/>
          <w:iCs w:val="0"/>
          <w:lang w:val="en-US" w:eastAsia="zh-CN"/>
        </w:rPr>
        <w:t xml:space="preserve"> </w:t>
      </w:r>
      <w:r>
        <w:rPr>
          <w:rFonts w:hint="default" w:eastAsiaTheme="minorEastAsia"/>
          <w:b/>
          <w:bCs/>
          <w:iCs w:val="0"/>
          <w:lang w:val="en-US" w:eastAsia="zh-CN"/>
        </w:rPr>
        <w:t>(FR1 to FR1 inter-frequency (frequency domain)), and scenario 4</w:t>
      </w:r>
      <w:r>
        <w:rPr>
          <w:rFonts w:hint="eastAsia" w:eastAsiaTheme="minorEastAsia"/>
          <w:b/>
          <w:bCs/>
          <w:iCs w:val="0"/>
          <w:lang w:val="en-US" w:eastAsia="zh-CN"/>
        </w:rPr>
        <w:t xml:space="preserve"> </w:t>
      </w:r>
      <w:r>
        <w:rPr>
          <w:rFonts w:hint="default" w:eastAsiaTheme="minorEastAsia"/>
          <w:b/>
          <w:bCs/>
          <w:iCs w:val="0"/>
          <w:lang w:val="en-US" w:eastAsia="zh-CN"/>
        </w:rPr>
        <w:t>(FR2 to FR2 intra-frequency temporal domain case A).</w:t>
      </w:r>
    </w:p>
    <w:p>
      <w:pPr>
        <w:spacing w:beforeLines="0" w:after="157" w:afterLines="50"/>
        <w:rPr>
          <w:rFonts w:hint="eastAsia" w:eastAsiaTheme="minorEastAsia"/>
          <w:b/>
          <w:bCs/>
          <w:lang w:val="en-US" w:eastAsia="zh-CN"/>
        </w:rPr>
      </w:pPr>
      <w:r>
        <w:rPr>
          <w:rFonts w:hint="eastAsia" w:eastAsiaTheme="minorEastAsia"/>
          <w:b/>
          <w:bCs/>
          <w:lang w:val="en-US" w:eastAsia="zh-CN"/>
        </w:rPr>
        <w:t>Proposal 3: For indirect case, if the report includes the predicted RSRPs, RAN4 should define requirements for the predicted RSRPs and the requirements for measurement prediction can be used as baseline.</w:t>
      </w:r>
    </w:p>
    <w:p>
      <w:pPr>
        <w:spacing w:beforeLines="0" w:after="157" w:afterLines="50"/>
        <w:rPr>
          <w:rFonts w:hint="default" w:eastAsiaTheme="minorEastAsia"/>
          <w:b/>
          <w:bCs/>
          <w:lang w:val="en-US" w:eastAsia="zh-CN"/>
        </w:rPr>
      </w:pPr>
      <w:r>
        <w:rPr>
          <w:rFonts w:hint="eastAsia" w:eastAsiaTheme="minorEastAsia"/>
          <w:b/>
          <w:bCs/>
          <w:lang w:val="en-US" w:eastAsia="zh-CN"/>
        </w:rPr>
        <w:t>Proposal 4: RAN4 should consider whether and how to define prediction accuracy for event prediction use case based on RAN2</w:t>
      </w:r>
      <w:r>
        <w:rPr>
          <w:rFonts w:hint="default" w:eastAsiaTheme="minorEastAsia"/>
          <w:b/>
          <w:bCs/>
          <w:lang w:val="en-US" w:eastAsia="zh-CN"/>
        </w:rPr>
        <w:t>’</w:t>
      </w:r>
      <w:r>
        <w:rPr>
          <w:rFonts w:hint="eastAsia" w:eastAsiaTheme="minorEastAsia"/>
          <w:b/>
          <w:bCs/>
          <w:lang w:val="en-US" w:eastAsia="zh-CN"/>
        </w:rPr>
        <w:t>s progress.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9"/>
        </w:numPr>
        <w:ind w:left="0" w:leftChars="0" w:firstLine="0" w:firstLineChars="0"/>
        <w:rPr>
          <w:rFonts w:hint="eastAsia"/>
          <w:lang w:val="en-US" w:eastAsia="zh-CN"/>
        </w:rPr>
      </w:pPr>
      <w:bookmarkStart w:id="1" w:name="_Ref101451885"/>
      <w:r>
        <w:rPr>
          <w:rFonts w:hint="eastAsia"/>
          <w:lang w:val="en-US" w:eastAsia="zh-CN"/>
        </w:rPr>
        <w:t xml:space="preserve">RP-242393, Revised SID on AIML for mobility in NR , </w:t>
      </w:r>
      <w:bookmarkEnd w:id="1"/>
      <w:r>
        <w:rPr>
          <w:rFonts w:hint="eastAsia"/>
          <w:lang w:val="en-US" w:eastAsia="zh-CN"/>
        </w:rPr>
        <w:t>OPPO (rapporteur)</w:t>
      </w:r>
    </w:p>
    <w:p>
      <w:pPr>
        <w:pStyle w:val="9"/>
        <w:numPr>
          <w:ilvl w:val="0"/>
          <w:numId w:val="9"/>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"ftp://10.10.10.10/ftp/tsg_ran/WG4_Radio/TSGR4_113/Inbox/R4-2420095.zip" </w:instrText>
      </w:r>
      <w:r>
        <w:rPr>
          <w:rFonts w:hint="eastAsia"/>
          <w:lang w:val="en-US" w:eastAsia="zh-CN"/>
        </w:rPr>
        <w:fldChar w:fldCharType="separate"/>
      </w:r>
      <w:r>
        <w:rPr>
          <w:rFonts w:hint="eastAsia"/>
          <w:lang w:val="en-US" w:eastAsia="zh-CN"/>
        </w:rPr>
        <w:t>R4-2</w:t>
      </w:r>
      <w:r>
        <w:rPr>
          <w:rFonts w:hint="eastAsia"/>
          <w:lang w:val="en-US" w:eastAsia="zh-CN"/>
        </w:rPr>
        <w:fldChar w:fldCharType="end"/>
      </w:r>
      <w:r>
        <w:rPr>
          <w:rFonts w:hint="eastAsia"/>
          <w:lang w:val="en-US" w:eastAsia="zh-CN"/>
        </w:rPr>
        <w:t>504901, WF on RRM requirements for FS_NR_AIML_Mob, Nokia</w:t>
      </w:r>
    </w:p>
    <w:p>
      <w:pPr>
        <w:pStyle w:val="9"/>
        <w:numPr>
          <w:ilvl w:val="0"/>
          <w:numId w:val="0"/>
        </w:numPr>
        <w:ind w:leftChars="0"/>
        <w:rPr>
          <w:rFonts w:hint="default"/>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FC92F729"/>
    <w:multiLevelType w:val="singleLevel"/>
    <w:tmpl w:val="FC92F729"/>
    <w:lvl w:ilvl="0" w:tentative="0">
      <w:start w:val="1"/>
      <w:numFmt w:val="bullet"/>
      <w:lvlText w:val=""/>
      <w:lvlJc w:val="left"/>
      <w:pPr>
        <w:ind w:left="420" w:leftChars="0" w:hanging="420" w:firstLineChars="0"/>
      </w:pPr>
      <w:rPr>
        <w:rFonts w:hint="default" w:ascii="Wingdings" w:hAnsi="Wingdings"/>
      </w:rPr>
    </w:lvl>
  </w:abstractNum>
  <w:abstractNum w:abstractNumId="2">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89B1A54"/>
    <w:multiLevelType w:val="multilevel"/>
    <w:tmpl w:val="189B1A54"/>
    <w:lvl w:ilvl="0" w:tentative="0">
      <w:start w:val="1"/>
      <w:numFmt w:val="bullet"/>
      <w:lvlText w:val="-"/>
      <w:lvlJc w:val="left"/>
      <w:pPr>
        <w:ind w:left="840" w:hanging="420"/>
      </w:pPr>
      <w:rPr>
        <w:rFonts w:hint="default" w:ascii="Times New Roman" w:hAnsi="Times New Roman" w:eastAsia="MS Mincho" w:cs="Times New Roman"/>
      </w:rPr>
    </w:lvl>
    <w:lvl w:ilvl="1" w:tentative="0">
      <w:start w:val="1"/>
      <w:numFmt w:val="bullet"/>
      <w:lvlText w:val="o"/>
      <w:lvlJc w:val="left"/>
      <w:pPr>
        <w:ind w:left="1260" w:hanging="420"/>
      </w:pPr>
      <w:rPr>
        <w:rFonts w:hint="default" w:ascii="Courier New" w:hAnsi="Courier New" w:cs="Courier New"/>
      </w:rPr>
    </w:lvl>
    <w:lvl w:ilvl="2" w:tentative="0">
      <w:start w:val="1"/>
      <w:numFmt w:val="bullet"/>
      <w:lvlText w:val="o"/>
      <w:lvlJc w:val="left"/>
      <w:pPr>
        <w:ind w:left="1680" w:hanging="420"/>
      </w:pPr>
      <w:rPr>
        <w:rFonts w:hint="default" w:ascii="Courier New" w:hAnsi="Courier New" w:cs="Courier New"/>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311351AB"/>
    <w:multiLevelType w:val="multilevel"/>
    <w:tmpl w:val="311351A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8">
    <w:nsid w:val="7BA65B5D"/>
    <w:multiLevelType w:val="multilevel"/>
    <w:tmpl w:val="7BA65B5D"/>
    <w:lvl w:ilvl="0" w:tentative="0">
      <w:start w:val="1"/>
      <w:numFmt w:val="bullet"/>
      <w:lvlText w:val="-"/>
      <w:lvlJc w:val="left"/>
      <w:pPr>
        <w:ind w:left="840" w:hanging="420"/>
      </w:pPr>
      <w:rPr>
        <w:rFonts w:hint="default" w:ascii="Times New Roman" w:hAnsi="Times New Roman" w:eastAsia="MS Mincho" w:cs="Times New Roman"/>
      </w:rPr>
    </w:lvl>
    <w:lvl w:ilvl="1" w:tentative="0">
      <w:start w:val="1"/>
      <w:numFmt w:val="bullet"/>
      <w:lvlText w:val="-"/>
      <w:lvlJc w:val="left"/>
      <w:pPr>
        <w:ind w:left="1260" w:hanging="420"/>
      </w:pPr>
      <w:rPr>
        <w:rFonts w:hint="default" w:ascii="Times New Roman" w:hAnsi="Times New Roman" w:eastAsia="MS Mincho"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7"/>
  </w:num>
  <w:num w:numId="2">
    <w:abstractNumId w:val="6"/>
  </w:num>
  <w:num w:numId="3">
    <w:abstractNumId w:val="3"/>
  </w:num>
  <w:num w:numId="4">
    <w:abstractNumId w:val="2"/>
  </w:num>
  <w:num w:numId="5">
    <w:abstractNumId w:val="1"/>
  </w:num>
  <w:num w:numId="6">
    <w:abstractNumId w:val="5"/>
  </w:num>
  <w:num w:numId="7">
    <w:abstractNumId w:val="8"/>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2A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33042"/>
    <w:rsid w:val="019569E2"/>
    <w:rsid w:val="025D44FA"/>
    <w:rsid w:val="028B6A1D"/>
    <w:rsid w:val="028F1C3E"/>
    <w:rsid w:val="033F28BF"/>
    <w:rsid w:val="037D0CB3"/>
    <w:rsid w:val="03D4720A"/>
    <w:rsid w:val="04654053"/>
    <w:rsid w:val="04793516"/>
    <w:rsid w:val="047A3CFF"/>
    <w:rsid w:val="05317828"/>
    <w:rsid w:val="05477E90"/>
    <w:rsid w:val="055C4C39"/>
    <w:rsid w:val="055F2E7A"/>
    <w:rsid w:val="05BB5AB9"/>
    <w:rsid w:val="05C42923"/>
    <w:rsid w:val="06226EA6"/>
    <w:rsid w:val="06963BA6"/>
    <w:rsid w:val="06FC2F86"/>
    <w:rsid w:val="07CD3CDD"/>
    <w:rsid w:val="081972B7"/>
    <w:rsid w:val="083E6EA0"/>
    <w:rsid w:val="0855671D"/>
    <w:rsid w:val="089009EB"/>
    <w:rsid w:val="08A96B22"/>
    <w:rsid w:val="08EA2407"/>
    <w:rsid w:val="08FE26E3"/>
    <w:rsid w:val="09523F3D"/>
    <w:rsid w:val="09716BCA"/>
    <w:rsid w:val="09CF30F8"/>
    <w:rsid w:val="09D64B23"/>
    <w:rsid w:val="09E644B8"/>
    <w:rsid w:val="0A867423"/>
    <w:rsid w:val="0AB155C2"/>
    <w:rsid w:val="0B12013A"/>
    <w:rsid w:val="0B3D3C2F"/>
    <w:rsid w:val="0BA33F49"/>
    <w:rsid w:val="0BB03B50"/>
    <w:rsid w:val="0BB0429A"/>
    <w:rsid w:val="0BDD6CEC"/>
    <w:rsid w:val="0BEB16C0"/>
    <w:rsid w:val="0BFF5FC6"/>
    <w:rsid w:val="0C394019"/>
    <w:rsid w:val="0CC642C6"/>
    <w:rsid w:val="0CD05342"/>
    <w:rsid w:val="0CDB4E5B"/>
    <w:rsid w:val="0CE21AB1"/>
    <w:rsid w:val="0D0C4CC8"/>
    <w:rsid w:val="0D945EB9"/>
    <w:rsid w:val="0DEE745F"/>
    <w:rsid w:val="0E72571D"/>
    <w:rsid w:val="0F320DDE"/>
    <w:rsid w:val="0FAD3D1E"/>
    <w:rsid w:val="0FE108E8"/>
    <w:rsid w:val="0FF23B33"/>
    <w:rsid w:val="102263EF"/>
    <w:rsid w:val="10997F43"/>
    <w:rsid w:val="109B0DCE"/>
    <w:rsid w:val="10BE2C61"/>
    <w:rsid w:val="10DE7BAE"/>
    <w:rsid w:val="11E1392D"/>
    <w:rsid w:val="120774A3"/>
    <w:rsid w:val="12112440"/>
    <w:rsid w:val="125943EC"/>
    <w:rsid w:val="12887761"/>
    <w:rsid w:val="12C80206"/>
    <w:rsid w:val="13532AE8"/>
    <w:rsid w:val="14006D19"/>
    <w:rsid w:val="145F7CF8"/>
    <w:rsid w:val="1481754F"/>
    <w:rsid w:val="148F32AB"/>
    <w:rsid w:val="148F5721"/>
    <w:rsid w:val="14AC57CD"/>
    <w:rsid w:val="14BB5414"/>
    <w:rsid w:val="15ED3E9B"/>
    <w:rsid w:val="164514BE"/>
    <w:rsid w:val="166B2EA9"/>
    <w:rsid w:val="16D4089E"/>
    <w:rsid w:val="16E73296"/>
    <w:rsid w:val="16FB7CA4"/>
    <w:rsid w:val="170F06AA"/>
    <w:rsid w:val="171D4EE1"/>
    <w:rsid w:val="17225508"/>
    <w:rsid w:val="17B07FBC"/>
    <w:rsid w:val="17E206E8"/>
    <w:rsid w:val="180A6E32"/>
    <w:rsid w:val="183F2CD2"/>
    <w:rsid w:val="1856323E"/>
    <w:rsid w:val="18910E95"/>
    <w:rsid w:val="18AF55E3"/>
    <w:rsid w:val="18B077E2"/>
    <w:rsid w:val="18B1519A"/>
    <w:rsid w:val="18CD0507"/>
    <w:rsid w:val="18F36BA5"/>
    <w:rsid w:val="195D7D48"/>
    <w:rsid w:val="19E860DA"/>
    <w:rsid w:val="1A2002D5"/>
    <w:rsid w:val="1A4D6B0A"/>
    <w:rsid w:val="1AD01A1B"/>
    <w:rsid w:val="1B1B23DA"/>
    <w:rsid w:val="1B4D0AE4"/>
    <w:rsid w:val="1B61065A"/>
    <w:rsid w:val="1BBF3927"/>
    <w:rsid w:val="1C177B08"/>
    <w:rsid w:val="1C4B7D4A"/>
    <w:rsid w:val="1C9001C6"/>
    <w:rsid w:val="1C900A6F"/>
    <w:rsid w:val="1CA25780"/>
    <w:rsid w:val="1CA46512"/>
    <w:rsid w:val="1CBA2101"/>
    <w:rsid w:val="1D0573D7"/>
    <w:rsid w:val="1D153DC4"/>
    <w:rsid w:val="1D223E0B"/>
    <w:rsid w:val="1D317C9F"/>
    <w:rsid w:val="1D677336"/>
    <w:rsid w:val="1DB51332"/>
    <w:rsid w:val="1E132F88"/>
    <w:rsid w:val="1E2867E9"/>
    <w:rsid w:val="1E294DD4"/>
    <w:rsid w:val="1E853F6F"/>
    <w:rsid w:val="1E9C7BCC"/>
    <w:rsid w:val="1ECC1E3C"/>
    <w:rsid w:val="1EED3918"/>
    <w:rsid w:val="1F8964CB"/>
    <w:rsid w:val="207F09D0"/>
    <w:rsid w:val="208364FC"/>
    <w:rsid w:val="208953F9"/>
    <w:rsid w:val="2097232D"/>
    <w:rsid w:val="21014C39"/>
    <w:rsid w:val="21244EB1"/>
    <w:rsid w:val="213964D8"/>
    <w:rsid w:val="21595D04"/>
    <w:rsid w:val="219342A7"/>
    <w:rsid w:val="21F13629"/>
    <w:rsid w:val="223236B6"/>
    <w:rsid w:val="2255462C"/>
    <w:rsid w:val="2284103E"/>
    <w:rsid w:val="22F779CA"/>
    <w:rsid w:val="2305377E"/>
    <w:rsid w:val="233B2CEF"/>
    <w:rsid w:val="23901822"/>
    <w:rsid w:val="23A0500A"/>
    <w:rsid w:val="24122135"/>
    <w:rsid w:val="241E5760"/>
    <w:rsid w:val="248562CB"/>
    <w:rsid w:val="24C20CDB"/>
    <w:rsid w:val="24D4257E"/>
    <w:rsid w:val="24E52E58"/>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8C85097"/>
    <w:rsid w:val="28DE781D"/>
    <w:rsid w:val="29642C4B"/>
    <w:rsid w:val="299B7242"/>
    <w:rsid w:val="2A34628C"/>
    <w:rsid w:val="2A724D05"/>
    <w:rsid w:val="2A7E505C"/>
    <w:rsid w:val="2AC85686"/>
    <w:rsid w:val="2AD04B5F"/>
    <w:rsid w:val="2B827A70"/>
    <w:rsid w:val="2BC05B2C"/>
    <w:rsid w:val="2BD319CC"/>
    <w:rsid w:val="2BD617C5"/>
    <w:rsid w:val="2C112837"/>
    <w:rsid w:val="2C5D1885"/>
    <w:rsid w:val="2C974249"/>
    <w:rsid w:val="2C9B1252"/>
    <w:rsid w:val="2C9C2786"/>
    <w:rsid w:val="2C9E7C7C"/>
    <w:rsid w:val="2CC13667"/>
    <w:rsid w:val="2DC615EA"/>
    <w:rsid w:val="2E014790"/>
    <w:rsid w:val="2E6A7558"/>
    <w:rsid w:val="2EE77680"/>
    <w:rsid w:val="2EF850E2"/>
    <w:rsid w:val="2F2F0FC8"/>
    <w:rsid w:val="2F371BBC"/>
    <w:rsid w:val="2F792957"/>
    <w:rsid w:val="2F983574"/>
    <w:rsid w:val="2FA70460"/>
    <w:rsid w:val="301C6BB6"/>
    <w:rsid w:val="30230CE6"/>
    <w:rsid w:val="308B0627"/>
    <w:rsid w:val="30A55BC4"/>
    <w:rsid w:val="30C9008F"/>
    <w:rsid w:val="319708F2"/>
    <w:rsid w:val="31A2530D"/>
    <w:rsid w:val="31A8260E"/>
    <w:rsid w:val="31B14C9E"/>
    <w:rsid w:val="31F5646D"/>
    <w:rsid w:val="31F7164A"/>
    <w:rsid w:val="332B149D"/>
    <w:rsid w:val="335E31CF"/>
    <w:rsid w:val="33C522D7"/>
    <w:rsid w:val="344C156B"/>
    <w:rsid w:val="34807672"/>
    <w:rsid w:val="35B06C6A"/>
    <w:rsid w:val="35C06303"/>
    <w:rsid w:val="366149EB"/>
    <w:rsid w:val="36941AA2"/>
    <w:rsid w:val="36D37423"/>
    <w:rsid w:val="373E4973"/>
    <w:rsid w:val="379D23F9"/>
    <w:rsid w:val="37BB1F70"/>
    <w:rsid w:val="381D4A5A"/>
    <w:rsid w:val="38526B5E"/>
    <w:rsid w:val="396632CE"/>
    <w:rsid w:val="3A16681E"/>
    <w:rsid w:val="3A185287"/>
    <w:rsid w:val="3A1F46B8"/>
    <w:rsid w:val="3A286675"/>
    <w:rsid w:val="3A692CD0"/>
    <w:rsid w:val="3A7F53CD"/>
    <w:rsid w:val="3AAE4AA7"/>
    <w:rsid w:val="3AF23299"/>
    <w:rsid w:val="3B22382B"/>
    <w:rsid w:val="3B270929"/>
    <w:rsid w:val="3B3D5571"/>
    <w:rsid w:val="3B673620"/>
    <w:rsid w:val="3B9A1F29"/>
    <w:rsid w:val="3C186C8B"/>
    <w:rsid w:val="3C6C0684"/>
    <w:rsid w:val="3C6E311D"/>
    <w:rsid w:val="3C761845"/>
    <w:rsid w:val="3CE4646B"/>
    <w:rsid w:val="3CFC1228"/>
    <w:rsid w:val="3D5E7AA8"/>
    <w:rsid w:val="3D6F2596"/>
    <w:rsid w:val="3D946587"/>
    <w:rsid w:val="3ECD719A"/>
    <w:rsid w:val="401C75FF"/>
    <w:rsid w:val="405F175E"/>
    <w:rsid w:val="406E32F1"/>
    <w:rsid w:val="40C765F3"/>
    <w:rsid w:val="40E90626"/>
    <w:rsid w:val="41BD66D4"/>
    <w:rsid w:val="42F869D2"/>
    <w:rsid w:val="43553536"/>
    <w:rsid w:val="43A91E28"/>
    <w:rsid w:val="43BE423F"/>
    <w:rsid w:val="43D83C99"/>
    <w:rsid w:val="44342122"/>
    <w:rsid w:val="44972678"/>
    <w:rsid w:val="44BB1E83"/>
    <w:rsid w:val="451632B9"/>
    <w:rsid w:val="45803DEB"/>
    <w:rsid w:val="45906394"/>
    <w:rsid w:val="459B47D9"/>
    <w:rsid w:val="45B40F92"/>
    <w:rsid w:val="45F60A50"/>
    <w:rsid w:val="46142D0C"/>
    <w:rsid w:val="46192BBC"/>
    <w:rsid w:val="46263A53"/>
    <w:rsid w:val="46970A81"/>
    <w:rsid w:val="46B036BF"/>
    <w:rsid w:val="46CC320F"/>
    <w:rsid w:val="46F633A5"/>
    <w:rsid w:val="47282363"/>
    <w:rsid w:val="47590C4D"/>
    <w:rsid w:val="47724D80"/>
    <w:rsid w:val="47810C98"/>
    <w:rsid w:val="47907C4F"/>
    <w:rsid w:val="47924F0A"/>
    <w:rsid w:val="480571D7"/>
    <w:rsid w:val="485109B8"/>
    <w:rsid w:val="486275F8"/>
    <w:rsid w:val="4896657D"/>
    <w:rsid w:val="48F407FD"/>
    <w:rsid w:val="4921106B"/>
    <w:rsid w:val="492F5C5D"/>
    <w:rsid w:val="496838F6"/>
    <w:rsid w:val="49DC4EAC"/>
    <w:rsid w:val="49E20A12"/>
    <w:rsid w:val="49E55BC5"/>
    <w:rsid w:val="4A05012B"/>
    <w:rsid w:val="4A290E2D"/>
    <w:rsid w:val="4A5D0BB5"/>
    <w:rsid w:val="4AE37AB9"/>
    <w:rsid w:val="4B600E77"/>
    <w:rsid w:val="4B8F684D"/>
    <w:rsid w:val="4BF02011"/>
    <w:rsid w:val="4C1C63D6"/>
    <w:rsid w:val="4C2D52ED"/>
    <w:rsid w:val="4C860169"/>
    <w:rsid w:val="4C8637A6"/>
    <w:rsid w:val="4C864A35"/>
    <w:rsid w:val="4D207A05"/>
    <w:rsid w:val="4D521CE7"/>
    <w:rsid w:val="4D53283E"/>
    <w:rsid w:val="4D9D5EF9"/>
    <w:rsid w:val="4E015C76"/>
    <w:rsid w:val="4E310026"/>
    <w:rsid w:val="4E4A2325"/>
    <w:rsid w:val="4ED42F55"/>
    <w:rsid w:val="4EFF121C"/>
    <w:rsid w:val="4F47179A"/>
    <w:rsid w:val="4FC7362A"/>
    <w:rsid w:val="501941E2"/>
    <w:rsid w:val="501A6C55"/>
    <w:rsid w:val="501F4AA3"/>
    <w:rsid w:val="506F53F0"/>
    <w:rsid w:val="50FF2EDD"/>
    <w:rsid w:val="515B1740"/>
    <w:rsid w:val="51A3627A"/>
    <w:rsid w:val="51B14BED"/>
    <w:rsid w:val="51E51984"/>
    <w:rsid w:val="52526454"/>
    <w:rsid w:val="525C1CEF"/>
    <w:rsid w:val="528B5767"/>
    <w:rsid w:val="52D33625"/>
    <w:rsid w:val="52D962FB"/>
    <w:rsid w:val="530D0D17"/>
    <w:rsid w:val="53A3105E"/>
    <w:rsid w:val="53C64B93"/>
    <w:rsid w:val="548A6C60"/>
    <w:rsid w:val="550D11E2"/>
    <w:rsid w:val="5568752D"/>
    <w:rsid w:val="55B1164D"/>
    <w:rsid w:val="55B40974"/>
    <w:rsid w:val="55B4735E"/>
    <w:rsid w:val="55B55408"/>
    <w:rsid w:val="55B764F7"/>
    <w:rsid w:val="55BB221D"/>
    <w:rsid w:val="56371459"/>
    <w:rsid w:val="5637179B"/>
    <w:rsid w:val="56482D7E"/>
    <w:rsid w:val="56484633"/>
    <w:rsid w:val="56BC50AE"/>
    <w:rsid w:val="56ED38C9"/>
    <w:rsid w:val="57B55DAB"/>
    <w:rsid w:val="57FF4799"/>
    <w:rsid w:val="581F2185"/>
    <w:rsid w:val="58493723"/>
    <w:rsid w:val="58C17300"/>
    <w:rsid w:val="58D0053D"/>
    <w:rsid w:val="594444F3"/>
    <w:rsid w:val="595A2A3C"/>
    <w:rsid w:val="598C40A0"/>
    <w:rsid w:val="598E25F2"/>
    <w:rsid w:val="59DA647E"/>
    <w:rsid w:val="5A556E1A"/>
    <w:rsid w:val="5AB13CD8"/>
    <w:rsid w:val="5B0E7A56"/>
    <w:rsid w:val="5BE85354"/>
    <w:rsid w:val="5BF92FF2"/>
    <w:rsid w:val="5C471E62"/>
    <w:rsid w:val="5C695A33"/>
    <w:rsid w:val="5C8432AF"/>
    <w:rsid w:val="5C924E81"/>
    <w:rsid w:val="5D140B48"/>
    <w:rsid w:val="5D194186"/>
    <w:rsid w:val="5D404A5F"/>
    <w:rsid w:val="5D8F4C98"/>
    <w:rsid w:val="5DE12D83"/>
    <w:rsid w:val="5DEA003F"/>
    <w:rsid w:val="5E0D3306"/>
    <w:rsid w:val="5E2864D0"/>
    <w:rsid w:val="5E494511"/>
    <w:rsid w:val="5EB44FC0"/>
    <w:rsid w:val="5F554693"/>
    <w:rsid w:val="5F677568"/>
    <w:rsid w:val="5FBA395F"/>
    <w:rsid w:val="60094E5C"/>
    <w:rsid w:val="606F38F4"/>
    <w:rsid w:val="60A633A3"/>
    <w:rsid w:val="60CB1A8B"/>
    <w:rsid w:val="60EC2CBA"/>
    <w:rsid w:val="61955A2F"/>
    <w:rsid w:val="619931C4"/>
    <w:rsid w:val="61CC2D28"/>
    <w:rsid w:val="63143D77"/>
    <w:rsid w:val="635902CD"/>
    <w:rsid w:val="63DA1C8E"/>
    <w:rsid w:val="63EC3B7F"/>
    <w:rsid w:val="64706BBE"/>
    <w:rsid w:val="64D91611"/>
    <w:rsid w:val="64F03EAD"/>
    <w:rsid w:val="64F2095B"/>
    <w:rsid w:val="652B262D"/>
    <w:rsid w:val="658A3829"/>
    <w:rsid w:val="65A11F4C"/>
    <w:rsid w:val="65A16A49"/>
    <w:rsid w:val="672040F7"/>
    <w:rsid w:val="67A858DB"/>
    <w:rsid w:val="67FE4166"/>
    <w:rsid w:val="68070F5D"/>
    <w:rsid w:val="682048A9"/>
    <w:rsid w:val="68425CDE"/>
    <w:rsid w:val="68807533"/>
    <w:rsid w:val="68C401C3"/>
    <w:rsid w:val="6912549A"/>
    <w:rsid w:val="69A833BD"/>
    <w:rsid w:val="69EF6835"/>
    <w:rsid w:val="6B877BD0"/>
    <w:rsid w:val="6BAA6221"/>
    <w:rsid w:val="6BAB7FC7"/>
    <w:rsid w:val="6BB457E7"/>
    <w:rsid w:val="6CEF4498"/>
    <w:rsid w:val="6D301A35"/>
    <w:rsid w:val="6D566F0F"/>
    <w:rsid w:val="6D836F72"/>
    <w:rsid w:val="6D98035A"/>
    <w:rsid w:val="6DBB5F10"/>
    <w:rsid w:val="6DDE3DAF"/>
    <w:rsid w:val="6DE731FD"/>
    <w:rsid w:val="6E3241BE"/>
    <w:rsid w:val="6E774C75"/>
    <w:rsid w:val="6EB97A9D"/>
    <w:rsid w:val="6EE97682"/>
    <w:rsid w:val="6EF10A90"/>
    <w:rsid w:val="6EFC7DED"/>
    <w:rsid w:val="6F2171DB"/>
    <w:rsid w:val="6F2A7FBF"/>
    <w:rsid w:val="6FFF1868"/>
    <w:rsid w:val="7007017A"/>
    <w:rsid w:val="702C760F"/>
    <w:rsid w:val="71127F1A"/>
    <w:rsid w:val="715F4C2D"/>
    <w:rsid w:val="71920E5A"/>
    <w:rsid w:val="719578EB"/>
    <w:rsid w:val="71A47BB8"/>
    <w:rsid w:val="71B31077"/>
    <w:rsid w:val="71BE2379"/>
    <w:rsid w:val="71D07E88"/>
    <w:rsid w:val="722114F3"/>
    <w:rsid w:val="722F78FB"/>
    <w:rsid w:val="723C2F8E"/>
    <w:rsid w:val="723D67C5"/>
    <w:rsid w:val="726A5F44"/>
    <w:rsid w:val="72BD4D32"/>
    <w:rsid w:val="72BF60CA"/>
    <w:rsid w:val="72F41282"/>
    <w:rsid w:val="73085B32"/>
    <w:rsid w:val="733D0D32"/>
    <w:rsid w:val="73784923"/>
    <w:rsid w:val="73B76769"/>
    <w:rsid w:val="73D411F1"/>
    <w:rsid w:val="73D9424B"/>
    <w:rsid w:val="74A356B2"/>
    <w:rsid w:val="74CE77D0"/>
    <w:rsid w:val="74E16B09"/>
    <w:rsid w:val="753811DE"/>
    <w:rsid w:val="75626EA8"/>
    <w:rsid w:val="759A0161"/>
    <w:rsid w:val="759E4D19"/>
    <w:rsid w:val="75BE67D4"/>
    <w:rsid w:val="75C2004C"/>
    <w:rsid w:val="75C759C1"/>
    <w:rsid w:val="76263B40"/>
    <w:rsid w:val="76281B03"/>
    <w:rsid w:val="762D64F3"/>
    <w:rsid w:val="762E20AD"/>
    <w:rsid w:val="764219EA"/>
    <w:rsid w:val="767E7EFF"/>
    <w:rsid w:val="775B4604"/>
    <w:rsid w:val="77C067C3"/>
    <w:rsid w:val="78074939"/>
    <w:rsid w:val="787D6B02"/>
    <w:rsid w:val="78911E31"/>
    <w:rsid w:val="78F9732D"/>
    <w:rsid w:val="7922350F"/>
    <w:rsid w:val="792B5470"/>
    <w:rsid w:val="79614DB5"/>
    <w:rsid w:val="796B3C3F"/>
    <w:rsid w:val="79A66350"/>
    <w:rsid w:val="7A8F711B"/>
    <w:rsid w:val="7A9367CB"/>
    <w:rsid w:val="7AAE3BAD"/>
    <w:rsid w:val="7AF22571"/>
    <w:rsid w:val="7B0720CF"/>
    <w:rsid w:val="7B3235F6"/>
    <w:rsid w:val="7B4C0E47"/>
    <w:rsid w:val="7B69224B"/>
    <w:rsid w:val="7BE80F25"/>
    <w:rsid w:val="7C1C35A7"/>
    <w:rsid w:val="7C45431D"/>
    <w:rsid w:val="7C6B73A1"/>
    <w:rsid w:val="7CEB2E8D"/>
    <w:rsid w:val="7CEF4E07"/>
    <w:rsid w:val="7D25352B"/>
    <w:rsid w:val="7D3219D5"/>
    <w:rsid w:val="7D4C1B15"/>
    <w:rsid w:val="7DDD0501"/>
    <w:rsid w:val="7DE51372"/>
    <w:rsid w:val="7E5E590F"/>
    <w:rsid w:val="7E5F30E1"/>
    <w:rsid w:val="7E935AFB"/>
    <w:rsid w:val="7EBE50B4"/>
    <w:rsid w:val="7ECF53BF"/>
    <w:rsid w:val="7F014E9E"/>
    <w:rsid w:val="7F30763D"/>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basedOn w:val="18"/>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Doc-text2"/>
    <w:basedOn w:val="1"/>
    <w:qFormat/>
    <w:uiPriority w:val="0"/>
    <w:pPr>
      <w:tabs>
        <w:tab w:val="left" w:pos="1622"/>
      </w:tabs>
      <w:ind w:left="1622" w:hanging="363"/>
    </w:pPr>
  </w:style>
  <w:style w:type="paragraph" w:customStyle="1" w:styleId="58">
    <w:name w:val="Doc-comment"/>
    <w:basedOn w:val="1"/>
    <w:next w:val="57"/>
    <w:qFormat/>
    <w:uiPriority w:val="0"/>
    <w:pPr>
      <w:tabs>
        <w:tab w:val="left" w:pos="1622"/>
      </w:tabs>
      <w:ind w:left="1622" w:hanging="363"/>
    </w:pPr>
    <w:rPr>
      <w:i/>
    </w:rPr>
  </w:style>
  <w:style w:type="paragraph" w:customStyle="1" w:styleId="59">
    <w:name w:val="3GPP Normal Text"/>
    <w:basedOn w:val="4"/>
    <w:qFormat/>
    <w:uiPriority w:val="0"/>
    <w:pPr>
      <w:spacing w:after="120"/>
      <w:ind w:left="1440" w:hanging="1440"/>
      <w:jc w:val="both"/>
    </w:pPr>
    <w:rPr>
      <w:rFonts w:eastAsia="MS Mincho"/>
      <w:sz w:val="22"/>
      <w:szCs w:val="24"/>
      <w:lang w:val="zh-CN"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13</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2025-05-09T08:01:57Z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FB6A3203FB064BD397385FB8A0673D3A</vt:lpwstr>
  </property>
</Properties>
</file>