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79B4D">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#115</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R4-2505619</w:t>
      </w:r>
      <w:bookmarkStart w:id="17" w:name="_GoBack"/>
      <w:bookmarkEnd w:id="17"/>
    </w:p>
    <w:p w14:paraId="778F508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57C59128">
      <w:pPr>
        <w:rPr>
          <w:rFonts w:ascii="Arial" w:hAnsi="Arial" w:cs="Arial"/>
          <w:b/>
          <w:bCs/>
          <w:sz w:val="24"/>
          <w:szCs w:val="28"/>
        </w:rPr>
      </w:pPr>
    </w:p>
    <w:p w14:paraId="39DA5E39">
      <w:pPr>
        <w:tabs>
          <w:tab w:val="left" w:pos="1980"/>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2</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System parameters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In this contribution, we discuss the system parameters for A-IOT.</w:t>
      </w:r>
    </w:p>
    <w:bookmarkEnd w:id="3"/>
    <w:p w14:paraId="0240A8D9">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35D378B5">
      <w:pPr>
        <w:spacing w:before="156" w:beforeLines="50"/>
      </w:pPr>
      <w:r>
        <w:rPr>
          <w:rFonts w:hint="eastAsia" w:ascii="Times New Roman" w:hAnsi="Times New Roman"/>
          <w:bCs/>
          <w:sz w:val="20"/>
          <w:szCs w:val="20"/>
        </w:rPr>
        <w:t xml:space="preserve">The conclusion on system </w:t>
      </w:r>
      <w:r>
        <w:rPr>
          <w:rFonts w:ascii="Times New Roman" w:hAnsi="Times New Roman"/>
          <w:bCs/>
          <w:sz w:val="20"/>
          <w:szCs w:val="20"/>
        </w:rPr>
        <w:t>parameters</w:t>
      </w:r>
      <w:r>
        <w:rPr>
          <w:rFonts w:hint="eastAsia" w:ascii="Times New Roman" w:hAnsi="Times New Roman"/>
          <w:bCs/>
          <w:sz w:val="20"/>
          <w:szCs w:val="20"/>
        </w:rPr>
        <w:t xml:space="preserve"> in study item are captured in following table.</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0"/>
        <w:gridCol w:w="2822"/>
        <w:gridCol w:w="1951"/>
        <w:gridCol w:w="1951"/>
      </w:tblGrid>
      <w:tr w14:paraId="5AE9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vMerge w:val="restart"/>
            <w:vAlign w:val="center"/>
          </w:tcPr>
          <w:p w14:paraId="69D804F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b/>
                <w:bCs/>
                <w:kern w:val="0"/>
                <w:sz w:val="20"/>
                <w:szCs w:val="20"/>
                <w:lang w:val="en-GB" w:eastAsia="en-US"/>
              </w:rPr>
              <w:t>S</w:t>
            </w:r>
            <w:r>
              <w:rPr>
                <w:rFonts w:hint="eastAsia" w:ascii="Times New Roman" w:hAnsi="Times New Roman" w:eastAsia="Yu Mincho"/>
                <w:b/>
                <w:bCs/>
                <w:kern w:val="0"/>
                <w:sz w:val="20"/>
                <w:szCs w:val="20"/>
                <w:lang w:val="en-GB" w:eastAsia="en-US"/>
              </w:rPr>
              <w:t>ystem parameter for A</w:t>
            </w:r>
            <w:r>
              <w:rPr>
                <w:rFonts w:ascii="Times New Roman" w:hAnsi="Times New Roman" w:eastAsia="Yu Mincho"/>
                <w:b/>
                <w:bCs/>
                <w:kern w:val="0"/>
                <w:sz w:val="20"/>
                <w:szCs w:val="20"/>
                <w:lang w:val="en-GB" w:eastAsia="en-US"/>
              </w:rPr>
              <w:t>-</w:t>
            </w:r>
            <w:r>
              <w:rPr>
                <w:rFonts w:hint="eastAsia" w:ascii="Times New Roman" w:hAnsi="Times New Roman" w:eastAsia="Yu Mincho"/>
                <w:b/>
                <w:bCs/>
                <w:kern w:val="0"/>
                <w:sz w:val="20"/>
                <w:szCs w:val="20"/>
                <w:lang w:val="en-GB" w:eastAsia="en-US"/>
              </w:rPr>
              <w:t>IoT</w:t>
            </w:r>
          </w:p>
        </w:tc>
        <w:tc>
          <w:tcPr>
            <w:tcW w:w="6724" w:type="dxa"/>
            <w:gridSpan w:val="3"/>
          </w:tcPr>
          <w:p w14:paraId="1F42A610">
            <w:pPr>
              <w:widowControl/>
              <w:overflowPunct w:val="0"/>
              <w:autoSpaceDE w:val="0"/>
              <w:autoSpaceDN w:val="0"/>
              <w:adjustRightInd w:val="0"/>
              <w:spacing w:after="180" w:line="259" w:lineRule="auto"/>
              <w:jc w:val="left"/>
              <w:textAlignment w:val="baseline"/>
              <w:rPr>
                <w:rFonts w:ascii="Times New Roman" w:hAnsi="Times New Roman" w:eastAsia="Yu Mincho"/>
                <w:b/>
                <w:bCs/>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1FFC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vMerge w:val="continue"/>
          </w:tcPr>
          <w:p w14:paraId="473D92C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2822" w:type="dxa"/>
          </w:tcPr>
          <w:p w14:paraId="2034C352">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A</w:t>
            </w:r>
            <w:r>
              <w:rPr>
                <w:rFonts w:ascii="Times New Roman" w:hAnsi="Times New Roman" w:eastAsia="等线"/>
                <w:kern w:val="0"/>
                <w:sz w:val="18"/>
                <w:szCs w:val="18"/>
                <w:lang w:val="en-GB" w:eastAsia="en-GB"/>
              </w:rPr>
              <w:t>-IoT BS</w:t>
            </w:r>
          </w:p>
        </w:tc>
        <w:tc>
          <w:tcPr>
            <w:tcW w:w="1951" w:type="dxa"/>
          </w:tcPr>
          <w:p w14:paraId="2335F144">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A</w:t>
            </w:r>
            <w:r>
              <w:rPr>
                <w:rFonts w:ascii="Times New Roman" w:hAnsi="Times New Roman" w:eastAsia="等线"/>
                <w:kern w:val="0"/>
                <w:sz w:val="18"/>
                <w:szCs w:val="18"/>
                <w:lang w:val="en-GB" w:eastAsia="en-GB"/>
              </w:rPr>
              <w:t>-</w:t>
            </w:r>
            <w:r>
              <w:rPr>
                <w:rFonts w:hint="eastAsia" w:ascii="Times New Roman" w:hAnsi="Times New Roman" w:eastAsia="等线"/>
                <w:kern w:val="0"/>
                <w:sz w:val="18"/>
                <w:szCs w:val="18"/>
                <w:lang w:val="en-GB" w:eastAsia="en-GB"/>
              </w:rPr>
              <w:t>IoT</w:t>
            </w:r>
            <w:r>
              <w:rPr>
                <w:rFonts w:ascii="Times New Roman" w:hAnsi="Times New Roman" w:eastAsia="等线"/>
                <w:kern w:val="0"/>
                <w:sz w:val="18"/>
                <w:szCs w:val="18"/>
                <w:lang w:val="en-GB" w:eastAsia="en-GB"/>
              </w:rPr>
              <w:t xml:space="preserve"> </w:t>
            </w:r>
            <w:r>
              <w:rPr>
                <w:rFonts w:hint="eastAsia" w:ascii="Times New Roman" w:hAnsi="Times New Roman" w:eastAsia="等线"/>
                <w:kern w:val="0"/>
                <w:sz w:val="18"/>
                <w:szCs w:val="18"/>
                <w:lang w:val="en-GB" w:eastAsia="en-GB"/>
              </w:rPr>
              <w:t>d</w:t>
            </w:r>
            <w:r>
              <w:rPr>
                <w:rFonts w:ascii="Times New Roman" w:hAnsi="Times New Roman" w:eastAsia="等线"/>
                <w:kern w:val="0"/>
                <w:sz w:val="18"/>
                <w:szCs w:val="18"/>
                <w:lang w:val="en-GB" w:eastAsia="en-GB"/>
              </w:rPr>
              <w:t>e</w:t>
            </w:r>
            <w:r>
              <w:rPr>
                <w:rFonts w:hint="eastAsia" w:ascii="Times New Roman" w:hAnsi="Times New Roman" w:eastAsia="等线"/>
                <w:kern w:val="0"/>
                <w:sz w:val="18"/>
                <w:szCs w:val="18"/>
                <w:lang w:val="en-GB" w:eastAsia="en-GB"/>
              </w:rPr>
              <w:t>vice</w:t>
            </w:r>
          </w:p>
        </w:tc>
        <w:tc>
          <w:tcPr>
            <w:tcW w:w="1951" w:type="dxa"/>
          </w:tcPr>
          <w:p w14:paraId="6775745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I</w:t>
            </w:r>
            <w:r>
              <w:rPr>
                <w:rFonts w:hint="eastAsia" w:ascii="Times New Roman" w:hAnsi="Times New Roman" w:eastAsia="等线"/>
                <w:kern w:val="0"/>
                <w:sz w:val="18"/>
                <w:szCs w:val="18"/>
                <w:lang w:val="en-GB" w:eastAsia="en-GB"/>
              </w:rPr>
              <w:t>ntermediate</w:t>
            </w:r>
            <w:r>
              <w:rPr>
                <w:rFonts w:ascii="Times New Roman" w:hAnsi="Times New Roman" w:eastAsia="等线"/>
                <w:kern w:val="0"/>
                <w:sz w:val="18"/>
                <w:szCs w:val="18"/>
                <w:lang w:val="en-GB" w:eastAsia="en-GB"/>
              </w:rPr>
              <w:t xml:space="preserve"> </w:t>
            </w:r>
            <w:r>
              <w:rPr>
                <w:rFonts w:hint="eastAsia" w:ascii="Times New Roman" w:hAnsi="Times New Roman" w:eastAsia="等线"/>
                <w:kern w:val="0"/>
                <w:sz w:val="18"/>
                <w:szCs w:val="18"/>
                <w:lang w:val="en-GB" w:eastAsia="en-GB"/>
              </w:rPr>
              <w:t>UE</w:t>
            </w:r>
          </w:p>
        </w:tc>
      </w:tr>
      <w:tr w14:paraId="7AE2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tcPr>
          <w:p w14:paraId="3478BF6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O</w:t>
            </w:r>
            <w:r>
              <w:rPr>
                <w:rFonts w:hint="eastAsia" w:ascii="Times New Roman" w:hAnsi="Times New Roman" w:eastAsia="Yu Mincho"/>
                <w:kern w:val="0"/>
                <w:sz w:val="18"/>
                <w:szCs w:val="18"/>
                <w:lang w:val="en-GB" w:eastAsia="en-US"/>
              </w:rPr>
              <w:t>perating band</w:t>
            </w:r>
          </w:p>
        </w:tc>
        <w:tc>
          <w:tcPr>
            <w:tcW w:w="6724" w:type="dxa"/>
            <w:gridSpan w:val="3"/>
          </w:tcPr>
          <w:p w14:paraId="17538A04">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Y</w:t>
            </w:r>
            <w:r>
              <w:rPr>
                <w:rFonts w:ascii="Times New Roman" w:hAnsi="Times New Roman" w:eastAsia="等线"/>
                <w:kern w:val="0"/>
                <w:sz w:val="18"/>
                <w:szCs w:val="18"/>
                <w:lang w:val="en-GB" w:eastAsia="en-GB"/>
              </w:rPr>
              <w:t>ES</w:t>
            </w:r>
          </w:p>
        </w:tc>
      </w:tr>
      <w:tr w14:paraId="4D33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7" w:type="dxa"/>
            <w:vMerge w:val="restart"/>
            <w:vAlign w:val="center"/>
          </w:tcPr>
          <w:p w14:paraId="603E7EA9">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Channel bandwidth</w:t>
            </w:r>
          </w:p>
        </w:tc>
        <w:tc>
          <w:tcPr>
            <w:tcW w:w="1610" w:type="dxa"/>
          </w:tcPr>
          <w:p w14:paraId="588DFC39">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T</w:t>
            </w:r>
            <w:r>
              <w:rPr>
                <w:rFonts w:hint="eastAsia" w:ascii="Times New Roman" w:hAnsi="Times New Roman" w:eastAsia="Yu Mincho"/>
                <w:kern w:val="0"/>
                <w:sz w:val="18"/>
                <w:szCs w:val="18"/>
                <w:lang w:val="en-GB" w:eastAsia="en-US"/>
              </w:rPr>
              <w:t xml:space="preserve">ransmission bandwidth </w:t>
            </w:r>
          </w:p>
        </w:tc>
        <w:tc>
          <w:tcPr>
            <w:tcW w:w="6724" w:type="dxa"/>
            <w:gridSpan w:val="3"/>
          </w:tcPr>
          <w:p w14:paraId="5A1206F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Y</w:t>
            </w:r>
            <w:r>
              <w:rPr>
                <w:rFonts w:ascii="Times New Roman" w:hAnsi="Times New Roman" w:eastAsia="等线"/>
                <w:kern w:val="0"/>
                <w:sz w:val="18"/>
                <w:szCs w:val="18"/>
                <w:lang w:val="en-GB" w:eastAsia="en-GB"/>
              </w:rPr>
              <w:t xml:space="preserve">ES </w:t>
            </w:r>
          </w:p>
          <w:p w14:paraId="00A175DE">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the value needs be discussed in WI phase depending on other WG conclusion.</w:t>
            </w:r>
          </w:p>
        </w:tc>
      </w:tr>
      <w:tr w14:paraId="3D12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97" w:type="dxa"/>
            <w:vMerge w:val="continue"/>
          </w:tcPr>
          <w:p w14:paraId="49F9FAF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1610" w:type="dxa"/>
          </w:tcPr>
          <w:p w14:paraId="161D9BC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bandwidth</w:t>
            </w:r>
          </w:p>
        </w:tc>
        <w:tc>
          <w:tcPr>
            <w:tcW w:w="6724" w:type="dxa"/>
            <w:gridSpan w:val="3"/>
          </w:tcPr>
          <w:p w14:paraId="08EE67D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YES</w:t>
            </w:r>
          </w:p>
        </w:tc>
      </w:tr>
      <w:tr w14:paraId="1663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7" w:type="dxa"/>
            <w:vMerge w:val="restart"/>
          </w:tcPr>
          <w:p w14:paraId="1C8F03E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arrangement</w:t>
            </w:r>
          </w:p>
        </w:tc>
        <w:tc>
          <w:tcPr>
            <w:tcW w:w="1610" w:type="dxa"/>
          </w:tcPr>
          <w:p w14:paraId="3596497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spacing</w:t>
            </w:r>
          </w:p>
        </w:tc>
        <w:tc>
          <w:tcPr>
            <w:tcW w:w="6724" w:type="dxa"/>
            <w:gridSpan w:val="3"/>
          </w:tcPr>
          <w:p w14:paraId="618DB7DE">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TBD in WI phase for standalone</w:t>
            </w:r>
          </w:p>
          <w:p w14:paraId="14D3A4BB">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N</w:t>
            </w:r>
            <w:r>
              <w:rPr>
                <w:rFonts w:ascii="Times New Roman" w:hAnsi="Times New Roman" w:eastAsia="等线"/>
                <w:kern w:val="0"/>
                <w:sz w:val="18"/>
                <w:szCs w:val="18"/>
                <w:lang w:val="en-GB" w:eastAsia="en-GB"/>
              </w:rPr>
              <w:t>A for in-band/Guard-band</w:t>
            </w:r>
          </w:p>
        </w:tc>
      </w:tr>
      <w:tr w14:paraId="2D96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7" w:type="dxa"/>
            <w:vMerge w:val="continue"/>
          </w:tcPr>
          <w:p w14:paraId="7ACE649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bookmarkStart w:id="4" w:name="_Hlk189646211"/>
          </w:p>
        </w:tc>
        <w:tc>
          <w:tcPr>
            <w:tcW w:w="1610" w:type="dxa"/>
          </w:tcPr>
          <w:p w14:paraId="5AF6E175">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raster</w:t>
            </w:r>
          </w:p>
        </w:tc>
        <w:tc>
          <w:tcPr>
            <w:tcW w:w="2822" w:type="dxa"/>
          </w:tcPr>
          <w:p w14:paraId="4C341A3F">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Yu Mincho"/>
                <w:kern w:val="0"/>
                <w:sz w:val="18"/>
                <w:szCs w:val="18"/>
                <w:highlight w:val="none"/>
                <w:lang w:val="en-GB" w:eastAsia="en-US"/>
              </w:rPr>
              <w:t>IB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SA:YES</w:t>
            </w:r>
          </w:p>
          <w:p w14:paraId="05DFCD70">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highlight w:val="none"/>
                <w:lang w:val="en-GB" w:eastAsia="en-US"/>
              </w:rPr>
            </w:pPr>
            <w:r>
              <w:rPr>
                <w:rFonts w:hint="eastAsia" w:ascii="Times New Roman" w:hAnsi="Times New Roman" w:eastAsia="等线"/>
                <w:kern w:val="0"/>
                <w:sz w:val="18"/>
                <w:szCs w:val="18"/>
                <w:highlight w:val="none"/>
                <w:lang w:val="en-GB" w:eastAsia="en-GB"/>
              </w:rPr>
              <w:t>G</w:t>
            </w:r>
            <w:r>
              <w:rPr>
                <w:rFonts w:ascii="Times New Roman" w:hAnsi="Times New Roman" w:eastAsia="等线"/>
                <w:kern w:val="0"/>
                <w:sz w:val="18"/>
                <w:szCs w:val="18"/>
                <w:highlight w:val="none"/>
                <w:lang w:val="en-GB" w:eastAsia="en-GB"/>
              </w:rPr>
              <w:t>B:TBD</w:t>
            </w:r>
          </w:p>
        </w:tc>
        <w:tc>
          <w:tcPr>
            <w:tcW w:w="1951" w:type="dxa"/>
          </w:tcPr>
          <w:p w14:paraId="75D90066">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hint="eastAsia" w:ascii="Times New Roman" w:hAnsi="Times New Roman" w:eastAsia="等线"/>
                <w:kern w:val="0"/>
                <w:sz w:val="18"/>
                <w:szCs w:val="18"/>
                <w:highlight w:val="none"/>
                <w:lang w:val="en-GB" w:eastAsia="en-GB"/>
              </w:rPr>
              <w:t>G</w:t>
            </w:r>
            <w:r>
              <w:rPr>
                <w:rFonts w:ascii="Times New Roman" w:hAnsi="Times New Roman" w:eastAsia="等线"/>
                <w:kern w:val="0"/>
                <w:sz w:val="18"/>
                <w:szCs w:val="18"/>
                <w:highlight w:val="none"/>
                <w:lang w:val="en-GB" w:eastAsia="en-GB"/>
              </w:rPr>
              <w:t>B:NO</w:t>
            </w:r>
          </w:p>
          <w:p w14:paraId="20F14A88">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hint="eastAsia" w:ascii="Times New Roman" w:hAnsi="Times New Roman" w:eastAsia="等线"/>
                <w:kern w:val="0"/>
                <w:sz w:val="18"/>
                <w:szCs w:val="18"/>
                <w:highlight w:val="none"/>
                <w:lang w:val="en-GB" w:eastAsia="en-GB"/>
              </w:rPr>
              <w:t>I</w:t>
            </w:r>
            <w:r>
              <w:rPr>
                <w:rFonts w:ascii="Times New Roman" w:hAnsi="Times New Roman" w:eastAsia="等线"/>
                <w:kern w:val="0"/>
                <w:sz w:val="18"/>
                <w:szCs w:val="18"/>
                <w:highlight w:val="none"/>
                <w:lang w:val="en-GB" w:eastAsia="en-GB"/>
              </w:rPr>
              <w:t>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SA:TBD</w:t>
            </w:r>
          </w:p>
        </w:tc>
        <w:tc>
          <w:tcPr>
            <w:tcW w:w="1951" w:type="dxa"/>
          </w:tcPr>
          <w:p w14:paraId="63C5187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等线"/>
                <w:kern w:val="0"/>
                <w:sz w:val="18"/>
                <w:szCs w:val="18"/>
                <w:highlight w:val="none"/>
                <w:lang w:val="en-GB" w:eastAsia="en-GB"/>
              </w:rPr>
              <w:t>IB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SA:YES</w:t>
            </w:r>
          </w:p>
          <w:p w14:paraId="1B47D3D7">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等线"/>
                <w:kern w:val="0"/>
                <w:sz w:val="18"/>
                <w:szCs w:val="18"/>
                <w:highlight w:val="none"/>
                <w:lang w:val="en-GB" w:eastAsia="en-GB"/>
              </w:rPr>
              <w:t>GB:TBD</w:t>
            </w:r>
          </w:p>
        </w:tc>
      </w:tr>
      <w:bookmarkEnd w:id="4"/>
      <w:tr w14:paraId="3261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97" w:type="dxa"/>
            <w:vMerge w:val="continue"/>
          </w:tcPr>
          <w:p w14:paraId="03B8F8D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1610" w:type="dxa"/>
          </w:tcPr>
          <w:p w14:paraId="6A2FB08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Synchronization</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raster</w:t>
            </w:r>
          </w:p>
        </w:tc>
        <w:tc>
          <w:tcPr>
            <w:tcW w:w="6724" w:type="dxa"/>
            <w:gridSpan w:val="3"/>
          </w:tcPr>
          <w:p w14:paraId="42939251">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 xml:space="preserve">NO for device 1/2a </w:t>
            </w:r>
          </w:p>
        </w:tc>
      </w:tr>
    </w:tbl>
    <w:p w14:paraId="46869252">
      <w:pPr>
        <w:spacing w:after="180"/>
        <w:jc w:val="left"/>
        <w:rPr>
          <w:rFonts w:ascii="Times New Roman" w:hAnsi="Times New Roman" w:eastAsia="等线"/>
          <w:kern w:val="0"/>
          <w:sz w:val="20"/>
          <w:szCs w:val="20"/>
          <w:lang w:val="en-GB"/>
        </w:rPr>
      </w:pPr>
    </w:p>
    <w:p w14:paraId="1F427250">
      <w:pPr>
        <w:numPr>
          <w:ilvl w:val="0"/>
          <w:numId w:val="4"/>
        </w:numPr>
        <w:spacing w:after="180"/>
        <w:jc w:val="both"/>
        <w:rPr>
          <w:rFonts w:hint="eastAsia" w:ascii="Times New Roman" w:hAnsi="Times New Roman" w:eastAsia="等线"/>
          <w:b w:val="0"/>
          <w:bCs w:val="0"/>
          <w:kern w:val="0"/>
          <w:sz w:val="20"/>
          <w:szCs w:val="20"/>
          <w:highlight w:val="none"/>
          <w:lang w:val="en-US" w:eastAsia="zh-CN"/>
        </w:rPr>
      </w:pPr>
      <w:bookmarkStart w:id="5" w:name="OLE_LINK5"/>
      <w:r>
        <w:rPr>
          <w:rFonts w:hint="eastAsia" w:ascii="Times New Roman" w:hAnsi="Times New Roman"/>
          <w:b w:val="0"/>
          <w:bCs w:val="0"/>
          <w:sz w:val="20"/>
          <w:szCs w:val="20"/>
          <w:highlight w:val="none"/>
          <w:lang w:val="en-US" w:eastAsia="zh-CN"/>
        </w:rPr>
        <w:t>D2R channel</w:t>
      </w:r>
      <w:r>
        <w:rPr>
          <w:rFonts w:hint="eastAsia" w:ascii="Times New Roman" w:hAnsi="Times New Roman"/>
          <w:b w:val="0"/>
          <w:bCs w:val="0"/>
          <w:sz w:val="20"/>
          <w:szCs w:val="20"/>
          <w:highlight w:val="none"/>
        </w:rPr>
        <w:t xml:space="preserve"> bandwidth</w:t>
      </w:r>
    </w:p>
    <w:p w14:paraId="6D3DD2BB">
      <w:pPr>
        <w:spacing w:after="180"/>
        <w:jc w:val="left"/>
        <w:rPr>
          <w:rFonts w:hint="eastAsia" w:ascii="Times New Roman" w:hAnsi="Times New Roman" w:eastAsia="等线"/>
          <w:kern w:val="0"/>
          <w:sz w:val="20"/>
          <w:szCs w:val="20"/>
          <w:highlight w:val="none"/>
          <w:lang w:val="en-US" w:eastAsia="zh-CN"/>
        </w:rPr>
      </w:pPr>
      <w:r>
        <w:rPr>
          <w:rFonts w:hint="eastAsia" w:ascii="Times New Roman" w:hAnsi="Times New Roman" w:eastAsia="等线"/>
          <w:kern w:val="0"/>
          <w:sz w:val="20"/>
          <w:szCs w:val="20"/>
          <w:highlight w:val="none"/>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AD3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37054B4E">
            <w:pPr>
              <w:pStyle w:val="25"/>
              <w:numPr>
                <w:ilvl w:val="1"/>
                <w:numId w:val="5"/>
              </w:numPr>
              <w:spacing w:before="120" w:line="280" w:lineRule="atLeast"/>
              <w:ind w:left="880" w:leftChars="0" w:hanging="440" w:firstLineChars="0"/>
              <w:rPr>
                <w:rFonts w:hint="default" w:ascii="Times New Roman" w:hAnsi="Times New Roman" w:eastAsia="等线"/>
                <w:kern w:val="0"/>
                <w:sz w:val="20"/>
                <w:szCs w:val="20"/>
                <w:highlight w:val="none"/>
                <w:vertAlign w:val="baseline"/>
                <w:lang w:val="en-US" w:eastAsia="zh-CN"/>
              </w:rPr>
            </w:pPr>
            <w:r>
              <w:rPr>
                <w:rFonts w:hint="default" w:ascii="Times New Roman" w:hAnsi="Times New Roman" w:eastAsia="等线"/>
                <w:kern w:val="0"/>
                <w:sz w:val="20"/>
                <w:szCs w:val="20"/>
                <w:highlight w:val="none"/>
                <w:vertAlign w:val="baseline"/>
                <w:lang w:val="en-US" w:eastAsia="zh-CN"/>
              </w:rPr>
              <w:t>Define D2R channel bandwidth for A-IoT device:</w:t>
            </w:r>
          </w:p>
          <w:p w14:paraId="378543C9">
            <w:pPr>
              <w:pStyle w:val="25"/>
              <w:numPr>
                <w:ilvl w:val="2"/>
                <w:numId w:val="5"/>
              </w:numPr>
              <w:spacing w:before="120" w:line="280" w:lineRule="atLeast"/>
              <w:ind w:firstLineChars="0"/>
              <w:rPr>
                <w:rFonts w:hint="default" w:ascii="Times New Roman" w:hAnsi="Times New Roman" w:eastAsia="等线"/>
                <w:kern w:val="0"/>
                <w:sz w:val="20"/>
                <w:szCs w:val="20"/>
                <w:highlight w:val="none"/>
                <w:vertAlign w:val="baseline"/>
                <w:lang w:val="en-US" w:eastAsia="zh-CN"/>
              </w:rPr>
            </w:pPr>
            <w:r>
              <w:rPr>
                <w:rFonts w:hint="default" w:ascii="Times New Roman" w:hAnsi="Times New Roman" w:eastAsia="等线"/>
                <w:kern w:val="0"/>
                <w:sz w:val="20"/>
                <w:szCs w:val="20"/>
                <w:highlight w:val="none"/>
                <w:vertAlign w:val="baseline"/>
                <w:lang w:val="en-US" w:eastAsia="zh-CN"/>
              </w:rPr>
              <w:t xml:space="preserve">-Based on 2SB transmission, </w:t>
            </w:r>
          </w:p>
          <w:p w14:paraId="665228C0">
            <w:pPr>
              <w:pStyle w:val="25"/>
              <w:numPr>
                <w:ilvl w:val="2"/>
                <w:numId w:val="5"/>
              </w:numPr>
              <w:spacing w:before="120" w:line="280" w:lineRule="atLeast"/>
              <w:ind w:firstLineChars="0"/>
              <w:rPr>
                <w:rFonts w:hint="default" w:ascii="Times New Roman" w:hAnsi="Times New Roman" w:eastAsia="等线"/>
                <w:kern w:val="0"/>
                <w:sz w:val="20"/>
                <w:szCs w:val="20"/>
                <w:highlight w:val="none"/>
                <w:vertAlign w:val="baseline"/>
                <w:lang w:val="en-US" w:eastAsia="zh-CN"/>
              </w:rPr>
            </w:pPr>
            <w:r>
              <w:rPr>
                <w:rFonts w:hint="default" w:ascii="Times New Roman" w:hAnsi="Times New Roman" w:eastAsia="等线"/>
                <w:kern w:val="0"/>
                <w:sz w:val="20"/>
                <w:szCs w:val="20"/>
                <w:highlight w:val="none"/>
                <w:vertAlign w:val="baseline"/>
                <w:lang w:val="en-US" w:eastAsia="zh-CN"/>
              </w:rPr>
              <w:t>-Consider SFO impact</w:t>
            </w:r>
          </w:p>
          <w:p w14:paraId="7241102D">
            <w:pPr>
              <w:pStyle w:val="25"/>
              <w:numPr>
                <w:ilvl w:val="2"/>
                <w:numId w:val="5"/>
              </w:numPr>
              <w:spacing w:before="120" w:line="280" w:lineRule="atLeast"/>
              <w:ind w:firstLineChars="0"/>
              <w:rPr>
                <w:rFonts w:hint="default" w:ascii="Times New Roman" w:hAnsi="Times New Roman" w:eastAsia="等线"/>
                <w:kern w:val="0"/>
                <w:sz w:val="20"/>
                <w:szCs w:val="20"/>
                <w:highlight w:val="none"/>
                <w:vertAlign w:val="baseline"/>
                <w:lang w:val="en-US" w:eastAsia="zh-CN"/>
              </w:rPr>
            </w:pPr>
            <w:r>
              <w:rPr>
                <w:rFonts w:hint="default" w:ascii="Times New Roman" w:hAnsi="Times New Roman" w:eastAsia="等线"/>
                <w:kern w:val="0"/>
                <w:sz w:val="20"/>
                <w:szCs w:val="20"/>
                <w:highlight w:val="none"/>
                <w:vertAlign w:val="baseline"/>
                <w:lang w:val="en-US" w:eastAsia="zh-CN"/>
              </w:rPr>
              <w:t>-Consider small frequency shift defined in RAN1</w:t>
            </w:r>
          </w:p>
          <w:p w14:paraId="5A855581">
            <w:pPr>
              <w:pStyle w:val="25"/>
              <w:numPr>
                <w:ilvl w:val="2"/>
                <w:numId w:val="5"/>
              </w:numPr>
              <w:spacing w:before="120" w:line="280" w:lineRule="atLeast"/>
              <w:ind w:firstLineChars="0"/>
              <w:rPr>
                <w:rFonts w:hint="default" w:ascii="Times New Roman" w:hAnsi="Times New Roman" w:eastAsia="等线"/>
                <w:kern w:val="0"/>
                <w:sz w:val="20"/>
                <w:szCs w:val="20"/>
                <w:highlight w:val="none"/>
                <w:vertAlign w:val="baseline"/>
                <w:lang w:val="en-US" w:eastAsia="zh-CN"/>
              </w:rPr>
            </w:pPr>
            <w:r>
              <w:rPr>
                <w:rFonts w:hint="default" w:ascii="Times New Roman" w:hAnsi="Times New Roman" w:eastAsia="等线"/>
                <w:kern w:val="0"/>
                <w:sz w:val="20"/>
                <w:szCs w:val="20"/>
                <w:highlight w:val="none"/>
                <w:vertAlign w:val="baseline"/>
                <w:lang w:val="en-US" w:eastAsia="zh-CN"/>
              </w:rPr>
              <w:t>-D2R transmission bandwidth (2 times of 1SB), consider bit rate defined in RAN1</w:t>
            </w:r>
          </w:p>
        </w:tc>
      </w:tr>
    </w:tbl>
    <w:p w14:paraId="00AA6861">
      <w:pPr>
        <w:spacing w:after="180"/>
        <w:jc w:val="left"/>
        <w:rPr>
          <w:rFonts w:hint="default" w:ascii="Times New Roman" w:hAnsi="Times New Roman" w:eastAsia="等线"/>
          <w:kern w:val="0"/>
          <w:sz w:val="20"/>
          <w:szCs w:val="20"/>
          <w:highlight w:val="none"/>
          <w:lang w:val="en-US" w:eastAsia="zh-CN"/>
        </w:rPr>
      </w:pPr>
    </w:p>
    <w:bookmarkEnd w:id="5"/>
    <w:p w14:paraId="4E4267A0">
      <w:pPr>
        <w:spacing w:after="180"/>
        <w:jc w:val="left"/>
        <w:rPr>
          <w:rFonts w:hint="default" w:ascii="Times New Roman" w:hAnsi="Times New Roman"/>
          <w:sz w:val="20"/>
          <w:szCs w:val="20"/>
          <w:lang w:val="en-US" w:eastAsia="zh-CN"/>
        </w:rPr>
      </w:pPr>
      <w:bookmarkStart w:id="6" w:name="OLE_LINK8"/>
      <w:r>
        <w:rPr>
          <w:rFonts w:hint="eastAsia" w:ascii="Times New Roman" w:hAnsi="Times New Roman"/>
          <w:sz w:val="20"/>
          <w:szCs w:val="20"/>
          <w:lang w:val="en-US" w:eastAsia="zh-CN"/>
        </w:rPr>
        <w:t>RAN1 agreements for SFS factor R are listed as below and RAN1 will further down-selection of bit duration and SFS factor.</w:t>
      </w:r>
    </w:p>
    <w:p w14:paraId="39ECF718">
      <w:pPr>
        <w:spacing w:after="180"/>
        <w:jc w:val="left"/>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6180455" cy="3287395"/>
            <wp:effectExtent l="0" t="0" r="4445" b="1905"/>
            <wp:docPr id="1" name="图片 1" descr="174556206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5562063621"/>
                    <pic:cNvPicPr>
                      <a:picLocks noChangeAspect="1"/>
                    </pic:cNvPicPr>
                  </pic:nvPicPr>
                  <pic:blipFill>
                    <a:blip r:embed="rId5"/>
                    <a:stretch>
                      <a:fillRect/>
                    </a:stretch>
                  </pic:blipFill>
                  <pic:spPr>
                    <a:xfrm>
                      <a:off x="0" y="0"/>
                      <a:ext cx="6180455" cy="3287395"/>
                    </a:xfrm>
                    <a:prstGeom prst="rect">
                      <a:avLst/>
                    </a:prstGeom>
                  </pic:spPr>
                </pic:pic>
              </a:graphicData>
            </a:graphic>
          </wp:inline>
        </w:drawing>
      </w:r>
    </w:p>
    <w:p w14:paraId="003F735F">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RAN1 agreements, the frequency shift equals to +/- R/Tb Hz and the transmission bandwidth(2SB) when R=1 equals to 2/Tb. Following table lists the total transmission bandwidth which start from the lower edge of lower SB to the higher edge of higer SB considering SFS and SFO: 1/Tb*1.1+2*1.1*R/Tb.</w:t>
      </w:r>
    </w:p>
    <w:p w14:paraId="10D2165B">
      <w:pPr>
        <w:spacing w:after="180"/>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t>Table 1 The total transmisison bandwidth based on current RAN1 agreements are listed as below for information:</w:t>
      </w:r>
    </w:p>
    <w:p w14:paraId="09CE7CAD">
      <w:pPr>
        <w:spacing w:after="180"/>
        <w:jc w:val="left"/>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6187440" cy="2416810"/>
            <wp:effectExtent l="0" t="0" r="10160" b="8890"/>
            <wp:docPr id="3" name="图片 3" descr="174556699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45566990508"/>
                    <pic:cNvPicPr>
                      <a:picLocks noChangeAspect="1"/>
                    </pic:cNvPicPr>
                  </pic:nvPicPr>
                  <pic:blipFill>
                    <a:blip r:embed="rId6"/>
                    <a:stretch>
                      <a:fillRect/>
                    </a:stretch>
                  </pic:blipFill>
                  <pic:spPr>
                    <a:xfrm>
                      <a:off x="0" y="0"/>
                      <a:ext cx="6187440" cy="2416810"/>
                    </a:xfrm>
                    <a:prstGeom prst="rect">
                      <a:avLst/>
                    </a:prstGeom>
                  </pic:spPr>
                </pic:pic>
              </a:graphicData>
            </a:graphic>
          </wp:inline>
        </w:drawing>
      </w:r>
    </w:p>
    <w:p w14:paraId="63FA59E5">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There are so many transmit bandwidth and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hard to use all these for CBW requirements in RAN4. before discussing the CBW definition. At first we lists the main motivations of CBW definition as below:</w:t>
      </w:r>
    </w:p>
    <w:p w14:paraId="31A26D5C">
      <w:pPr>
        <w:numPr>
          <w:ilvl w:val="0"/>
          <w:numId w:val="6"/>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Outdoor NR will blank corresonding resrouces and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noted NR BS will reserve in PRB granularity. so NR outdoor BS need to know the reserved PRB.</w:t>
      </w:r>
    </w:p>
    <w:p w14:paraId="7B959713">
      <w:pPr>
        <w:numPr>
          <w:ilvl w:val="0"/>
          <w:numId w:val="6"/>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Use such channel bandwidth edge to define RF requirements to avoid the interference to other system, e.g NR system</w:t>
      </w:r>
    </w:p>
    <w:p w14:paraId="04F374A1">
      <w:pPr>
        <w:numPr>
          <w:ilvl w:val="0"/>
          <w:numId w:val="6"/>
        </w:numPr>
        <w:spacing w:after="180"/>
        <w:ind w:left="420" w:leftChars="0" w:hanging="420" w:firstLine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Use channel bandwidth to scale RF requirements, e.g. unwanted emission  </w:t>
      </w:r>
    </w:p>
    <w:p w14:paraId="3CDE474F">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Following list some options for D2R channel bandwidth definition.</w:t>
      </w:r>
    </w:p>
    <w:p w14:paraId="03DB8238">
      <w:pPr>
        <w:numPr>
          <w:ilvl w:val="0"/>
          <w:numId w:val="7"/>
        </w:numPr>
        <w:spacing w:after="180"/>
        <w:ind w:left="420" w:leftChars="0" w:hanging="420" w:firstLine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Option 1: use equation rather than explicit values for D2R CBW definition which will make the spec much clear. Fixed or a set of spectrum efficiency is required to transfer transmission to CBW, e.g. CBW equals to (1/Tb*1.1+2*1.1*R/Tb)/spectrum efficiency</w:t>
      </w:r>
    </w:p>
    <w:p w14:paraId="609B1B4F">
      <w:pPr>
        <w:numPr>
          <w:ilvl w:val="0"/>
          <w:numId w:val="7"/>
        </w:numPr>
        <w:spacing w:after="180"/>
        <w:ind w:left="420" w:leftChars="0" w:hanging="420" w:firstLine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Option 2: define D2R CBW in RB/SCS granularity which will reduce number of CBW values</w:t>
      </w:r>
    </w:p>
    <w:p w14:paraId="3A16A1E2">
      <w:pPr>
        <w:numPr>
          <w:ilvl w:val="0"/>
          <w:numId w:val="0"/>
        </w:numPr>
        <w:spacing w:after="180"/>
        <w:ind w:left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option 1, following equaltion is the transmission bandwidth: 1/Tb*1.1+2*1.1*R/Tb. For NR, CBW euqals to transmission divide spectrum efficiency. Here spectrum efficiency is decided by BB shaping filter.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noted for NR, final spectrum efficiency is compromise among all companies and there is no clear rule for different CBW. For device 1, no BB shaping filter and the main motivation to reuse fixed spectrum efficiency e.g. 90% is to leave some space to achieve target unwanted emission requirements due to device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imperfection.</w:t>
      </w:r>
    </w:p>
    <w:p w14:paraId="3A85FBB5">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option 2, the main motivation is to reduce the number of transmission bandwidth. Besides, current NR system will reserve resource for in-band A-IoT in per PRB/SCS basis. </w:t>
      </w:r>
    </w:p>
    <w:p w14:paraId="70BC7511">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Following list the candidate RB numbers which Round up in RB(180kHz) units on top of table 1. Besides, for the bandwidth less than 1RB, the candidate bandwidth value is round up in SCS units (15kHz). noted, here the round up is something like the spectrum efficiency used in option 1 and both is to leave space to achieve target unwanted emission requirements due to device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imperfection. </w:t>
      </w:r>
    </w:p>
    <w:p w14:paraId="45345573">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15kHz, 30kHz, 45kHz, 60kHz, 75kHz, 90kHz, 105kHz, 120kHz, 150kHz, 1PRB, 2PRB(360kHz), 3PRB(540kHz), 4PRB(720kHz), 5PRB (900kHz), 6PRB(1080kHz),7PRB(1260kHz), 8PRB (1440kHz), 9PRB(1620kHz), 10PRB(1800kHz), 12PRB (2160kHz), 13PRB (2340kHz), 14PRB(2520kHz), 15PRB(2700kHz), 18PRB(3240kHz)</w:t>
      </w:r>
    </w:p>
    <w:p w14:paraId="50578767">
      <w:pPr>
        <w:pStyle w:val="25"/>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there are two options for D2R CBW defintion</w:t>
      </w:r>
    </w:p>
    <w:p w14:paraId="498E9151">
      <w:pPr>
        <w:numPr>
          <w:ilvl w:val="0"/>
          <w:numId w:val="7"/>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Option 1: use equation rather than explicit values for D2R CBW definition which will make the spec much clear. Fixed or a set of spectrum efficiency is required to transfer transmission to CBW, e.g. CBW equals to (1/Tb*1.1+2*1.1*R/Tb)/spectrum efficiency</w:t>
      </w:r>
    </w:p>
    <w:p w14:paraId="315305D3">
      <w:pPr>
        <w:numPr>
          <w:ilvl w:val="0"/>
          <w:numId w:val="7"/>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Option 2: define D2R CBW in RB/SCS granularity which will reduce number of CBW values, following list the candidate value which is round up in RB/SCS units based on calucalated transmission bandwidth.</w:t>
      </w:r>
    </w:p>
    <w:p w14:paraId="1B9F268A">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 main drawback of large unmber of CBW is it will lead to longer testing time if we testing each CBW for all RF requirements. But now RAN5 define test case with testing configuration which will mainly consider lower, middle and higher CBW of partof them for each RF requirements. So it seems both above option 1 and option 2 will not enlarge testing time.</w:t>
      </w:r>
    </w:p>
    <w:p w14:paraId="6C334FE5">
      <w:pPr>
        <w:pStyle w:val="25"/>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D2R CBW for all R, bit duration and chip duration values based on RAN1 conclusion.</w:t>
      </w:r>
    </w:p>
    <w:p w14:paraId="4DE1312A">
      <w:pPr>
        <w:pStyle w:val="25"/>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Considering there are so many CBW values, defining RF requirements for all CBW will make the spec much complex. Besides, testing will cost much time. One solution is define RF requirements only for typical CBW and detailed CBW value could be choosen case by case.</w:t>
      </w:r>
    </w:p>
    <w:p w14:paraId="15C120DC">
      <w:pPr>
        <w:pStyle w:val="25"/>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RF/testing requirements only for typical CBW. Details CBW can be decided case by case.</w:t>
      </w:r>
    </w:p>
    <w:p w14:paraId="475DC62D">
      <w:pPr>
        <w:spacing w:after="18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Another issue is whether to define in-band RF requirements which applies within the CBW. The main motivation of such requirements is to avoid the interfernece due to FDMA operaiton among dvices. In RAN1, using different SFS, the mainlobe will not be overlapping among different devices. But it</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very hard to ensure not overlapping between mainlobe and odd harmonics. In theory, RAN4 may needs to define the in-band requirements something like the IBE to make sure the FDMA operation among devices, especially to avoide the interference due to odd harmonics.</w:t>
      </w:r>
    </w:p>
    <w:p w14:paraId="20EC75EA">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after careful SFS design, mainlobes will not overlap with each other among devices, but one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mainlobe may overlap with another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odd harmonics due to SFO. Interference occurs between devices using FDMA operation. </w:t>
      </w:r>
    </w:p>
    <w:p w14:paraId="57C2450C">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So in theory, RAN4 may needs the requirements for device Tx within the CBW but outside the transmission bandwidth, which is something like the IBE requirements. Before discussing such requirements, following list summary of IBE requirements.</w:t>
      </w:r>
    </w:p>
    <w:p w14:paraId="6F81FE6B">
      <w:pPr>
        <w:spacing w:after="18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The general part of IBE include three part</w:t>
      </w:r>
      <w:r>
        <w:rPr>
          <w:rFonts w:hint="eastAsia" w:ascii="Times New Roman" w:hAnsi="Times New Roman" w:cs="Times New Roman"/>
          <w:b w:val="0"/>
          <w:bCs w:val="0"/>
          <w:sz w:val="20"/>
          <w:szCs w:val="20"/>
          <w:lang w:val="en-US" w:eastAsia="zh-CN"/>
        </w:rPr>
        <w:t xml:space="preserve">s, following list the reason of each part. </w:t>
      </w:r>
    </w:p>
    <w:p w14:paraId="47FCB3FC">
      <w:pPr>
        <w:numPr>
          <w:ilvl w:val="0"/>
          <w:numId w:val="7"/>
        </w:numPr>
        <w:spacing w:after="180"/>
        <w:ind w:left="420" w:leftChars="0" w:hanging="420" w:firstLine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First part: </w:t>
      </w:r>
      <w:r>
        <w:rPr>
          <w:rFonts w:hint="default" w:ascii="Times New Roman" w:hAnsi="Times New Roman" w:cs="Times New Roman"/>
          <w:sz w:val="20"/>
          <w:szCs w:val="20"/>
        </w:rPr>
        <w:drawing>
          <wp:inline distT="0" distB="0" distL="114300" distR="114300">
            <wp:extent cx="1647825" cy="23812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1647825" cy="238125"/>
                    </a:xfrm>
                    <a:prstGeom prst="rect">
                      <a:avLst/>
                    </a:prstGeom>
                    <a:noFill/>
                    <a:ln>
                      <a:noFill/>
                    </a:ln>
                  </pic:spPr>
                </pic:pic>
              </a:graphicData>
            </a:graphic>
          </wp:inline>
        </w:drawing>
      </w:r>
      <w:r>
        <w:rPr>
          <w:rFonts w:hint="default" w:ascii="Times New Roman" w:hAnsi="Times New Roman" w:cs="Times New Roman"/>
          <w:sz w:val="20"/>
          <w:szCs w:val="20"/>
          <w:lang w:val="en-US" w:eastAsia="zh-CN"/>
        </w:rPr>
        <w:t xml:space="preserve">, here the -25dBc is the impat of phase noise.The LO leakage (IQ origin offset) is already excluded as part of the measurement definition. It was pointed out at RAN4 #46b that this doesn’t eliminate all impacts of the phase noise. To solve this, -25dBc is proposed around the DC frequency. </w:t>
      </w:r>
      <w:r>
        <w:rPr>
          <w:rFonts w:hint="default" w:ascii="Times New Roman" w:hAnsi="Times New Roman" w:cs="Times New Roman"/>
          <w:sz w:val="20"/>
          <w:szCs w:val="20"/>
        </w:rPr>
        <w:drawing>
          <wp:inline distT="0" distB="0" distL="114300" distR="114300">
            <wp:extent cx="1190625" cy="238125"/>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1190625" cy="238125"/>
                    </a:xfrm>
                    <a:prstGeom prst="rect">
                      <a:avLst/>
                    </a:prstGeom>
                    <a:noFill/>
                    <a:ln>
                      <a:noFill/>
                    </a:ln>
                  </pic:spPr>
                </pic:pic>
              </a:graphicData>
            </a:graphic>
          </wp:inline>
        </w:drawing>
      </w:r>
      <w:r>
        <w:rPr>
          <w:rFonts w:hint="default" w:ascii="Times New Roman" w:hAnsi="Times New Roman" w:cs="Times New Roman"/>
          <w:sz w:val="20"/>
          <w:szCs w:val="20"/>
          <w:lang w:val="en-US" w:eastAsia="zh-CN"/>
        </w:rPr>
        <w:t xml:space="preserve"> part is </w:t>
      </w:r>
      <w:r>
        <w:rPr>
          <w:rFonts w:hint="default" w:ascii="Times New Roman" w:hAnsi="Times New Roman" w:cs="Times New Roman"/>
          <w:sz w:val="20"/>
          <w:szCs w:val="20"/>
          <w:lang w:val="en-US"/>
        </w:rPr>
        <w:t>emission floor PSD relative to the total transmitted power in all allocated RBs</w:t>
      </w:r>
    </w:p>
    <w:p w14:paraId="662F03BC">
      <w:pPr>
        <w:numPr>
          <w:ilvl w:val="0"/>
          <w:numId w:val="7"/>
        </w:numPr>
        <w:spacing w:after="180"/>
        <w:ind w:left="420" w:leftChars="0" w:hanging="420" w:firstLine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sz w:val="20"/>
          <w:szCs w:val="20"/>
          <w:lang w:val="en-US" w:eastAsia="zh-CN"/>
        </w:rPr>
        <w:t xml:space="preserve">Second prat: </w:t>
      </w:r>
      <w:r>
        <w:rPr>
          <w:rFonts w:hint="default" w:ascii="Times New Roman" w:hAnsi="Times New Roman" w:cs="Times New Roman"/>
          <w:sz w:val="20"/>
          <w:szCs w:val="20"/>
        </w:rPr>
        <w:drawing>
          <wp:inline distT="0" distB="0" distL="114300" distR="114300">
            <wp:extent cx="2257425" cy="2286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2257425" cy="228600"/>
                    </a:xfrm>
                    <a:prstGeom prst="rect">
                      <a:avLst/>
                    </a:prstGeom>
                    <a:noFill/>
                    <a:ln>
                      <a:noFill/>
                    </a:ln>
                  </pic:spPr>
                </pic:pic>
              </a:graphicData>
            </a:graphic>
          </wp:inline>
        </w:drawing>
      </w:r>
      <w:r>
        <w:rPr>
          <w:rFonts w:hint="default" w:ascii="Times New Roman" w:hAnsi="Times New Roman" w:cs="Times New Roman"/>
          <w:sz w:val="20"/>
          <w:szCs w:val="20"/>
          <w:lang w:val="en-US" w:eastAsia="zh-CN"/>
        </w:rPr>
        <w:t>,  The IFFT quantization noise is the dominant factor creating in-band emissions outside of the IM3 area around the allocated RBs</w:t>
      </w:r>
      <w:r>
        <w:rPr>
          <w:rFonts w:hint="eastAsia" w:ascii="Times New Roman" w:hAnsi="Times New Roman" w:cs="Times New Roman"/>
          <w:sz w:val="20"/>
          <w:szCs w:val="20"/>
          <w:lang w:val="en-US" w:eastAsia="zh-CN"/>
        </w:rPr>
        <w:t>.</w:t>
      </w:r>
    </w:p>
    <w:p w14:paraId="19F5B29C">
      <w:pPr>
        <w:numPr>
          <w:ilvl w:val="0"/>
          <w:numId w:val="7"/>
        </w:numPr>
        <w:spacing w:after="180"/>
        <w:ind w:left="420" w:leftChars="0" w:hanging="420" w:firstLine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sz w:val="20"/>
          <w:szCs w:val="20"/>
          <w:lang w:val="en-US" w:eastAsia="zh-CN"/>
        </w:rPr>
        <w:t xml:space="preserve">Third part: </w:t>
      </w:r>
      <w:r>
        <w:rPr>
          <w:rFonts w:hint="default" w:ascii="Times New Roman" w:hAnsi="Times New Roman" w:cs="Times New Roman"/>
          <w:sz w:val="20"/>
          <w:szCs w:val="20"/>
        </w:rPr>
        <w:drawing>
          <wp:inline distT="0" distB="0" distL="114300" distR="114300">
            <wp:extent cx="2352675" cy="247650"/>
            <wp:effectExtent l="0" t="0" r="952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2352675" cy="247650"/>
                    </a:xfrm>
                    <a:prstGeom prst="rect">
                      <a:avLst/>
                    </a:prstGeom>
                    <a:noFill/>
                    <a:ln>
                      <a:noFill/>
                    </a:ln>
                  </pic:spPr>
                </pic:pic>
              </a:graphicData>
            </a:graphic>
          </wp:inline>
        </w:drawing>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this is used to avoid too strict requirements when considering transmission at minimum power level. For example, with a single RB allocated BW and 20MHz system BW, the mission floor would be -85dBm/180kHz at the minimum Tx power of -40dBm.  This would be difficult to meet. Therefore it would be useful to have an absolute limit and the requirement would be the looser of the relative and absolute limits.  The WCDMA off power limit is -56dBm/3.84MHz, which can be scaled to about -69dBm/180kHz. -57dBm/180kHz is proposed as LTE requirement. NR update based on SCS value.</w:t>
      </w:r>
    </w:p>
    <w:p w14:paraId="0AAB201B">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UE IBE general requirements includes three parts which are used to reflect phase noise, IFFT quantization noise, avoiding too strict requirements at minimum power level.</w:t>
      </w:r>
    </w:p>
    <w:p w14:paraId="6CBA82E5">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device, there is no IFFT quantization noise and no phase noise. So it seems at RAN4 parts, no need for new in-bands requirements which means RF part impairment for in-band emission is negigible for device.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there may be certain backscattered loss but this loss applies for the whole CBW.</w:t>
      </w:r>
    </w:p>
    <w:p w14:paraId="1B624BAB">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3: no needs for RF requirements within D2R CBW. </w:t>
      </w:r>
    </w:p>
    <w:bookmarkEnd w:id="6"/>
    <w:p w14:paraId="1EAE8EAF">
      <w:pPr>
        <w:numPr>
          <w:ilvl w:val="0"/>
          <w:numId w:val="4"/>
        </w:numPr>
        <w:spacing w:after="180"/>
        <w:jc w:val="left"/>
        <w:rPr>
          <w:rFonts w:ascii="Times New Roman" w:hAnsi="Times New Roman"/>
          <w:b/>
          <w:bCs/>
          <w:sz w:val="20"/>
          <w:szCs w:val="20"/>
        </w:rPr>
      </w:pPr>
      <w:bookmarkStart w:id="7" w:name="OLE_LINK6"/>
      <w:r>
        <w:rPr>
          <w:rFonts w:hint="eastAsia" w:ascii="Times New Roman" w:hAnsi="Times New Roman"/>
          <w:b/>
          <w:bCs/>
          <w:sz w:val="20"/>
          <w:szCs w:val="20"/>
        </w:rPr>
        <w:t>Channel raster</w:t>
      </w:r>
    </w:p>
    <w:p w14:paraId="416A3B23">
      <w:pPr>
        <w:numPr>
          <w:ilvl w:val="-1"/>
          <w:numId w:val="0"/>
        </w:numPr>
        <w:spacing w:after="180"/>
        <w:ind w:left="0" w:firstLine="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BCF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FC8C865">
            <w:pPr>
              <w:pStyle w:val="25"/>
              <w:numPr>
                <w:ilvl w:val="0"/>
                <w:numId w:val="0"/>
              </w:numPr>
              <w:spacing w:before="120" w:line="280" w:lineRule="atLeast"/>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Issue 2-3-1: R2D channel raster</w:t>
            </w:r>
          </w:p>
          <w:p w14:paraId="04B9C14F">
            <w:pPr>
              <w:pStyle w:val="25"/>
              <w:numPr>
                <w:ilvl w:val="0"/>
                <w:numId w:val="0"/>
              </w:numPr>
              <w:spacing w:before="120" w:line="280" w:lineRule="atLeast"/>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Agreement:</w:t>
            </w:r>
          </w:p>
          <w:p w14:paraId="6FCEA97F">
            <w:pPr>
              <w:pStyle w:val="25"/>
              <w:numPr>
                <w:ilvl w:val="1"/>
                <w:numId w:val="8"/>
              </w:numPr>
              <w:spacing w:before="120" w:line="280" w:lineRule="atLeast"/>
              <w:ind w:firstLineChars="0"/>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Consider following options for R2D channel raster</w:t>
            </w:r>
          </w:p>
          <w:p w14:paraId="0D3E84A6">
            <w:pPr>
              <w:pStyle w:val="25"/>
              <w:numPr>
                <w:ilvl w:val="1"/>
                <w:numId w:val="8"/>
              </w:numPr>
              <w:spacing w:before="120" w:line="280" w:lineRule="atLeast"/>
              <w:ind w:firstLineChars="0"/>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Option 1: define 10KHz as R2D channel raster (i.e. same as enhanced channel raster)</w:t>
            </w:r>
          </w:p>
          <w:p w14:paraId="48A3321C">
            <w:pPr>
              <w:pStyle w:val="25"/>
              <w:numPr>
                <w:ilvl w:val="1"/>
                <w:numId w:val="8"/>
              </w:numPr>
              <w:spacing w:before="120" w:line="280" w:lineRule="atLeast"/>
              <w:ind w:firstLineChars="0"/>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 xml:space="preserve">Option 2: Define channel raster considering the RB orthogonality between macro BS and A-IoT BS </w:t>
            </w:r>
          </w:p>
          <w:p w14:paraId="6B9D891B">
            <w:pPr>
              <w:pStyle w:val="25"/>
              <w:numPr>
                <w:ilvl w:val="1"/>
                <w:numId w:val="8"/>
              </w:numPr>
              <w:spacing w:before="120" w:line="280" w:lineRule="atLeast"/>
              <w:ind w:firstLineChars="0"/>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Other options are not precluded.</w:t>
            </w:r>
          </w:p>
        </w:tc>
      </w:tr>
      <w:bookmarkEnd w:id="7"/>
    </w:tbl>
    <w:p w14:paraId="649436ED">
      <w:pPr>
        <w:spacing w:after="180"/>
        <w:jc w:val="left"/>
        <w:rPr>
          <w:rFonts w:hint="eastAsia" w:ascii="Times New Roman" w:hAnsi="Times New Roman"/>
          <w:sz w:val="20"/>
          <w:szCs w:val="20"/>
        </w:rPr>
      </w:pPr>
    </w:p>
    <w:p w14:paraId="61E2C66C">
      <w:pPr>
        <w:spacing w:after="180"/>
        <w:jc w:val="left"/>
        <w:rPr>
          <w:rFonts w:ascii="Times New Roman" w:hAnsi="Times New Roman"/>
          <w:sz w:val="20"/>
          <w:szCs w:val="20"/>
        </w:rPr>
      </w:pPr>
      <w:r>
        <w:rPr>
          <w:rFonts w:hint="eastAsia" w:ascii="Times New Roman" w:hAnsi="Times New Roman"/>
          <w:sz w:val="20"/>
          <w:szCs w:val="20"/>
          <w:lang w:val="en-US" w:eastAsia="zh-CN"/>
        </w:rPr>
        <w:t>Above option 1 is from enhanced channel raster which is mainly used for the case when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RB number is odd/even but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RB number is even/odd for the bands using 100kHz channel raster</w:t>
      </w:r>
      <w:r>
        <w:rPr>
          <w:rFonts w:hint="eastAsia" w:ascii="Times New Roman" w:hAnsi="Times New Roman"/>
          <w:sz w:val="20"/>
          <w:szCs w:val="20"/>
        </w:rPr>
        <w:t>.</w:t>
      </w:r>
      <w:r>
        <w:rPr>
          <w:rFonts w:hint="eastAsia" w:ascii="Times New Roman" w:hAnsi="Times New Roman"/>
          <w:sz w:val="20"/>
          <w:szCs w:val="20"/>
          <w:lang w:val="en-US" w:eastAsia="zh-CN"/>
        </w:rPr>
        <w:t xml:space="preserve"> The main reason is that the carrier center for odd and even RB number is different, the former is at the center of the center RB but the later is at the edge of certer two RB. For A-IoT D2R there is no channel raster concept. So no needs to reuse enhanced channel raster. We can use the same channel raster as macr BS to ensure the orthogonality.</w:t>
      </w:r>
      <w:r>
        <w:rPr>
          <w:rFonts w:hint="eastAsia" w:ascii="Times New Roman" w:hAnsi="Times New Roman"/>
          <w:sz w:val="20"/>
          <w:szCs w:val="20"/>
        </w:rPr>
        <w:t xml:space="preserve"> </w:t>
      </w:r>
    </w:p>
    <w:p w14:paraId="6ADB0E36">
      <w:pPr>
        <w:spacing w:after="180"/>
        <w:jc w:val="left"/>
        <w:rPr>
          <w:rFonts w:ascii="Times New Roman" w:hAnsi="Times New Roman"/>
          <w:b/>
          <w:bCs/>
          <w:sz w:val="20"/>
          <w:szCs w:val="20"/>
        </w:rPr>
      </w:pPr>
      <w:bookmarkStart w:id="8" w:name="OLE_LINK27"/>
      <w:bookmarkStart w:id="9" w:name="OLE_LINK19"/>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xml:space="preserve">: Define </w:t>
      </w:r>
      <w:r>
        <w:rPr>
          <w:rFonts w:hint="eastAsia" w:ascii="Times New Roman" w:hAnsi="Times New Roman"/>
          <w:b/>
          <w:bCs/>
          <w:sz w:val="20"/>
          <w:szCs w:val="20"/>
          <w:lang w:val="en-US" w:eastAsia="zh-CN"/>
        </w:rPr>
        <w:t>the same channel raster as macro</w:t>
      </w:r>
      <w:r>
        <w:rPr>
          <w:rFonts w:hint="eastAsia" w:ascii="Times New Roman" w:hAnsi="Times New Roman"/>
          <w:b/>
          <w:bCs/>
          <w:sz w:val="20"/>
          <w:szCs w:val="20"/>
        </w:rPr>
        <w:t xml:space="preserve"> reader.</w:t>
      </w:r>
      <w:bookmarkEnd w:id="8"/>
      <w:r>
        <w:rPr>
          <w:rFonts w:hint="eastAsia" w:ascii="Times New Roman" w:hAnsi="Times New Roman"/>
          <w:b/>
          <w:bCs/>
          <w:sz w:val="20"/>
          <w:szCs w:val="20"/>
        </w:rPr>
        <w:t xml:space="preserve"> </w:t>
      </w:r>
    </w:p>
    <w:bookmarkEnd w:id="9"/>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system parameters are discussed with following proposals.</w:t>
      </w:r>
    </w:p>
    <w:p w14:paraId="5E177D19">
      <w:pPr>
        <w:pStyle w:val="25"/>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D2R CBW for all R, bit duration and chip duration values based on RAN1 conclusion.</w:t>
      </w:r>
    </w:p>
    <w:p w14:paraId="2BA45E0E">
      <w:pPr>
        <w:pStyle w:val="25"/>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RF/testing requirements only for typical CBW. Details CBW can be decided case by case.</w:t>
      </w:r>
    </w:p>
    <w:p w14:paraId="24473506">
      <w:pPr>
        <w:spacing w:after="180"/>
        <w:jc w:val="left"/>
        <w:rPr>
          <w:rFonts w:hint="default" w:ascii="Times New Roman" w:hAnsi="Times New Roman"/>
          <w:b/>
          <w:bCs/>
          <w:strike w:val="0"/>
          <w:sz w:val="20"/>
          <w:szCs w:val="20"/>
          <w:lang w:val="en-US" w:eastAsia="zh-CN"/>
        </w:rPr>
      </w:pPr>
      <w:r>
        <w:rPr>
          <w:rFonts w:hint="eastAsia" w:ascii="Times New Roman" w:hAnsi="Times New Roman"/>
          <w:b/>
          <w:bCs/>
          <w:sz w:val="20"/>
          <w:szCs w:val="20"/>
          <w:lang w:val="en-US" w:eastAsia="zh-CN"/>
        </w:rPr>
        <w:t>Observation 1: after careful SFS design, mainlobes will not overlap with each other among devices, but one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mainlobe may overlap with another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odd harmonics due to SFO. Interference occurs between devices using FDMA operation.</w:t>
      </w:r>
    </w:p>
    <w:p w14:paraId="038D71FD">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UE IBE general requirements includes three parts which are used to reflect phase noise, IFFT quantization noise, avoiding too strict requirements at minimum power level.</w:t>
      </w:r>
    </w:p>
    <w:p w14:paraId="16B2B3E3">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3: no needs for RF requirements within D2R CBW. </w:t>
      </w:r>
    </w:p>
    <w:p w14:paraId="17E23C4F">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xml:space="preserve">: Define </w:t>
      </w:r>
      <w:r>
        <w:rPr>
          <w:rFonts w:hint="eastAsia" w:ascii="Times New Roman" w:hAnsi="Times New Roman"/>
          <w:b/>
          <w:bCs/>
          <w:sz w:val="20"/>
          <w:szCs w:val="20"/>
          <w:lang w:val="en-US" w:eastAsia="zh-CN"/>
        </w:rPr>
        <w:t>the same channel raster as macro</w:t>
      </w:r>
      <w:r>
        <w:rPr>
          <w:rFonts w:hint="eastAsia" w:ascii="Times New Roman" w:hAnsi="Times New Roman"/>
          <w:b/>
          <w:bCs/>
          <w:sz w:val="20"/>
          <w:szCs w:val="20"/>
        </w:rPr>
        <w:t xml:space="preserve"> reader. </w:t>
      </w:r>
      <w:r>
        <w:rPr>
          <w:rFonts w:ascii="Times New Roman" w:hAnsi="Times New Roman"/>
          <w:b/>
          <w:bCs/>
          <w:sz w:val="20"/>
          <w:szCs w:val="20"/>
        </w:rPr>
        <w:t xml:space="preserve"> </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9"/>
        </w:numPr>
      </w:pPr>
      <w:bookmarkStart w:id="10" w:name="OLE_LINK16"/>
      <w:bookmarkStart w:id="11" w:name="_Ref387394383"/>
      <w:bookmarkStart w:id="12" w:name="_Ref457225889"/>
      <w:bookmarkStart w:id="13" w:name="_Hlk189663556"/>
      <w:bookmarkStart w:id="14" w:name="OLE_LINK1"/>
      <w:r>
        <w:t>RP-2</w:t>
      </w:r>
      <w:r>
        <w:rPr>
          <w:rFonts w:hint="eastAsia" w:eastAsiaTheme="minorEastAsia"/>
          <w:lang w:eastAsia="zh-CN"/>
        </w:rPr>
        <w:t>43326</w:t>
      </w:r>
      <w:bookmarkEnd w:id="10"/>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1"/>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2"/>
    </w:p>
    <w:p w14:paraId="22084492">
      <w:pPr>
        <w:pStyle w:val="65"/>
        <w:numPr>
          <w:ilvl w:val="0"/>
          <w:numId w:val="9"/>
        </w:numPr>
      </w:pPr>
      <w:bookmarkStart w:id="15" w:name="OLE_LINK7"/>
      <w:r>
        <w:rPr>
          <w:rFonts w:eastAsiaTheme="minorEastAsia"/>
          <w:lang w:eastAsia="zh-CN"/>
        </w:rPr>
        <w:t>R</w:t>
      </w:r>
      <w:r>
        <w:rPr>
          <w:rFonts w:hint="eastAsia" w:eastAsiaTheme="minorEastAsia"/>
          <w:lang w:eastAsia="zh-CN"/>
        </w:rPr>
        <w:t>4-2420470</w:t>
      </w:r>
      <w:bookmarkEnd w:id="15"/>
      <w:r>
        <w:rPr>
          <w:rFonts w:hint="eastAsia" w:eastAsiaTheme="minorEastAsia"/>
          <w:lang w:eastAsia="zh-CN"/>
        </w:rPr>
        <w:t>, WF on RF requirements for A-IOT, Moderator (Huawei).</w:t>
      </w:r>
    </w:p>
    <w:bookmarkEnd w:id="13"/>
    <w:p w14:paraId="68275EA7">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14"/>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9"/>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9"/>
        </w:numPr>
        <w:tabs>
          <w:tab w:val="right" w:pos="10440"/>
          <w:tab w:val="right" w:pos="13323"/>
        </w:tabs>
        <w:jc w:val="left"/>
        <w:rPr>
          <w:rFonts w:ascii="Times New Roman" w:hAnsi="Times New Roman"/>
          <w:sz w:val="20"/>
          <w:szCs w:val="20"/>
        </w:rPr>
      </w:pPr>
      <w:bookmarkStart w:id="16"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16"/>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D11D2"/>
    <w:multiLevelType w:val="singleLevel"/>
    <w:tmpl w:val="C3DD11D2"/>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2AB6AE9"/>
    <w:multiLevelType w:val="singleLevel"/>
    <w:tmpl w:val="32AB6AE9"/>
    <w:lvl w:ilvl="0" w:tentative="0">
      <w:start w:val="1"/>
      <w:numFmt w:val="bullet"/>
      <w:lvlText w:val=""/>
      <w:lvlJc w:val="left"/>
      <w:pPr>
        <w:ind w:left="420" w:hanging="420"/>
      </w:pPr>
      <w:rPr>
        <w:rFonts w:hint="default" w:ascii="Wingdings" w:hAnsi="Wingdings"/>
      </w:rPr>
    </w:lvl>
  </w:abstractNum>
  <w:abstractNum w:abstractNumId="4">
    <w:nsid w:val="51237064"/>
    <w:multiLevelType w:val="multilevel"/>
    <w:tmpl w:val="51237064"/>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6">
    <w:nsid w:val="54F16580"/>
    <w:multiLevelType w:val="multilevel"/>
    <w:tmpl w:val="54F165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DEC413"/>
    <w:multiLevelType w:val="singleLevel"/>
    <w:tmpl w:val="70DEC413"/>
    <w:lvl w:ilvl="0" w:tentative="0">
      <w:start w:val="1"/>
      <w:numFmt w:val="bullet"/>
      <w:lvlText w:val=""/>
      <w:lvlJc w:val="left"/>
      <w:pPr>
        <w:ind w:left="420" w:hanging="420"/>
      </w:pPr>
      <w:rPr>
        <w:rFonts w:hint="default" w:ascii="Wingdings" w:hAnsi="Wingdings"/>
      </w:rPr>
    </w:lvl>
  </w:abstractNum>
  <w:num w:numId="1">
    <w:abstractNumId w:val="5"/>
  </w:num>
  <w:num w:numId="2">
    <w:abstractNumId w:val="7"/>
  </w:num>
  <w:num w:numId="3">
    <w:abstractNumId w:val="2"/>
  </w:num>
  <w:num w:numId="4">
    <w:abstractNumId w:val="8"/>
  </w:num>
  <w:num w:numId="5">
    <w:abstractNumId w:val="4"/>
  </w:num>
  <w:num w:numId="6">
    <w:abstractNumId w:val="0"/>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9659F0"/>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4E9233C"/>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2013F"/>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AE6EDD"/>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1C7E02"/>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82091E"/>
    <w:rsid w:val="1BB42683"/>
    <w:rsid w:val="1BC416C3"/>
    <w:rsid w:val="1BCC31A1"/>
    <w:rsid w:val="1BDF31F9"/>
    <w:rsid w:val="1BF509C2"/>
    <w:rsid w:val="1BF95FEE"/>
    <w:rsid w:val="1C0D0793"/>
    <w:rsid w:val="1C1B332C"/>
    <w:rsid w:val="1C2A5B45"/>
    <w:rsid w:val="1C2A6C2E"/>
    <w:rsid w:val="1C363B56"/>
    <w:rsid w:val="1C527C03"/>
    <w:rsid w:val="1C700838"/>
    <w:rsid w:val="1CA03585"/>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12F4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C74900"/>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B5607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5B7754"/>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EFA2839"/>
    <w:rsid w:val="2F1A1856"/>
    <w:rsid w:val="2F1C0982"/>
    <w:rsid w:val="2F357E81"/>
    <w:rsid w:val="2F5B00C1"/>
    <w:rsid w:val="2F63302B"/>
    <w:rsid w:val="2F6973D6"/>
    <w:rsid w:val="2F747966"/>
    <w:rsid w:val="2FA801C0"/>
    <w:rsid w:val="2FB92659"/>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4F8569D"/>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7E16D3"/>
    <w:rsid w:val="379A1E22"/>
    <w:rsid w:val="37BD6848"/>
    <w:rsid w:val="37CC6816"/>
    <w:rsid w:val="37DE6907"/>
    <w:rsid w:val="37E47740"/>
    <w:rsid w:val="37E810A7"/>
    <w:rsid w:val="380E1C87"/>
    <w:rsid w:val="38994363"/>
    <w:rsid w:val="38A620ED"/>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A5696"/>
    <w:rsid w:val="3A3F5379"/>
    <w:rsid w:val="3A436689"/>
    <w:rsid w:val="3A4614A9"/>
    <w:rsid w:val="3A584C46"/>
    <w:rsid w:val="3A675260"/>
    <w:rsid w:val="3A8646CD"/>
    <w:rsid w:val="3AAC45FF"/>
    <w:rsid w:val="3AB704E3"/>
    <w:rsid w:val="3AC37B79"/>
    <w:rsid w:val="3AE070A1"/>
    <w:rsid w:val="3AED09BD"/>
    <w:rsid w:val="3AF86D4E"/>
    <w:rsid w:val="3B1C5C89"/>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95C0F"/>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64494A"/>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63418"/>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0A0F13"/>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048B3"/>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5FFD6F2A"/>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25108"/>
    <w:rsid w:val="61B606DC"/>
    <w:rsid w:val="61B73BDF"/>
    <w:rsid w:val="61EE1B3B"/>
    <w:rsid w:val="61F35FC3"/>
    <w:rsid w:val="61FE0917"/>
    <w:rsid w:val="620152D8"/>
    <w:rsid w:val="621F3A14"/>
    <w:rsid w:val="623B4768"/>
    <w:rsid w:val="623E513D"/>
    <w:rsid w:val="62563CE5"/>
    <w:rsid w:val="62C814EB"/>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BC794C"/>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68730F"/>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639C9"/>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3842C9"/>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7</Pages>
  <Words>947</Words>
  <Characters>5401</Characters>
  <Lines>45</Lines>
  <Paragraphs>12</Paragraphs>
  <TotalTime>6</TotalTime>
  <ScaleCrop>false</ScaleCrop>
  <LinksUpToDate>false</LinksUpToDate>
  <CharactersWithSpaces>6336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2025-02-07T09:11:00Z</dcterms:created>
  <dc:creator>cmcc</dc:creator>
  <cp:lastModifiedBy>cmcc-chunxia Guo</cp:lastModifiedBy>
  <dcterms:modified xsi:type="dcterms:W3CDTF">2025-05-09T02:44:01Z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