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58C66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  <w:highlight w:val="yellow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cs="Arial"/>
          <w:b/>
        </w:rPr>
        <w:t>15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508329</w:t>
      </w:r>
    </w:p>
    <w:p w14:paraId="701E8B75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>Malta, MT, 19</w:t>
      </w:r>
      <w:r>
        <w:rPr>
          <w:rFonts w:hint="eastAsia" w:ascii="Arial" w:hAnsi="Arial" w:eastAsia="宋体" w:cs="Arial"/>
          <w:b/>
          <w:vertAlign w:val="superscript"/>
        </w:rPr>
        <w:t>th</w:t>
      </w:r>
      <w:r>
        <w:rPr>
          <w:rFonts w:hint="eastAsia" w:ascii="Arial" w:hAnsi="Arial" w:eastAsia="宋体" w:cs="Arial"/>
          <w:b/>
        </w:rPr>
        <w:t xml:space="preserve"> - 23</w:t>
      </w:r>
      <w:r>
        <w:rPr>
          <w:rFonts w:hint="eastAsia" w:ascii="Arial" w:hAnsi="Arial" w:eastAsia="宋体" w:cs="Arial"/>
          <w:b/>
          <w:vertAlign w:val="superscript"/>
        </w:rPr>
        <w:t>rd</w:t>
      </w:r>
      <w:r>
        <w:rPr>
          <w:rFonts w:hint="eastAsia" w:ascii="Arial" w:hAnsi="Arial" w:eastAsia="宋体" w:cs="Arial"/>
          <w:b/>
        </w:rPr>
        <w:t xml:space="preserve"> May, 2025</w:t>
      </w:r>
    </w:p>
    <w:p w14:paraId="319C38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  <w:bookmarkStart w:id="1" w:name="_Hlk492190689"/>
      <w:bookmarkStart w:id="2" w:name="_Hlk134973178"/>
    </w:p>
    <w:bookmarkEnd w:id="1"/>
    <w:p w14:paraId="0CDD5F75">
      <w:pPr>
        <w:spacing w:after="60"/>
        <w:ind w:left="1985" w:hanging="1985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>LS on</w:t>
      </w:r>
      <w:r>
        <w:rPr>
          <w:rFonts w:hint="eastAsia" w:ascii="Arial" w:hAnsi="Arial" w:eastAsia="等线" w:cs="Arial"/>
          <w:sz w:val="20"/>
        </w:rPr>
        <w:t xml:space="preserve"> UE signaling design for NR ATG enh</w:t>
      </w:r>
    </w:p>
    <w:p w14:paraId="640D7D99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Rel-19</w:t>
      </w:r>
    </w:p>
    <w:p w14:paraId="1C2579E8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hint="eastAsia" w:ascii="Arial" w:hAnsi="Arial" w:eastAsia="等线" w:cs="Arial"/>
          <w:b/>
          <w:sz w:val="20"/>
        </w:rPr>
        <w:t>Work</w:t>
      </w:r>
      <w:r>
        <w:rPr>
          <w:rFonts w:ascii="Arial" w:hAnsi="Arial" w:eastAsia="等线" w:cs="Arial"/>
          <w:b/>
          <w:sz w:val="20"/>
        </w:rPr>
        <w:t xml:space="preserve">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>NR_ATG</w:t>
      </w:r>
      <w:r>
        <w:rPr>
          <w:rFonts w:hint="eastAsia" w:ascii="Arial" w:hAnsi="Arial" w:eastAsia="等线" w:cs="Arial"/>
          <w:bCs/>
          <w:sz w:val="20"/>
        </w:rPr>
        <w:t>_enh</w:t>
      </w:r>
    </w:p>
    <w:p w14:paraId="7EC96191"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</w:p>
    <w:p w14:paraId="3D51B543"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 w14:paraId="4ADFB5BC">
      <w:pPr>
        <w:spacing w:after="60"/>
        <w:ind w:left="1985" w:hanging="1985"/>
        <w:rPr>
          <w:rFonts w:ascii="Arial" w:hAnsi="Arial" w:eastAsia="宋体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 w14:paraId="61846EA0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</w:p>
    <w:p w14:paraId="0DC59AC6"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</w:p>
    <w:p w14:paraId="7DBBB6DB"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 w14:paraId="00EFA5AA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 w14:paraId="16B4848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 w14:paraId="43E9AF7B"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 w14:paraId="66CDF11B"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 w14:paraId="5BCBA9EF"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 w14:paraId="2A9C4FC9">
      <w:pPr>
        <w:spacing w:after="120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 w14:paraId="5411E24E">
      <w:pPr>
        <w:spacing w:after="312" w:afterLines="100"/>
        <w:jc w:val="both"/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sz w:val="20"/>
        </w:rPr>
        <w:t xml:space="preserve">In ATG network, </w:t>
      </w:r>
      <w:r>
        <w:rPr>
          <w:rFonts w:ascii="Arial" w:hAnsi="Arial" w:eastAsia="等线" w:cs="Arial"/>
          <w:sz w:val="20"/>
        </w:rPr>
        <w:t>when</w:t>
      </w:r>
      <w:r>
        <w:rPr>
          <w:rFonts w:hint="eastAsia" w:ascii="Arial" w:hAnsi="Arial" w:eastAsia="等线" w:cs="Arial"/>
          <w:sz w:val="20"/>
        </w:rPr>
        <w:t xml:space="preserve"> </w:t>
      </w:r>
      <w:r>
        <w:rPr>
          <w:rFonts w:ascii="Arial" w:hAnsi="Arial" w:eastAsia="等线" w:cs="Arial"/>
          <w:sz w:val="20"/>
        </w:rPr>
        <w:t xml:space="preserve">a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hint="eastAsia" w:ascii="Arial" w:hAnsi="Arial" w:eastAsia="等线" w:cs="Arial"/>
          <w:sz w:val="20"/>
        </w:rPr>
        <w:t xml:space="preserve"> on the </w:t>
      </w:r>
      <w:r>
        <w:rPr>
          <w:rFonts w:ascii="Arial" w:hAnsi="Arial" w:eastAsia="等线" w:cs="Arial"/>
          <w:sz w:val="20"/>
        </w:rPr>
        <w:t>SCC</w:t>
      </w:r>
      <w:r>
        <w:rPr>
          <w:rFonts w:hint="eastAsia" w:ascii="Arial" w:hAnsi="Arial" w:eastAsia="等线" w:cs="Arial"/>
          <w:sz w:val="20"/>
        </w:rPr>
        <w:t xml:space="preserve"> measures </w:t>
      </w:r>
      <w:r>
        <w:rPr>
          <w:rFonts w:ascii="Arial" w:hAnsi="Arial" w:eastAsia="等线" w:cs="Arial"/>
          <w:sz w:val="20"/>
        </w:rPr>
        <w:t>a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on SCC</w:t>
      </w:r>
      <w:r>
        <w:rPr>
          <w:rFonts w:hint="eastAsia" w:ascii="Arial" w:hAnsi="Arial" w:eastAsia="等线" w:cs="Arial"/>
          <w:sz w:val="20"/>
        </w:rPr>
        <w:t>, the</w:t>
      </w:r>
      <w:r>
        <w:rPr>
          <w:rFonts w:ascii="Arial" w:hAnsi="Arial" w:eastAsia="等线" w:cs="Arial"/>
          <w:sz w:val="20"/>
        </w:rPr>
        <w:t>re may be</w:t>
      </w:r>
      <w:r>
        <w:rPr>
          <w:rFonts w:hint="eastAsia" w:ascii="Arial" w:hAnsi="Arial" w:eastAsia="等线" w:cs="Arial"/>
          <w:sz w:val="20"/>
        </w:rPr>
        <w:t xml:space="preserve"> scheduling restriction</w:t>
      </w:r>
      <w:r>
        <w:rPr>
          <w:rFonts w:ascii="Arial" w:hAnsi="Arial" w:eastAsia="等线" w:cs="Arial"/>
          <w:sz w:val="20"/>
        </w:rPr>
        <w:t>s on the serving cell</w:t>
      </w:r>
      <w:r>
        <w:rPr>
          <w:rFonts w:hint="eastAsia" w:ascii="Arial" w:hAnsi="Arial" w:eastAsia="等线" w:cs="Arial"/>
          <w:sz w:val="20"/>
        </w:rPr>
        <w:t xml:space="preserve"> due to different Rx beam directions between serving cell and neighbour cell</w:t>
      </w:r>
      <w:r>
        <w:rPr>
          <w:rFonts w:ascii="Arial" w:hAnsi="Arial" w:eastAsia="等线" w:cs="Arial"/>
          <w:sz w:val="20"/>
        </w:rPr>
        <w:t>.</w:t>
      </w:r>
      <w:r>
        <w:rPr>
          <w:rFonts w:hint="eastAsia" w:ascii="Arial" w:hAnsi="Arial" w:eastAsia="等线" w:cs="Arial"/>
          <w:sz w:val="20"/>
        </w:rPr>
        <w:t xml:space="preserve"> RAN4 agreed to introduce a network signaling to indicate whether </w:t>
      </w:r>
      <w:r>
        <w:rPr>
          <w:rFonts w:ascii="Arial" w:hAnsi="Arial" w:eastAsia="等线" w:cs="Arial"/>
          <w:sz w:val="20"/>
        </w:rPr>
        <w:t xml:space="preserve">an ATG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ascii="Arial" w:hAnsi="Arial" w:eastAsia="等线" w:cs="Arial"/>
          <w:sz w:val="20"/>
        </w:rPr>
        <w:t xml:space="preserve"> on the SCC </w:t>
      </w:r>
      <w:r>
        <w:rPr>
          <w:rFonts w:hint="eastAsia" w:ascii="Arial" w:hAnsi="Arial" w:eastAsia="等线" w:cs="Arial"/>
          <w:sz w:val="20"/>
        </w:rPr>
        <w:t xml:space="preserve">shall </w:t>
      </w:r>
      <w:r>
        <w:rPr>
          <w:rFonts w:ascii="Arial" w:hAnsi="Arial" w:eastAsia="等线" w:cs="Arial"/>
          <w:sz w:val="20"/>
        </w:rPr>
        <w:t>perform the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measurements</w:t>
      </w:r>
      <w:r>
        <w:rPr>
          <w:rFonts w:hint="eastAsia" w:ascii="Arial" w:hAnsi="Arial" w:eastAsia="等线" w:cs="Arial"/>
          <w:sz w:val="20"/>
        </w:rPr>
        <w:t xml:space="preserve"> or not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SCC, i.e. to indicate whether </w:t>
      </w:r>
      <w:r>
        <w:rPr>
          <w:rFonts w:ascii="Arial" w:hAnsi="Arial" w:eastAsia="等线" w:cs="Arial"/>
          <w:sz w:val="20"/>
        </w:rPr>
        <w:t xml:space="preserve">the </w:t>
      </w:r>
      <w:r>
        <w:rPr>
          <w:rFonts w:hint="eastAsia" w:ascii="Arial" w:hAnsi="Arial" w:eastAsia="等线" w:cs="Arial"/>
          <w:sz w:val="20"/>
        </w:rPr>
        <w:t>UE is only required to measure the</w:t>
      </w:r>
      <w:bookmarkStart w:id="3" w:name="_GoBack"/>
      <w:bookmarkEnd w:id="3"/>
      <w:r>
        <w:rPr>
          <w:rFonts w:ascii="Arial" w:hAnsi="Arial" w:eastAsia="等线" w:cs="Arial"/>
          <w:sz w:val="20"/>
        </w:rPr>
        <w:t xml:space="preserve"> </w:t>
      </w:r>
      <w:r>
        <w:rPr>
          <w:rFonts w:hint="eastAsia" w:ascii="Arial" w:hAnsi="Arial" w:eastAsia="等线" w:cs="Arial"/>
          <w:sz w:val="20"/>
        </w:rPr>
        <w:t xml:space="preserve">serving cell or both serving and neighbour cell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SCC.</w:t>
      </w:r>
    </w:p>
    <w:p w14:paraId="395EE0FA">
      <w:pPr>
        <w:spacing w:after="312" w:afterLines="100"/>
        <w:jc w:val="both"/>
        <w:rPr>
          <w:rFonts w:ascii="Arial" w:hAnsi="Arial" w:eastAsia="等线" w:cs="Arial"/>
          <w:sz w:val="20"/>
        </w:rPr>
      </w:pPr>
      <w:r>
        <w:rPr>
          <w:rFonts w:ascii="Arial" w:hAnsi="Arial" w:eastAsia="等线" w:cs="Arial"/>
          <w:sz w:val="20"/>
        </w:rPr>
        <w:t xml:space="preserve">RAN4 also agreed that the </w:t>
      </w:r>
      <w:r>
        <w:rPr>
          <w:rFonts w:hint="eastAsia" w:ascii="Arial" w:hAnsi="Arial" w:eastAsia="等线" w:cs="Arial"/>
          <w:sz w:val="20"/>
        </w:rPr>
        <w:t>network signaling is</w:t>
      </w:r>
      <w:r>
        <w:rPr>
          <w:rFonts w:ascii="Arial" w:hAnsi="Arial" w:eastAsia="等线" w:cs="Arial"/>
          <w:sz w:val="20"/>
        </w:rPr>
        <w:t xml:space="preserve"> based on</w:t>
      </w:r>
      <w:r>
        <w:rPr>
          <w:rFonts w:hint="eastAsia" w:ascii="Arial" w:hAnsi="Arial" w:eastAsia="等线" w:cs="Arial"/>
          <w:sz w:val="20"/>
        </w:rPr>
        <w:t xml:space="preserve"> RRC.</w:t>
      </w:r>
    </w:p>
    <w:p w14:paraId="3AADD2D0">
      <w:pPr>
        <w:pBdr>
          <w:top w:val="single" w:color="auto" w:sz="4" w:space="0"/>
        </w:pBd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 w14:paraId="2A1A8029"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 w14:paraId="39C7F31E">
      <w:pPr>
        <w:spacing w:after="120"/>
        <w:ind w:left="993" w:hanging="993"/>
        <w:jc w:val="both"/>
        <w:rPr>
          <w:rFonts w:ascii="Arial" w:hAnsi="Arial" w:eastAsia="等线" w:cs="Arial"/>
          <w:bCs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 xml:space="preserve">RAN4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kindly </w:t>
      </w:r>
      <w:r>
        <w:rPr>
          <w:rFonts w:ascii="Arial" w:hAnsi="Arial" w:eastAsia="等线" w:cs="Arial"/>
          <w:bCs/>
          <w:color w:val="000000"/>
          <w:sz w:val="20"/>
        </w:rPr>
        <w:t>requests RAN</w:t>
      </w:r>
      <w:r>
        <w:rPr>
          <w:rFonts w:hint="eastAsia" w:ascii="Arial" w:hAnsi="Arial" w:eastAsia="等线" w:cs="Arial"/>
          <w:bCs/>
          <w:color w:val="000000"/>
          <w:sz w:val="20"/>
        </w:rPr>
        <w:t>2</w:t>
      </w:r>
      <w:r>
        <w:rPr>
          <w:rFonts w:ascii="Arial" w:hAnsi="Arial" w:eastAsia="等线" w:cs="Arial"/>
          <w:bCs/>
          <w:color w:val="000000"/>
          <w:sz w:val="20"/>
        </w:rPr>
        <w:t xml:space="preserve"> to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specify </w:t>
      </w:r>
      <w:r>
        <w:rPr>
          <w:rFonts w:ascii="Arial" w:hAnsi="Arial" w:eastAsia="等线" w:cs="Arial"/>
          <w:bCs/>
          <w:color w:val="000000"/>
          <w:sz w:val="20"/>
        </w:rPr>
        <w:t xml:space="preserve">RRC based </w:t>
      </w:r>
      <w:r>
        <w:rPr>
          <w:rFonts w:hint="eastAsia" w:ascii="Arial" w:hAnsi="Arial" w:eastAsia="等线" w:cs="Arial"/>
          <w:bCs/>
          <w:color w:val="000000"/>
          <w:sz w:val="20"/>
        </w:rPr>
        <w:t xml:space="preserve">network signaling </w:t>
      </w:r>
      <w:r>
        <w:rPr>
          <w:rFonts w:hint="eastAsia" w:ascii="Arial" w:hAnsi="Arial" w:eastAsia="等线" w:cs="Arial"/>
          <w:sz w:val="20"/>
        </w:rPr>
        <w:t xml:space="preserve">to indicate whether </w:t>
      </w:r>
      <w:r>
        <w:rPr>
          <w:rFonts w:ascii="Arial" w:hAnsi="Arial" w:eastAsia="等线" w:cs="Arial"/>
          <w:sz w:val="20"/>
        </w:rPr>
        <w:t xml:space="preserve">an ATG </w:t>
      </w:r>
      <w:r>
        <w:rPr>
          <w:rFonts w:hint="eastAsia" w:ascii="Arial" w:hAnsi="Arial" w:eastAsia="等线" w:cs="Arial"/>
          <w:sz w:val="20"/>
        </w:rPr>
        <w:t xml:space="preserve">UE supporting </w:t>
      </w:r>
      <w:r>
        <w:rPr>
          <w:rFonts w:ascii="Arial" w:hAnsi="Arial" w:eastAsia="等线" w:cs="Arial"/>
          <w:i/>
          <w:iCs/>
          <w:sz w:val="20"/>
        </w:rPr>
        <w:t>antennaArrayType-r18</w:t>
      </w:r>
      <w:r>
        <w:rPr>
          <w:rFonts w:hint="eastAsia" w:ascii="Arial" w:hAnsi="Arial" w:eastAsia="等线" w:cs="Arial"/>
          <w:sz w:val="20"/>
        </w:rPr>
        <w:t xml:space="preserve"> </w:t>
      </w:r>
      <w:r>
        <w:rPr>
          <w:rFonts w:ascii="Arial" w:hAnsi="Arial" w:eastAsia="等线" w:cs="Arial"/>
          <w:sz w:val="20"/>
        </w:rPr>
        <w:t xml:space="preserve"> on the SCC </w:t>
      </w:r>
      <w:r>
        <w:rPr>
          <w:rFonts w:hint="eastAsia" w:ascii="Arial" w:hAnsi="Arial" w:eastAsia="等线" w:cs="Arial"/>
          <w:sz w:val="20"/>
        </w:rPr>
        <w:t xml:space="preserve">shall </w:t>
      </w:r>
      <w:r>
        <w:rPr>
          <w:rFonts w:ascii="Arial" w:hAnsi="Arial" w:eastAsia="等线" w:cs="Arial"/>
          <w:sz w:val="20"/>
        </w:rPr>
        <w:t>perform the</w:t>
      </w:r>
      <w:r>
        <w:rPr>
          <w:rFonts w:hint="eastAsia" w:ascii="Arial" w:hAnsi="Arial" w:eastAsia="等线" w:cs="Arial"/>
          <w:sz w:val="20"/>
        </w:rPr>
        <w:t xml:space="preserve"> neighbour cell</w:t>
      </w:r>
      <w:r>
        <w:rPr>
          <w:rFonts w:ascii="Arial" w:hAnsi="Arial" w:eastAsia="等线" w:cs="Arial"/>
          <w:sz w:val="20"/>
        </w:rPr>
        <w:t xml:space="preserve"> measurements</w:t>
      </w:r>
      <w:r>
        <w:rPr>
          <w:rFonts w:hint="eastAsia" w:ascii="Arial" w:hAnsi="Arial" w:eastAsia="等线" w:cs="Arial"/>
          <w:sz w:val="20"/>
        </w:rPr>
        <w:t xml:space="preserve"> or not on the frequency configured by </w:t>
      </w:r>
      <w:r>
        <w:rPr>
          <w:rFonts w:hint="eastAsia" w:ascii="Arial" w:hAnsi="Arial" w:eastAsia="等线" w:cs="Arial"/>
          <w:i/>
          <w:iCs/>
          <w:sz w:val="20"/>
        </w:rPr>
        <w:t>servingcellMO</w:t>
      </w:r>
      <w:r>
        <w:rPr>
          <w:rFonts w:hint="eastAsia" w:ascii="Arial" w:hAnsi="Arial" w:eastAsia="等线" w:cs="Arial"/>
          <w:sz w:val="20"/>
        </w:rPr>
        <w:t xml:space="preserve"> for SCC</w:t>
      </w:r>
      <w:r>
        <w:rPr>
          <w:rFonts w:hint="eastAsia" w:ascii="Arial" w:hAnsi="Arial" w:eastAsia="等线" w:cs="Arial"/>
          <w:bCs/>
          <w:color w:val="000000"/>
          <w:sz w:val="20"/>
        </w:rPr>
        <w:t>.</w:t>
      </w:r>
    </w:p>
    <w:p w14:paraId="44153797"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 w14:paraId="2444E4D4"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 w14:paraId="17623052">
      <w:pPr>
        <w:tabs>
          <w:tab w:val="left" w:pos="4430"/>
        </w:tabs>
        <w:ind w:left="2268" w:hanging="2268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16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</w:rPr>
        <w:t>25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Aug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</w:rPr>
        <w:t>29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Aug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</w:rPr>
        <w:t>5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India (TBC) , IN</w:t>
      </w:r>
    </w:p>
    <w:p w14:paraId="0440E1B4">
      <w:pPr>
        <w:tabs>
          <w:tab w:val="left" w:pos="4430"/>
        </w:tabs>
        <w:ind w:left="2268" w:hanging="2268"/>
        <w:rPr>
          <w:sz w:val="20"/>
          <w:szCs w:val="20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</w:rPr>
        <w:t>16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-bis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</w:t>
      </w:r>
      <w:r>
        <w:rPr>
          <w:rFonts w:hint="eastAsia" w:ascii="Arial" w:hAnsi="Arial" w:eastAsia="宋体" w:cs="Arial"/>
          <w:bCs/>
          <w:sz w:val="20"/>
          <w:szCs w:val="20"/>
        </w:rPr>
        <w:t>3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>Oct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</w:t>
      </w:r>
      <w:r>
        <w:rPr>
          <w:rFonts w:hint="eastAsia" w:ascii="Arial" w:hAnsi="Arial" w:eastAsia="宋体" w:cs="Arial"/>
          <w:bCs/>
          <w:sz w:val="20"/>
          <w:szCs w:val="20"/>
        </w:rPr>
        <w:t>7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hint="eastAsia" w:ascii="Arial" w:hAnsi="Arial" w:eastAsia="宋体" w:cs="Arial"/>
          <w:bCs/>
          <w:sz w:val="20"/>
          <w:szCs w:val="20"/>
        </w:rPr>
        <w:t xml:space="preserve">Oct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202</w:t>
      </w:r>
      <w:r>
        <w:rPr>
          <w:rFonts w:hint="eastAsia" w:ascii="Arial" w:hAnsi="Arial" w:eastAsia="宋体" w:cs="Arial"/>
          <w:bCs/>
          <w:sz w:val="20"/>
          <w:szCs w:val="20"/>
        </w:rPr>
        <w:t>5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</w:t>
      </w:r>
      <w:bookmarkEnd w:id="2"/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Prague , CZ</w:t>
      </w:r>
    </w:p>
    <w:sectPr>
      <w:pgSz w:w="11906" w:h="16838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252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81E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EBC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3E49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143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1EE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1F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B56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4ECC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149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102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79E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5FB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83B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853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4E86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B36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4FF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1C3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77B1C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3E70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5D16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9F4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1A7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51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BBC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7E4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533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3020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2D2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6C3F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5C0D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0F1DC5"/>
    <w:rsid w:val="0B285455"/>
    <w:rsid w:val="0F490FA2"/>
    <w:rsid w:val="10CD115F"/>
    <w:rsid w:val="122E40F7"/>
    <w:rsid w:val="12CC1CC6"/>
    <w:rsid w:val="13F366BE"/>
    <w:rsid w:val="147A227D"/>
    <w:rsid w:val="14AF0C37"/>
    <w:rsid w:val="15633444"/>
    <w:rsid w:val="16CD00CC"/>
    <w:rsid w:val="16FC5C69"/>
    <w:rsid w:val="186D4AB4"/>
    <w:rsid w:val="19967BF0"/>
    <w:rsid w:val="19CE5937"/>
    <w:rsid w:val="1A054BBC"/>
    <w:rsid w:val="1A974518"/>
    <w:rsid w:val="1A9A08B1"/>
    <w:rsid w:val="1AB40B3E"/>
    <w:rsid w:val="1B6A400B"/>
    <w:rsid w:val="1B6B12F4"/>
    <w:rsid w:val="1BC67426"/>
    <w:rsid w:val="1CF1514F"/>
    <w:rsid w:val="1D6F7320"/>
    <w:rsid w:val="1DB22149"/>
    <w:rsid w:val="1F4D6252"/>
    <w:rsid w:val="21C1128B"/>
    <w:rsid w:val="25171174"/>
    <w:rsid w:val="25871FAC"/>
    <w:rsid w:val="27042AED"/>
    <w:rsid w:val="27612D3D"/>
    <w:rsid w:val="27BD27E3"/>
    <w:rsid w:val="28E25D56"/>
    <w:rsid w:val="2918438E"/>
    <w:rsid w:val="293C3677"/>
    <w:rsid w:val="2A745211"/>
    <w:rsid w:val="2B260516"/>
    <w:rsid w:val="2B712B46"/>
    <w:rsid w:val="2C7437AB"/>
    <w:rsid w:val="2D7D5B52"/>
    <w:rsid w:val="2DC86E21"/>
    <w:rsid w:val="2EA74C62"/>
    <w:rsid w:val="2F840DB4"/>
    <w:rsid w:val="2FAB2470"/>
    <w:rsid w:val="303502FD"/>
    <w:rsid w:val="314D0FF3"/>
    <w:rsid w:val="327542BD"/>
    <w:rsid w:val="32BA7818"/>
    <w:rsid w:val="342405CD"/>
    <w:rsid w:val="3756054C"/>
    <w:rsid w:val="37C270BE"/>
    <w:rsid w:val="3CFE6CB8"/>
    <w:rsid w:val="3D5C7BBB"/>
    <w:rsid w:val="41833605"/>
    <w:rsid w:val="42313EE1"/>
    <w:rsid w:val="42764173"/>
    <w:rsid w:val="43503A32"/>
    <w:rsid w:val="439240E9"/>
    <w:rsid w:val="43E500D1"/>
    <w:rsid w:val="43E53DDE"/>
    <w:rsid w:val="44043920"/>
    <w:rsid w:val="445F0D89"/>
    <w:rsid w:val="455F4B48"/>
    <w:rsid w:val="46E6770C"/>
    <w:rsid w:val="47A641CF"/>
    <w:rsid w:val="484808A4"/>
    <w:rsid w:val="48F646F4"/>
    <w:rsid w:val="49886BD5"/>
    <w:rsid w:val="4C1B3FFE"/>
    <w:rsid w:val="4C2C0012"/>
    <w:rsid w:val="4C3A3D97"/>
    <w:rsid w:val="4CA7138C"/>
    <w:rsid w:val="4CE91ACF"/>
    <w:rsid w:val="4D096757"/>
    <w:rsid w:val="4E743C4F"/>
    <w:rsid w:val="50C07050"/>
    <w:rsid w:val="50FA652F"/>
    <w:rsid w:val="5200412A"/>
    <w:rsid w:val="52F33BB3"/>
    <w:rsid w:val="53EA46B1"/>
    <w:rsid w:val="54DA4DB5"/>
    <w:rsid w:val="54EA11CC"/>
    <w:rsid w:val="54F97888"/>
    <w:rsid w:val="56825957"/>
    <w:rsid w:val="568F6B9D"/>
    <w:rsid w:val="575626D2"/>
    <w:rsid w:val="585C582B"/>
    <w:rsid w:val="5991769D"/>
    <w:rsid w:val="5A53333F"/>
    <w:rsid w:val="5ABA4D22"/>
    <w:rsid w:val="5ACC6290"/>
    <w:rsid w:val="5C3B5B36"/>
    <w:rsid w:val="5C7100A9"/>
    <w:rsid w:val="5E955CAE"/>
    <w:rsid w:val="5F6D60BB"/>
    <w:rsid w:val="5F8740B5"/>
    <w:rsid w:val="5FBE43C5"/>
    <w:rsid w:val="61294965"/>
    <w:rsid w:val="62A93F67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F7752A"/>
    <w:rsid w:val="69FC7CF7"/>
    <w:rsid w:val="6AD25FA2"/>
    <w:rsid w:val="6B131038"/>
    <w:rsid w:val="6B3D5AF2"/>
    <w:rsid w:val="6C017A25"/>
    <w:rsid w:val="6C8C6FBE"/>
    <w:rsid w:val="6D017DB9"/>
    <w:rsid w:val="6EFC7766"/>
    <w:rsid w:val="717C5965"/>
    <w:rsid w:val="719826B5"/>
    <w:rsid w:val="72A7775E"/>
    <w:rsid w:val="7308268F"/>
    <w:rsid w:val="7322392E"/>
    <w:rsid w:val="73376795"/>
    <w:rsid w:val="734316AE"/>
    <w:rsid w:val="74611512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E9666A4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Header Char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Heading 1 Char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Document Map Char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Heading 2 Char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Heading 3 Char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Heading 4 Char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Heading 5 Char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Heading 7 Char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Heading 8 Char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Heading 9 Char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5">
    <w:name w:val="Caption Char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Balloon Text Char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Footer Char"/>
    <w:link w:val="14"/>
    <w:qFormat/>
    <w:uiPriority w:val="99"/>
    <w:rPr>
      <w:sz w:val="18"/>
      <w:szCs w:val="18"/>
    </w:rPr>
  </w:style>
  <w:style w:type="character" w:customStyle="1" w:styleId="48">
    <w:name w:val="Comment Text Char"/>
    <w:basedOn w:val="21"/>
    <w:link w:val="12"/>
    <w:qFormat/>
    <w:uiPriority w:val="0"/>
  </w:style>
  <w:style w:type="character" w:customStyle="1" w:styleId="49">
    <w:name w:val="Comment Subject Char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List Paragraph Char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82">
    <w:name w:val="Revision2"/>
    <w:hidden/>
    <w:unhideWhenUsed/>
    <w:qFormat/>
    <w:uiPriority w:val="99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 Incorporated</Company>
  <Pages>1</Pages>
  <Words>331</Words>
  <Characters>1889</Characters>
  <Lines>15</Lines>
  <Paragraphs>4</Paragraphs>
  <TotalTime>62</TotalTime>
  <ScaleCrop>false</ScaleCrop>
  <LinksUpToDate>false</LinksUpToDate>
  <CharactersWithSpaces>2216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2025-05-22T13:59:00Z</dcterms:created>
  <dc:creator>Shiyuan Wang</dc:creator>
  <cp:lastModifiedBy>CMCC-shiyuan-0520</cp:lastModifiedBy>
  <dcterms:modified xsi:type="dcterms:W3CDTF">2025-05-23T06:54:35Z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DC78AAF179E44A93AF09C17796072AF0</vt:lpwstr>
  </property>
  <property fmtid="{D5CDD505-2E9C-101B-9397-08002B2CF9AE}" pid="4" name="GrammarlyDocumentId">
    <vt:lpwstr>00f641df-049b-4133-8ca2-e935d12b1de9</vt:lpwstr>
  </property>
</Properties>
</file>