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B76C4" w14:textId="77ED2629" w:rsidR="008148D8" w:rsidRPr="001C2D88" w:rsidRDefault="008148D8" w:rsidP="008148D8">
      <w:pPr>
        <w:spacing w:after="120"/>
        <w:ind w:left="1985" w:hanging="1985"/>
        <w:jc w:val="both"/>
        <w:rPr>
          <w:rFonts w:ascii="Arial" w:eastAsiaTheme="minorEastAsia" w:hAnsi="Arial" w:cs="Arial"/>
          <w:b/>
        </w:rPr>
      </w:pPr>
      <w:r w:rsidRPr="001C2D88">
        <w:rPr>
          <w:rFonts w:ascii="Arial" w:eastAsiaTheme="minorEastAsia" w:hAnsi="Arial" w:cs="Arial"/>
          <w:b/>
        </w:rPr>
        <w:t xml:space="preserve">3GPP TSG-RAN WG4 Meeting </w:t>
      </w:r>
      <w:r w:rsidRPr="00CE4C51">
        <w:rPr>
          <w:rFonts w:ascii="Arial" w:eastAsiaTheme="minorEastAsia" w:hAnsi="Arial" w:cs="Arial"/>
          <w:b/>
        </w:rPr>
        <w:t>#</w:t>
      </w:r>
      <w:r>
        <w:rPr>
          <w:rFonts w:ascii="Arial" w:eastAsiaTheme="minorEastAsia" w:hAnsi="Arial" w:cs="Arial"/>
          <w:b/>
        </w:rPr>
        <w:t>115</w:t>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t xml:space="preserve">               </w:t>
      </w:r>
      <w:r>
        <w:rPr>
          <w:rFonts w:ascii="Arial" w:eastAsiaTheme="minorEastAsia" w:hAnsi="Arial" w:cs="Arial"/>
          <w:b/>
        </w:rPr>
        <w:t xml:space="preserve">    </w:t>
      </w:r>
      <w:r w:rsidRPr="001C2D88">
        <w:rPr>
          <w:rFonts w:ascii="Arial" w:eastAsiaTheme="minorEastAsia" w:hAnsi="Arial" w:cs="Arial"/>
          <w:b/>
        </w:rPr>
        <w:t xml:space="preserve">    </w:t>
      </w:r>
      <w:r>
        <w:rPr>
          <w:rFonts w:ascii="Arial" w:eastAsiaTheme="minorEastAsia" w:hAnsi="Arial" w:cs="Arial"/>
          <w:b/>
        </w:rPr>
        <w:t xml:space="preserve"> </w:t>
      </w:r>
      <w:r w:rsidRPr="00191BFE">
        <w:rPr>
          <w:rFonts w:ascii="Arial" w:eastAsiaTheme="minorEastAsia" w:hAnsi="Arial" w:cs="Arial"/>
          <w:b/>
        </w:rPr>
        <w:t>R4-</w:t>
      </w:r>
      <w:r w:rsidRPr="00126B47">
        <w:rPr>
          <w:rFonts w:ascii="Arial" w:eastAsiaTheme="minorEastAsia" w:hAnsi="Arial" w:cs="Arial"/>
          <w:b/>
        </w:rPr>
        <w:t>2</w:t>
      </w:r>
      <w:r w:rsidR="002C33DC">
        <w:rPr>
          <w:rFonts w:ascii="Arial" w:eastAsiaTheme="minorEastAsia" w:hAnsi="Arial" w:cs="Arial"/>
          <w:b/>
        </w:rPr>
        <w:t>507785</w:t>
      </w:r>
    </w:p>
    <w:p w14:paraId="30781312" w14:textId="77777777" w:rsidR="008148D8" w:rsidRPr="001C2D88" w:rsidRDefault="008148D8" w:rsidP="008148D8">
      <w:pPr>
        <w:spacing w:after="120"/>
        <w:ind w:left="1985" w:hanging="1985"/>
        <w:jc w:val="both"/>
        <w:rPr>
          <w:rFonts w:ascii="Arial" w:eastAsiaTheme="minorEastAsia" w:hAnsi="Arial" w:cs="Arial"/>
          <w:b/>
        </w:rPr>
      </w:pPr>
      <w:r>
        <w:rPr>
          <w:rFonts w:ascii="Arial" w:eastAsiaTheme="minorEastAsia" w:hAnsi="Arial" w:cs="Arial"/>
          <w:b/>
        </w:rPr>
        <w:t>St Julian’s,</w:t>
      </w:r>
      <w:r w:rsidRPr="00CE4C51">
        <w:rPr>
          <w:rFonts w:ascii="Arial" w:eastAsiaTheme="minorEastAsia" w:hAnsi="Arial" w:cs="Arial"/>
          <w:b/>
        </w:rPr>
        <w:t xml:space="preserve"> </w:t>
      </w:r>
      <w:r>
        <w:rPr>
          <w:rFonts w:ascii="Arial" w:eastAsiaTheme="minorEastAsia" w:hAnsi="Arial" w:cs="Arial"/>
          <w:b/>
        </w:rPr>
        <w:t>Malta, May</w:t>
      </w:r>
      <w:r w:rsidRPr="00CE4C51">
        <w:rPr>
          <w:rFonts w:ascii="Arial" w:hAnsi="Arial" w:cs="Arial"/>
          <w:b/>
        </w:rPr>
        <w:t xml:space="preserve"> </w:t>
      </w:r>
      <w:r>
        <w:rPr>
          <w:rFonts w:ascii="Arial" w:hAnsi="Arial" w:cs="Arial"/>
          <w:b/>
        </w:rPr>
        <w:t>19</w:t>
      </w:r>
      <w:r w:rsidRPr="00CE4C51">
        <w:rPr>
          <w:rFonts w:ascii="Arial" w:hAnsi="Arial" w:cs="Arial"/>
          <w:b/>
        </w:rPr>
        <w:t xml:space="preserve"> </w:t>
      </w:r>
      <w:r w:rsidRPr="00CE4C51">
        <w:rPr>
          <w:rFonts w:ascii="Arial" w:hAnsi="Arial" w:cs="Arial"/>
          <w:b/>
          <w:bCs/>
        </w:rPr>
        <w:t xml:space="preserve">– </w:t>
      </w:r>
      <w:r>
        <w:rPr>
          <w:rFonts w:ascii="Arial" w:hAnsi="Arial" w:cs="Arial"/>
          <w:b/>
        </w:rPr>
        <w:t>23</w:t>
      </w:r>
      <w:r w:rsidRPr="00CE4C51">
        <w:rPr>
          <w:rFonts w:ascii="Arial" w:hAnsi="Arial" w:cs="Arial"/>
          <w:b/>
          <w:bCs/>
        </w:rPr>
        <w:t>, 202</w:t>
      </w:r>
      <w:r>
        <w:rPr>
          <w:rFonts w:ascii="Arial" w:hAnsi="Arial" w:cs="Arial"/>
          <w:b/>
          <w:bCs/>
        </w:rPr>
        <w:t>5</w:t>
      </w:r>
    </w:p>
    <w:p w14:paraId="1FA050DE" w14:textId="4F90368D" w:rsidR="0083351C" w:rsidRPr="001C2D88" w:rsidRDefault="00A14FF6" w:rsidP="00A14FF6">
      <w:pPr>
        <w:tabs>
          <w:tab w:val="left" w:pos="2623"/>
        </w:tabs>
        <w:spacing w:after="120"/>
        <w:ind w:left="1985" w:hanging="1985"/>
        <w:jc w:val="both"/>
        <w:rPr>
          <w:rFonts w:ascii="Arial" w:eastAsia="MS Mincho" w:hAnsi="Arial" w:cs="Arial"/>
          <w:b/>
          <w:sz w:val="22"/>
        </w:rPr>
      </w:pPr>
      <w:r w:rsidRPr="001C2D88">
        <w:rPr>
          <w:rFonts w:ascii="Arial" w:eastAsia="MS Mincho" w:hAnsi="Arial" w:cs="Arial"/>
          <w:b/>
          <w:sz w:val="22"/>
        </w:rPr>
        <w:tab/>
      </w:r>
      <w:r w:rsidRPr="001C2D88">
        <w:rPr>
          <w:rFonts w:ascii="Arial" w:eastAsia="MS Mincho" w:hAnsi="Arial" w:cs="Arial"/>
          <w:b/>
          <w:sz w:val="22"/>
        </w:rPr>
        <w:tab/>
      </w:r>
    </w:p>
    <w:p w14:paraId="644B0520" w14:textId="4428AEC1" w:rsidR="0083351C" w:rsidRPr="001C2D88"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Agenda item:</w:t>
      </w:r>
      <w:r w:rsidRPr="001C2D88">
        <w:rPr>
          <w:rFonts w:ascii="Arial" w:eastAsia="MS Mincho" w:hAnsi="Arial" w:cs="Arial"/>
          <w:b/>
          <w:color w:val="000000"/>
          <w:sz w:val="22"/>
        </w:rPr>
        <w:tab/>
      </w:r>
      <w:r w:rsidRPr="001C2D88">
        <w:rPr>
          <w:rFonts w:ascii="Arial" w:eastAsia="MS Mincho" w:hAnsi="Arial" w:cs="Arial"/>
          <w:b/>
          <w:color w:val="000000"/>
          <w:sz w:val="22"/>
          <w:lang w:eastAsia="ja-JP"/>
        </w:rPr>
        <w:tab/>
      </w:r>
      <w:r w:rsidRPr="001C2D88">
        <w:rPr>
          <w:rFonts w:ascii="Arial" w:eastAsia="MS Mincho" w:hAnsi="Arial" w:cs="Arial"/>
          <w:b/>
          <w:color w:val="000000"/>
          <w:sz w:val="22"/>
          <w:lang w:eastAsia="ja-JP"/>
        </w:rPr>
        <w:tab/>
      </w:r>
      <w:r w:rsidR="00586A24">
        <w:rPr>
          <w:rFonts w:ascii="Arial" w:eastAsiaTheme="minorEastAsia" w:hAnsi="Arial" w:cs="Arial"/>
          <w:color w:val="000000"/>
          <w:sz w:val="22"/>
        </w:rPr>
        <w:t>7</w:t>
      </w:r>
      <w:r w:rsidR="0019209A">
        <w:rPr>
          <w:rFonts w:ascii="Arial" w:eastAsiaTheme="minorEastAsia" w:hAnsi="Arial" w:cs="Arial"/>
          <w:color w:val="000000"/>
          <w:sz w:val="22"/>
        </w:rPr>
        <w:t>.</w:t>
      </w:r>
      <w:r w:rsidR="00455C33">
        <w:rPr>
          <w:rFonts w:ascii="Arial" w:eastAsiaTheme="minorEastAsia" w:hAnsi="Arial" w:cs="Arial"/>
          <w:color w:val="000000"/>
          <w:sz w:val="22"/>
        </w:rPr>
        <w:t>10</w:t>
      </w:r>
      <w:r w:rsidR="0019209A">
        <w:rPr>
          <w:rFonts w:ascii="Arial" w:eastAsiaTheme="minorEastAsia" w:hAnsi="Arial" w:cs="Arial"/>
          <w:color w:val="000000"/>
          <w:sz w:val="22"/>
        </w:rPr>
        <w:t>.</w:t>
      </w:r>
      <w:r w:rsidR="008148D8">
        <w:rPr>
          <w:rFonts w:ascii="Arial" w:eastAsiaTheme="minorEastAsia" w:hAnsi="Arial" w:cs="Arial"/>
          <w:color w:val="000000"/>
          <w:sz w:val="22"/>
        </w:rPr>
        <w:t>3</w:t>
      </w:r>
      <w:r w:rsidR="002E63E9">
        <w:rPr>
          <w:rFonts w:ascii="Arial" w:eastAsiaTheme="minorEastAsia" w:hAnsi="Arial" w:cs="Arial"/>
          <w:color w:val="000000"/>
          <w:sz w:val="22"/>
        </w:rPr>
        <w:t>.</w:t>
      </w:r>
      <w:r w:rsidR="00C41361">
        <w:rPr>
          <w:rFonts w:ascii="Arial" w:eastAsiaTheme="minorEastAsia" w:hAnsi="Arial" w:cs="Arial"/>
          <w:color w:val="000000"/>
          <w:sz w:val="22"/>
        </w:rPr>
        <w:t>2.2</w:t>
      </w:r>
    </w:p>
    <w:p w14:paraId="2D108A79" w14:textId="7AAC24FD" w:rsidR="0083351C" w:rsidRPr="00A62AC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33B0279B" w:rsidR="0083351C" w:rsidRPr="00871689"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2E63E9" w:rsidRPr="002E63E9">
        <w:rPr>
          <w:rFonts w:ascii="Arial" w:eastAsia="MS Mincho" w:hAnsi="Arial" w:cs="Arial"/>
          <w:sz w:val="22"/>
        </w:rPr>
        <w:t xml:space="preserve">On </w:t>
      </w:r>
      <w:r w:rsidR="00D36AEA">
        <w:rPr>
          <w:rFonts w:ascii="Arial" w:eastAsia="MS Mincho" w:hAnsi="Arial" w:cs="Arial"/>
          <w:sz w:val="22"/>
        </w:rPr>
        <w:t xml:space="preserve">the </w:t>
      </w:r>
      <w:r w:rsidR="00895C20">
        <w:rPr>
          <w:rFonts w:ascii="Arial" w:eastAsia="MS Mincho" w:hAnsi="Arial" w:cs="Arial"/>
          <w:sz w:val="22"/>
        </w:rPr>
        <w:t xml:space="preserve">UE RF </w:t>
      </w:r>
      <w:r w:rsidR="00057C41">
        <w:rPr>
          <w:rFonts w:ascii="Arial" w:eastAsia="MS Mincho" w:hAnsi="Arial" w:cs="Arial"/>
          <w:sz w:val="22"/>
        </w:rPr>
        <w:t>R</w:t>
      </w:r>
      <w:r w:rsidR="005027A6">
        <w:rPr>
          <w:rFonts w:ascii="Arial" w:eastAsia="MS Mincho" w:hAnsi="Arial" w:cs="Arial"/>
          <w:sz w:val="22"/>
        </w:rPr>
        <w:t xml:space="preserve">x </w:t>
      </w:r>
      <w:r w:rsidR="00895C20">
        <w:rPr>
          <w:rFonts w:ascii="Arial" w:eastAsia="MS Mincho" w:hAnsi="Arial" w:cs="Arial"/>
          <w:sz w:val="22"/>
        </w:rPr>
        <w:t>requirements</w:t>
      </w:r>
      <w:r w:rsidR="002E63E9" w:rsidRPr="002E63E9">
        <w:rPr>
          <w:rFonts w:ascii="Arial" w:eastAsia="MS Mincho" w:hAnsi="Arial" w:cs="Arial"/>
          <w:sz w:val="22"/>
        </w:rPr>
        <w:t xml:space="preserve"> </w:t>
      </w:r>
      <w:r w:rsidR="009954E8">
        <w:rPr>
          <w:rFonts w:ascii="Arial" w:eastAsia="MS Mincho" w:hAnsi="Arial" w:cs="Arial"/>
          <w:sz w:val="22"/>
        </w:rPr>
        <w:t xml:space="preserve">for </w:t>
      </w:r>
      <w:r w:rsidR="00C41361">
        <w:rPr>
          <w:rFonts w:ascii="Arial" w:eastAsia="MS Mincho" w:hAnsi="Arial" w:cs="Arial"/>
          <w:sz w:val="22"/>
        </w:rPr>
        <w:t>NR-</w:t>
      </w:r>
      <w:r w:rsidR="009954E8">
        <w:rPr>
          <w:rFonts w:ascii="Arial" w:eastAsia="MS Mincho" w:hAnsi="Arial" w:cs="Arial"/>
          <w:sz w:val="22"/>
        </w:rPr>
        <w:t>NTN</w:t>
      </w:r>
      <w:r w:rsidR="005027A6">
        <w:rPr>
          <w:rFonts w:ascii="Arial" w:eastAsia="MS Mincho" w:hAnsi="Arial" w:cs="Arial"/>
          <w:sz w:val="22"/>
        </w:rPr>
        <w:t xml:space="preserve"> HPUE</w:t>
      </w:r>
    </w:p>
    <w:p w14:paraId="1870DC1E" w14:textId="1D860D94" w:rsidR="0083351C" w:rsidRPr="00871689" w:rsidRDefault="00CF21FF" w:rsidP="00E821A1">
      <w:pPr>
        <w:spacing w:after="120"/>
        <w:ind w:left="1985" w:hanging="1985"/>
        <w:jc w:val="both"/>
        <w:rPr>
          <w:rFonts w:ascii="Arial" w:eastAsiaTheme="minorEastAsia" w:hAnsi="Arial" w:cs="Arial"/>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871689">
        <w:rPr>
          <w:rFonts w:ascii="Arial" w:eastAsiaTheme="minorEastAsia" w:hAnsi="Arial" w:cs="Arial"/>
          <w:color w:val="000000"/>
          <w:sz w:val="22"/>
        </w:rPr>
        <w:t>Approval</w:t>
      </w: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23C5B2E4" w14:textId="1F422C70" w:rsidR="00CB2802" w:rsidRDefault="00CB2802" w:rsidP="00CB2802">
      <w:pPr>
        <w:spacing w:after="120"/>
        <w:jc w:val="both"/>
        <w:rPr>
          <w:sz w:val="21"/>
          <w:szCs w:val="21"/>
        </w:rPr>
      </w:pPr>
      <w:r>
        <w:rPr>
          <w:sz w:val="21"/>
          <w:szCs w:val="21"/>
        </w:rPr>
        <w:t>In RAN#10</w:t>
      </w:r>
      <w:r w:rsidR="00863D3A">
        <w:rPr>
          <w:sz w:val="21"/>
          <w:szCs w:val="21"/>
        </w:rPr>
        <w:t>6</w:t>
      </w:r>
      <w:r>
        <w:rPr>
          <w:sz w:val="21"/>
          <w:szCs w:val="21"/>
        </w:rPr>
        <w:t>, a revised WID has been approved for “</w:t>
      </w:r>
      <w:r w:rsidRPr="00755DC2">
        <w:rPr>
          <w:sz w:val="21"/>
          <w:szCs w:val="21"/>
        </w:rPr>
        <w:t>Enhanced requirements and conductive test methodology for NR NTN and IoT NTN</w:t>
      </w:r>
      <w:r>
        <w:rPr>
          <w:sz w:val="21"/>
          <w:szCs w:val="21"/>
        </w:rPr>
        <w:t>” WI [1]</w:t>
      </w:r>
      <w:r w:rsidRPr="009118AB">
        <w:rPr>
          <w:sz w:val="21"/>
          <w:szCs w:val="21"/>
        </w:rPr>
        <w:t>.</w:t>
      </w:r>
      <w:r>
        <w:rPr>
          <w:sz w:val="21"/>
          <w:szCs w:val="21"/>
        </w:rPr>
        <w:t xml:space="preserve"> One of the three working areas of the WI is to specify </w:t>
      </w:r>
      <w:r w:rsidRPr="005027A6">
        <w:rPr>
          <w:sz w:val="21"/>
          <w:szCs w:val="21"/>
        </w:rPr>
        <w:t>High power UE (HPUE)</w:t>
      </w:r>
      <w:r>
        <w:rPr>
          <w:sz w:val="21"/>
          <w:szCs w:val="21"/>
        </w:rPr>
        <w:t xml:space="preserve"> requirements</w:t>
      </w:r>
      <w:r w:rsidRPr="005027A6">
        <w:rPr>
          <w:sz w:val="21"/>
          <w:szCs w:val="21"/>
        </w:rPr>
        <w:t xml:space="preserve"> for </w:t>
      </w:r>
      <w:r>
        <w:rPr>
          <w:sz w:val="21"/>
          <w:szCs w:val="21"/>
        </w:rPr>
        <w:t>NR-</w:t>
      </w:r>
      <w:r w:rsidRPr="005027A6">
        <w:rPr>
          <w:sz w:val="21"/>
          <w:szCs w:val="21"/>
        </w:rPr>
        <w:t>NTN</w:t>
      </w:r>
      <w:r>
        <w:rPr>
          <w:sz w:val="21"/>
          <w:szCs w:val="21"/>
        </w:rPr>
        <w:t xml:space="preserve"> with the following objectives:</w:t>
      </w:r>
    </w:p>
    <w:p w14:paraId="726C968A" w14:textId="77777777" w:rsidR="00CB2802" w:rsidRPr="005027A6" w:rsidRDefault="00CB2802" w:rsidP="00CB2802">
      <w:pPr>
        <w:numPr>
          <w:ilvl w:val="0"/>
          <w:numId w:val="14"/>
        </w:numPr>
        <w:spacing w:after="120"/>
        <w:jc w:val="both"/>
        <w:rPr>
          <w:rFonts w:eastAsia="MS Mincho"/>
          <w:i/>
          <w:iCs/>
          <w:sz w:val="21"/>
          <w:szCs w:val="21"/>
        </w:rPr>
      </w:pPr>
      <w:r w:rsidRPr="005027A6">
        <w:rPr>
          <w:rFonts w:eastAsia="MS Mincho"/>
          <w:i/>
          <w:iCs/>
          <w:sz w:val="21"/>
          <w:szCs w:val="21"/>
        </w:rPr>
        <w:t>Specify high power UE (HPUE) for NR-NTN (Non-Terrestrial Networks) and IoT-NTN (NB-IoT and eMTC based NTN) in FR1-NTN bands and the corresponding LTE NTN bands for the single uplink (UL) carrier scenario</w:t>
      </w:r>
    </w:p>
    <w:p w14:paraId="4AD8116F" w14:textId="77777777" w:rsidR="00CB2802" w:rsidRPr="005027A6" w:rsidRDefault="00CB2802" w:rsidP="00CB2802">
      <w:pPr>
        <w:numPr>
          <w:ilvl w:val="1"/>
          <w:numId w:val="14"/>
        </w:numPr>
        <w:spacing w:after="120"/>
        <w:jc w:val="both"/>
        <w:rPr>
          <w:rFonts w:eastAsia="MS Mincho"/>
          <w:i/>
          <w:iCs/>
          <w:sz w:val="21"/>
          <w:szCs w:val="21"/>
        </w:rPr>
      </w:pPr>
      <w:r w:rsidRPr="005027A6">
        <w:rPr>
          <w:rFonts w:eastAsia="MS Mincho"/>
          <w:i/>
          <w:iCs/>
          <w:sz w:val="21"/>
          <w:szCs w:val="21"/>
        </w:rPr>
        <w:t>Support UE with power class 2 (PC2, 26 dBm) that applies to both handheld and non-handheld based on the co-existence study.</w:t>
      </w:r>
    </w:p>
    <w:p w14:paraId="5E21BF57" w14:textId="77777777" w:rsidR="00CB2802" w:rsidRPr="005027A6" w:rsidRDefault="00CB2802" w:rsidP="00CB2802">
      <w:pPr>
        <w:numPr>
          <w:ilvl w:val="1"/>
          <w:numId w:val="14"/>
        </w:numPr>
        <w:spacing w:after="120"/>
        <w:jc w:val="both"/>
        <w:rPr>
          <w:rFonts w:eastAsia="MS Mincho"/>
          <w:i/>
          <w:iCs/>
          <w:sz w:val="21"/>
          <w:szCs w:val="21"/>
        </w:rPr>
      </w:pPr>
      <w:r w:rsidRPr="005027A6">
        <w:rPr>
          <w:rFonts w:eastAsia="MS Mincho"/>
          <w:i/>
          <w:iCs/>
          <w:sz w:val="21"/>
          <w:szCs w:val="21"/>
        </w:rPr>
        <w:t>Support other power classes based on the co-existence and feasibility study</w:t>
      </w:r>
    </w:p>
    <w:p w14:paraId="4FB65BA6" w14:textId="77777777" w:rsidR="00CB2802" w:rsidRPr="005027A6" w:rsidRDefault="00CB2802" w:rsidP="00CB2802">
      <w:pPr>
        <w:numPr>
          <w:ilvl w:val="2"/>
          <w:numId w:val="14"/>
        </w:numPr>
        <w:spacing w:after="120"/>
        <w:jc w:val="both"/>
        <w:rPr>
          <w:rFonts w:eastAsia="MS Mincho"/>
          <w:i/>
          <w:iCs/>
          <w:sz w:val="21"/>
          <w:szCs w:val="21"/>
        </w:rPr>
      </w:pPr>
      <w:r w:rsidRPr="005027A6">
        <w:rPr>
          <w:rFonts w:eastAsia="MS Mincho"/>
          <w:i/>
          <w:iCs/>
          <w:sz w:val="21"/>
          <w:szCs w:val="21"/>
        </w:rPr>
        <w:t>Non-hand held UE is prioritized</w:t>
      </w:r>
    </w:p>
    <w:p w14:paraId="21E6D07D" w14:textId="77777777" w:rsidR="00CB2802" w:rsidRPr="005027A6" w:rsidRDefault="00CB2802" w:rsidP="00CB2802">
      <w:pPr>
        <w:numPr>
          <w:ilvl w:val="1"/>
          <w:numId w:val="14"/>
        </w:numPr>
        <w:spacing w:after="120"/>
        <w:jc w:val="both"/>
        <w:rPr>
          <w:rFonts w:eastAsia="MS Mincho"/>
          <w:i/>
          <w:iCs/>
          <w:sz w:val="21"/>
          <w:szCs w:val="21"/>
        </w:rPr>
      </w:pPr>
      <w:r w:rsidRPr="005027A6">
        <w:rPr>
          <w:rFonts w:eastAsia="MS Mincho"/>
          <w:i/>
          <w:iCs/>
          <w:sz w:val="21"/>
          <w:szCs w:val="21"/>
        </w:rPr>
        <w:t>Specify RF requirements for all considered power classes for NR-NTN and IoT-NTN in FR1-NTN bands and the corresponding LTE NTN bands</w:t>
      </w:r>
    </w:p>
    <w:p w14:paraId="2ED91571" w14:textId="77777777" w:rsidR="00CB2802" w:rsidRPr="005027A6" w:rsidRDefault="00CB2802" w:rsidP="00CB2802">
      <w:pPr>
        <w:numPr>
          <w:ilvl w:val="2"/>
          <w:numId w:val="14"/>
        </w:numPr>
        <w:spacing w:after="120"/>
        <w:jc w:val="both"/>
        <w:rPr>
          <w:rFonts w:eastAsia="MS Mincho"/>
          <w:i/>
          <w:iCs/>
          <w:sz w:val="21"/>
          <w:szCs w:val="21"/>
        </w:rPr>
      </w:pPr>
      <w:r w:rsidRPr="005027A6">
        <w:rPr>
          <w:rFonts w:eastAsia="MS Mincho"/>
          <w:i/>
          <w:iCs/>
          <w:sz w:val="21"/>
          <w:szCs w:val="21"/>
        </w:rPr>
        <w:t>Necessary Tx requirements, at least including</w:t>
      </w:r>
    </w:p>
    <w:p w14:paraId="59185535" w14:textId="77777777" w:rsidR="00CB2802" w:rsidRPr="005027A6" w:rsidRDefault="00CB2802" w:rsidP="00CB2802">
      <w:pPr>
        <w:numPr>
          <w:ilvl w:val="3"/>
          <w:numId w:val="14"/>
        </w:numPr>
        <w:spacing w:after="120"/>
        <w:jc w:val="both"/>
        <w:rPr>
          <w:rFonts w:eastAsia="MS Mincho"/>
          <w:i/>
          <w:iCs/>
          <w:sz w:val="21"/>
          <w:szCs w:val="21"/>
        </w:rPr>
      </w:pPr>
      <w:r w:rsidRPr="005027A6">
        <w:rPr>
          <w:rFonts w:eastAsia="MS Mincho"/>
          <w:i/>
          <w:iCs/>
          <w:sz w:val="21"/>
          <w:szCs w:val="21"/>
        </w:rPr>
        <w:t>Investigate and if necessary, specify the solution to address potential SAR (Specific Absorption Rate restriction) requirements for handheld UE</w:t>
      </w:r>
    </w:p>
    <w:p w14:paraId="1589C532" w14:textId="77777777" w:rsidR="00CB2802" w:rsidRPr="005027A6" w:rsidRDefault="00CB2802" w:rsidP="00CB2802">
      <w:pPr>
        <w:numPr>
          <w:ilvl w:val="3"/>
          <w:numId w:val="14"/>
        </w:numPr>
        <w:spacing w:after="120"/>
        <w:jc w:val="both"/>
        <w:rPr>
          <w:rFonts w:eastAsia="MS Mincho"/>
          <w:i/>
          <w:iCs/>
          <w:sz w:val="21"/>
          <w:szCs w:val="21"/>
        </w:rPr>
      </w:pPr>
      <w:r w:rsidRPr="005027A6">
        <w:rPr>
          <w:rFonts w:eastAsia="MS Mincho"/>
          <w:i/>
          <w:iCs/>
          <w:sz w:val="21"/>
          <w:szCs w:val="21"/>
        </w:rPr>
        <w:t>Specify MPR and A-MPR for the example bands considering the regulation for the corresponding bands, if necessary</w:t>
      </w:r>
    </w:p>
    <w:p w14:paraId="615EDB11" w14:textId="77777777" w:rsidR="00CB2802" w:rsidRPr="005027A6" w:rsidRDefault="00CB2802" w:rsidP="00CB2802">
      <w:pPr>
        <w:numPr>
          <w:ilvl w:val="2"/>
          <w:numId w:val="14"/>
        </w:numPr>
        <w:spacing w:after="120"/>
        <w:jc w:val="both"/>
        <w:rPr>
          <w:rFonts w:eastAsia="MS Mincho"/>
          <w:i/>
          <w:iCs/>
          <w:sz w:val="21"/>
          <w:szCs w:val="21"/>
        </w:rPr>
      </w:pPr>
      <w:r w:rsidRPr="005027A6">
        <w:rPr>
          <w:rFonts w:eastAsia="MS Mincho"/>
          <w:i/>
          <w:iCs/>
          <w:sz w:val="21"/>
          <w:szCs w:val="21"/>
        </w:rPr>
        <w:t>Necessary Rx requirements, at least including</w:t>
      </w:r>
    </w:p>
    <w:p w14:paraId="0F06F518" w14:textId="77777777" w:rsidR="00CB2802" w:rsidRPr="005027A6" w:rsidRDefault="00CB2802" w:rsidP="00CB2802">
      <w:pPr>
        <w:numPr>
          <w:ilvl w:val="3"/>
          <w:numId w:val="14"/>
        </w:numPr>
        <w:spacing w:after="120"/>
        <w:jc w:val="both"/>
        <w:rPr>
          <w:rFonts w:eastAsia="MS Mincho"/>
          <w:i/>
          <w:iCs/>
          <w:sz w:val="21"/>
          <w:szCs w:val="21"/>
        </w:rPr>
      </w:pPr>
      <w:r w:rsidRPr="005027A6">
        <w:rPr>
          <w:rFonts w:eastAsia="MS Mincho"/>
          <w:i/>
          <w:iCs/>
          <w:sz w:val="21"/>
          <w:szCs w:val="21"/>
        </w:rPr>
        <w:t>Specify the RSD requirements on the example bands, if necessary</w:t>
      </w:r>
    </w:p>
    <w:p w14:paraId="18F54C00" w14:textId="77777777" w:rsidR="00CB2802" w:rsidRPr="005027A6" w:rsidRDefault="00CB2802" w:rsidP="00CB2802">
      <w:pPr>
        <w:numPr>
          <w:ilvl w:val="0"/>
          <w:numId w:val="14"/>
        </w:numPr>
        <w:spacing w:after="120"/>
        <w:jc w:val="both"/>
        <w:rPr>
          <w:rFonts w:eastAsia="MS Mincho"/>
          <w:i/>
          <w:iCs/>
          <w:sz w:val="21"/>
          <w:szCs w:val="21"/>
        </w:rPr>
      </w:pPr>
      <w:r w:rsidRPr="005027A6">
        <w:rPr>
          <w:rFonts w:eastAsia="MS Mincho"/>
          <w:i/>
          <w:iCs/>
          <w:sz w:val="21"/>
          <w:szCs w:val="21"/>
        </w:rPr>
        <w:t>Specify the necessary signaling to support the above objectives</w:t>
      </w:r>
    </w:p>
    <w:p w14:paraId="4A1C25F3" w14:textId="526A0C14" w:rsidR="00FF1593" w:rsidRPr="00770531" w:rsidRDefault="00FF1593" w:rsidP="00FF1593">
      <w:pPr>
        <w:spacing w:after="120"/>
        <w:jc w:val="both"/>
        <w:rPr>
          <w:sz w:val="21"/>
          <w:szCs w:val="21"/>
        </w:rPr>
      </w:pPr>
      <w:r>
        <w:rPr>
          <w:sz w:val="21"/>
          <w:szCs w:val="21"/>
        </w:rPr>
        <w:t xml:space="preserve">In this contribution, we discuss the open issues on UE RF </w:t>
      </w:r>
      <w:r w:rsidR="00E34CD5">
        <w:rPr>
          <w:sz w:val="21"/>
          <w:szCs w:val="21"/>
        </w:rPr>
        <w:t>R</w:t>
      </w:r>
      <w:r>
        <w:rPr>
          <w:sz w:val="21"/>
          <w:szCs w:val="21"/>
        </w:rPr>
        <w:t>x requirements for NR-NTN HPUE from the approved WF in RAN4#1</w:t>
      </w:r>
      <w:r w:rsidR="00863D3A">
        <w:rPr>
          <w:sz w:val="21"/>
          <w:szCs w:val="21"/>
        </w:rPr>
        <w:t>1</w:t>
      </w:r>
      <w:r w:rsidR="00FF4D3E">
        <w:rPr>
          <w:sz w:val="21"/>
          <w:szCs w:val="21"/>
        </w:rPr>
        <w:t>4</w:t>
      </w:r>
      <w:r w:rsidR="008148D8">
        <w:rPr>
          <w:sz w:val="21"/>
          <w:szCs w:val="21"/>
        </w:rPr>
        <w:t>-bis</w:t>
      </w:r>
      <w:r>
        <w:rPr>
          <w:sz w:val="21"/>
          <w:szCs w:val="21"/>
        </w:rPr>
        <w:t xml:space="preserve"> [2].  </w:t>
      </w:r>
    </w:p>
    <w:p w14:paraId="7A1565B5" w14:textId="35DAE546" w:rsidR="00C36429" w:rsidRDefault="009A645F" w:rsidP="00145C3B">
      <w:pPr>
        <w:pStyle w:val="Heading1"/>
        <w:jc w:val="both"/>
        <w:rPr>
          <w:rFonts w:cs="Arial"/>
          <w:lang w:val="en-US" w:eastAsia="ja-JP"/>
        </w:rPr>
      </w:pPr>
      <w:r w:rsidRPr="001C2D88">
        <w:rPr>
          <w:rFonts w:cs="Arial"/>
          <w:lang w:val="en-US" w:eastAsia="ja-JP"/>
        </w:rPr>
        <w:t>Discussion</w:t>
      </w:r>
    </w:p>
    <w:p w14:paraId="331110EA" w14:textId="04806A5F" w:rsidR="004A68BA" w:rsidRDefault="001A25EC" w:rsidP="00FF4D3E">
      <w:pPr>
        <w:rPr>
          <w:sz w:val="21"/>
          <w:szCs w:val="21"/>
          <w:lang w:eastAsia="en-GB"/>
        </w:rPr>
      </w:pPr>
      <w:r w:rsidRPr="00E34CD5">
        <w:rPr>
          <w:sz w:val="21"/>
          <w:szCs w:val="21"/>
          <w:lang w:eastAsia="en-GB"/>
        </w:rPr>
        <w:t xml:space="preserve">In the approved WF [2], </w:t>
      </w:r>
      <w:r w:rsidR="00FF4D3E">
        <w:rPr>
          <w:sz w:val="21"/>
          <w:szCs w:val="21"/>
          <w:lang w:eastAsia="en-GB"/>
        </w:rPr>
        <w:t xml:space="preserve">some of the open issues which </w:t>
      </w:r>
      <w:r w:rsidR="00863D3A">
        <w:rPr>
          <w:sz w:val="21"/>
          <w:szCs w:val="21"/>
          <w:lang w:eastAsia="en-GB"/>
        </w:rPr>
        <w:t>are for further study</w:t>
      </w:r>
      <w:r w:rsidR="00FF4D3E">
        <w:rPr>
          <w:sz w:val="21"/>
          <w:szCs w:val="21"/>
          <w:lang w:eastAsia="en-GB"/>
        </w:rPr>
        <w:t xml:space="preserve"> are </w:t>
      </w:r>
      <w:r w:rsidR="00FF4D3E" w:rsidRPr="00E34CD5">
        <w:rPr>
          <w:sz w:val="21"/>
          <w:szCs w:val="21"/>
          <w:lang w:eastAsia="en-GB"/>
        </w:rPr>
        <w:t>the following</w:t>
      </w:r>
      <w:r w:rsidRPr="00E34CD5">
        <w:rPr>
          <w:sz w:val="21"/>
          <w:szCs w:val="21"/>
          <w:lang w:eastAsia="en-GB"/>
        </w:rPr>
        <w:t>:</w:t>
      </w:r>
    </w:p>
    <w:p w14:paraId="71A1F9B9" w14:textId="77777777" w:rsidR="00FF4D3E" w:rsidRPr="00FF4D3E" w:rsidRDefault="00FF4D3E" w:rsidP="00FF4D3E">
      <w:pPr>
        <w:rPr>
          <w:sz w:val="21"/>
          <w:szCs w:val="21"/>
          <w:lang w:eastAsia="en-GB"/>
        </w:rPr>
      </w:pPr>
    </w:p>
    <w:p w14:paraId="43233F84" w14:textId="77777777" w:rsidR="00CD4121" w:rsidRPr="00CD4121" w:rsidRDefault="00CD4121" w:rsidP="00CD4121">
      <w:pPr>
        <w:overflowPunct w:val="0"/>
        <w:autoSpaceDE w:val="0"/>
        <w:autoSpaceDN w:val="0"/>
        <w:adjustRightInd w:val="0"/>
        <w:spacing w:after="180"/>
        <w:textAlignment w:val="baseline"/>
        <w:rPr>
          <w:b/>
          <w:i/>
          <w:iCs/>
          <w:sz w:val="21"/>
          <w:szCs w:val="21"/>
          <w:u w:val="single"/>
          <w:lang w:val="en-GB" w:eastAsia="en-GB"/>
        </w:rPr>
      </w:pPr>
      <w:r w:rsidRPr="00CD4121">
        <w:rPr>
          <w:b/>
          <w:i/>
          <w:iCs/>
          <w:sz w:val="21"/>
          <w:szCs w:val="21"/>
          <w:u w:val="single"/>
          <w:lang w:val="en-GB" w:eastAsia="en-GB"/>
        </w:rPr>
        <w:t>Issue 1-11: General discussion of RSD of PC1.5 and PC1</w:t>
      </w:r>
    </w:p>
    <w:p w14:paraId="3A488817" w14:textId="77777777" w:rsidR="00CD4121" w:rsidRPr="00CD4121" w:rsidRDefault="00CD4121" w:rsidP="00CD4121">
      <w:pPr>
        <w:overflowPunct w:val="0"/>
        <w:autoSpaceDE w:val="0"/>
        <w:autoSpaceDN w:val="0"/>
        <w:adjustRightInd w:val="0"/>
        <w:spacing w:after="180"/>
        <w:textAlignment w:val="baseline"/>
        <w:rPr>
          <w:b/>
          <w:bCs/>
          <w:i/>
          <w:iCs/>
          <w:sz w:val="21"/>
          <w:szCs w:val="21"/>
          <w:lang w:val="en-GB"/>
        </w:rPr>
      </w:pPr>
      <w:r w:rsidRPr="00CD4121">
        <w:rPr>
          <w:b/>
          <w:bCs/>
          <w:i/>
          <w:iCs/>
          <w:sz w:val="21"/>
          <w:szCs w:val="21"/>
          <w:lang w:val="en-GB"/>
        </w:rPr>
        <w:t>Ad-hoc agreements:</w:t>
      </w:r>
    </w:p>
    <w:p w14:paraId="0B99ABBB" w14:textId="77777777" w:rsidR="00CD4121" w:rsidRPr="00CD4121" w:rsidRDefault="00CD4121" w:rsidP="00CD4121">
      <w:pPr>
        <w:numPr>
          <w:ilvl w:val="0"/>
          <w:numId w:val="24"/>
        </w:numPr>
        <w:overflowPunct w:val="0"/>
        <w:autoSpaceDE w:val="0"/>
        <w:autoSpaceDN w:val="0"/>
        <w:adjustRightInd w:val="0"/>
        <w:spacing w:after="180"/>
        <w:textAlignment w:val="baseline"/>
        <w:rPr>
          <w:i/>
          <w:iCs/>
          <w:sz w:val="21"/>
          <w:szCs w:val="21"/>
          <w:lang w:val="en-GB" w:eastAsia="en-GB"/>
        </w:rPr>
      </w:pPr>
      <w:r w:rsidRPr="00CD4121">
        <w:rPr>
          <w:i/>
          <w:iCs/>
          <w:sz w:val="21"/>
          <w:szCs w:val="21"/>
          <w:lang w:val="en-GB" w:eastAsia="en-GB"/>
        </w:rPr>
        <w:t>Companies agree to bring more analysis for the RSD values for PC1.5/PC1 non-handheld UE.</w:t>
      </w:r>
    </w:p>
    <w:p w14:paraId="215DE274" w14:textId="77777777" w:rsidR="00CD4121" w:rsidRPr="00CD4121" w:rsidRDefault="00CD4121" w:rsidP="00CD4121">
      <w:pPr>
        <w:numPr>
          <w:ilvl w:val="1"/>
          <w:numId w:val="24"/>
        </w:numPr>
        <w:overflowPunct w:val="0"/>
        <w:autoSpaceDE w:val="0"/>
        <w:autoSpaceDN w:val="0"/>
        <w:adjustRightInd w:val="0"/>
        <w:spacing w:after="180"/>
        <w:textAlignment w:val="baseline"/>
        <w:rPr>
          <w:i/>
          <w:iCs/>
          <w:sz w:val="21"/>
          <w:szCs w:val="21"/>
          <w:lang w:val="en-GB" w:eastAsia="en-GB"/>
        </w:rPr>
      </w:pPr>
      <w:r w:rsidRPr="00CD4121">
        <w:rPr>
          <w:i/>
          <w:iCs/>
          <w:sz w:val="21"/>
          <w:szCs w:val="21"/>
          <w:lang w:val="en-GB" w:eastAsia="en-GB"/>
        </w:rPr>
        <w:t>Further check these in next meeting.</w:t>
      </w:r>
    </w:p>
    <w:p w14:paraId="32759B6C" w14:textId="77777777" w:rsidR="00CD4121" w:rsidRPr="00CD4121" w:rsidRDefault="00CD4121" w:rsidP="00CD4121">
      <w:pPr>
        <w:overflowPunct w:val="0"/>
        <w:autoSpaceDE w:val="0"/>
        <w:autoSpaceDN w:val="0"/>
        <w:adjustRightInd w:val="0"/>
        <w:spacing w:after="180"/>
        <w:textAlignment w:val="baseline"/>
        <w:rPr>
          <w:b/>
          <w:i/>
          <w:iCs/>
          <w:sz w:val="21"/>
          <w:szCs w:val="21"/>
          <w:u w:val="single"/>
          <w:lang w:val="en-GB" w:eastAsia="ko-KR"/>
        </w:rPr>
      </w:pPr>
      <w:r w:rsidRPr="00CD4121">
        <w:rPr>
          <w:b/>
          <w:i/>
          <w:iCs/>
          <w:sz w:val="21"/>
          <w:szCs w:val="21"/>
          <w:u w:val="single"/>
          <w:lang w:val="en-GB" w:eastAsia="ko-KR"/>
        </w:rPr>
        <w:t>Issue 1-14: RSD requirements for PC1.5 and PC1.</w:t>
      </w:r>
    </w:p>
    <w:p w14:paraId="64D84EC8" w14:textId="77777777" w:rsidR="00CD4121" w:rsidRPr="00CD4121" w:rsidRDefault="00CD4121" w:rsidP="00CD4121">
      <w:pPr>
        <w:overflowPunct w:val="0"/>
        <w:autoSpaceDE w:val="0"/>
        <w:autoSpaceDN w:val="0"/>
        <w:adjustRightInd w:val="0"/>
        <w:spacing w:after="180"/>
        <w:textAlignment w:val="baseline"/>
        <w:rPr>
          <w:b/>
          <w:bCs/>
          <w:i/>
          <w:iCs/>
          <w:sz w:val="21"/>
          <w:szCs w:val="21"/>
          <w:lang w:val="en-GB"/>
        </w:rPr>
      </w:pPr>
      <w:r w:rsidRPr="00CD4121">
        <w:rPr>
          <w:b/>
          <w:bCs/>
          <w:i/>
          <w:iCs/>
          <w:sz w:val="21"/>
          <w:szCs w:val="21"/>
          <w:lang w:val="en-GB"/>
        </w:rPr>
        <w:t>Way forward:</w:t>
      </w:r>
    </w:p>
    <w:p w14:paraId="5953329C" w14:textId="77777777" w:rsidR="00CD4121" w:rsidRPr="00CD4121" w:rsidRDefault="00CD4121" w:rsidP="00CD4121">
      <w:pPr>
        <w:numPr>
          <w:ilvl w:val="0"/>
          <w:numId w:val="24"/>
        </w:numPr>
        <w:overflowPunct w:val="0"/>
        <w:autoSpaceDE w:val="0"/>
        <w:autoSpaceDN w:val="0"/>
        <w:adjustRightInd w:val="0"/>
        <w:spacing w:after="180"/>
        <w:textAlignment w:val="baseline"/>
        <w:rPr>
          <w:i/>
          <w:iCs/>
          <w:sz w:val="21"/>
          <w:szCs w:val="21"/>
          <w:lang w:val="en-GB" w:eastAsia="en-GB"/>
        </w:rPr>
      </w:pPr>
      <w:r w:rsidRPr="00CD4121">
        <w:rPr>
          <w:i/>
          <w:iCs/>
          <w:sz w:val="21"/>
          <w:szCs w:val="21"/>
          <w:lang w:val="en-GB" w:eastAsia="en-GB"/>
        </w:rPr>
        <w:lastRenderedPageBreak/>
        <w:t>Encourage companies to further discuss the following proposals:</w:t>
      </w:r>
    </w:p>
    <w:p w14:paraId="67C97059" w14:textId="77777777" w:rsidR="00CD4121" w:rsidRPr="00CD4121" w:rsidRDefault="00CD4121" w:rsidP="00CD4121">
      <w:pPr>
        <w:numPr>
          <w:ilvl w:val="1"/>
          <w:numId w:val="10"/>
        </w:numPr>
        <w:overflowPunct w:val="0"/>
        <w:autoSpaceDE w:val="0"/>
        <w:autoSpaceDN w:val="0"/>
        <w:adjustRightInd w:val="0"/>
        <w:spacing w:after="120"/>
        <w:ind w:left="1440"/>
        <w:textAlignment w:val="baseline"/>
        <w:rPr>
          <w:rFonts w:eastAsia="SimSun"/>
          <w:i/>
          <w:iCs/>
          <w:sz w:val="21"/>
          <w:szCs w:val="21"/>
          <w:lang w:val="en-GB"/>
        </w:rPr>
      </w:pPr>
      <w:r w:rsidRPr="00CD4121">
        <w:rPr>
          <w:rFonts w:eastAsia="SimSun"/>
          <w:i/>
          <w:iCs/>
          <w:sz w:val="21"/>
          <w:szCs w:val="21"/>
          <w:lang w:val="en-GB"/>
        </w:rPr>
        <w:t>Option 1: For PC1.5 2Tx (MTK)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741"/>
        <w:gridCol w:w="740"/>
        <w:gridCol w:w="741"/>
        <w:gridCol w:w="741"/>
      </w:tblGrid>
      <w:tr w:rsidR="00CD4121" w:rsidRPr="00CD4121" w14:paraId="209144E9" w14:textId="77777777" w:rsidTr="006E1D1B">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5E7F2D4" w14:textId="77777777" w:rsidR="00CD4121" w:rsidRPr="00CD4121" w:rsidRDefault="00CD4121" w:rsidP="00CD4121">
            <w:pPr>
              <w:keepNext/>
              <w:keepLines/>
              <w:overflowPunct w:val="0"/>
              <w:autoSpaceDE w:val="0"/>
              <w:autoSpaceDN w:val="0"/>
              <w:adjustRightInd w:val="0"/>
              <w:jc w:val="center"/>
              <w:textAlignment w:val="baseline"/>
              <w:rPr>
                <w:rFonts w:eastAsia="PMingLiU"/>
                <w:b/>
                <w:i/>
                <w:iCs/>
                <w:sz w:val="21"/>
                <w:szCs w:val="21"/>
                <w:lang w:eastAsia="en-GB"/>
              </w:rPr>
            </w:pPr>
            <w:r w:rsidRPr="00CD4121">
              <w:rPr>
                <w:rFonts w:eastAsia="PMingLiU"/>
                <w:b/>
                <w:i/>
                <w:iCs/>
                <w:sz w:val="21"/>
                <w:szCs w:val="21"/>
                <w:lang w:eastAsia="en-GB"/>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1E5B8975" w14:textId="77777777" w:rsidR="00CD4121" w:rsidRPr="00CD4121" w:rsidRDefault="00CD4121" w:rsidP="00CD4121">
            <w:pPr>
              <w:keepNext/>
              <w:keepLines/>
              <w:overflowPunct w:val="0"/>
              <w:autoSpaceDE w:val="0"/>
              <w:autoSpaceDN w:val="0"/>
              <w:adjustRightInd w:val="0"/>
              <w:jc w:val="center"/>
              <w:textAlignment w:val="baseline"/>
              <w:rPr>
                <w:rFonts w:eastAsia="PMingLiU"/>
                <w:b/>
                <w:i/>
                <w:iCs/>
                <w:sz w:val="21"/>
                <w:szCs w:val="21"/>
                <w:lang w:eastAsia="en-GB"/>
              </w:rPr>
            </w:pPr>
            <w:r w:rsidRPr="00CD4121">
              <w:rPr>
                <w:rFonts w:eastAsia="PMingLiU"/>
                <w:b/>
                <w:i/>
                <w:iCs/>
                <w:sz w:val="21"/>
                <w:szCs w:val="21"/>
                <w:lang w:eastAsia="en-GB"/>
              </w:rPr>
              <w:t>5</w:t>
            </w:r>
          </w:p>
          <w:p w14:paraId="38B50A32" w14:textId="77777777" w:rsidR="00CD4121" w:rsidRPr="00CD4121" w:rsidRDefault="00CD4121" w:rsidP="00CD4121">
            <w:pPr>
              <w:keepNext/>
              <w:keepLines/>
              <w:overflowPunct w:val="0"/>
              <w:autoSpaceDE w:val="0"/>
              <w:autoSpaceDN w:val="0"/>
              <w:adjustRightInd w:val="0"/>
              <w:jc w:val="center"/>
              <w:textAlignment w:val="baseline"/>
              <w:rPr>
                <w:rFonts w:eastAsia="PMingLiU"/>
                <w:b/>
                <w:i/>
                <w:iCs/>
                <w:sz w:val="21"/>
                <w:szCs w:val="21"/>
                <w:lang w:eastAsia="en-GB"/>
              </w:rPr>
            </w:pPr>
            <w:r w:rsidRPr="00CD4121">
              <w:rPr>
                <w:rFonts w:eastAsia="PMingLiU"/>
                <w:b/>
                <w:i/>
                <w:iCs/>
                <w:sz w:val="21"/>
                <w:szCs w:val="21"/>
                <w:lang w:eastAsia="en-GB"/>
              </w:rPr>
              <w:t>MHz</w:t>
            </w:r>
            <w:r w:rsidRPr="00CD4121">
              <w:rPr>
                <w:rFonts w:eastAsia="PMingLiU"/>
                <w:b/>
                <w:i/>
                <w:iCs/>
                <w:sz w:val="21"/>
                <w:szCs w:val="21"/>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1454FEF4" w14:textId="77777777" w:rsidR="00CD4121" w:rsidRPr="00CD4121" w:rsidRDefault="00CD4121" w:rsidP="00CD4121">
            <w:pPr>
              <w:keepNext/>
              <w:keepLines/>
              <w:overflowPunct w:val="0"/>
              <w:autoSpaceDE w:val="0"/>
              <w:autoSpaceDN w:val="0"/>
              <w:adjustRightInd w:val="0"/>
              <w:jc w:val="center"/>
              <w:textAlignment w:val="baseline"/>
              <w:rPr>
                <w:rFonts w:eastAsia="PMingLiU"/>
                <w:b/>
                <w:i/>
                <w:iCs/>
                <w:sz w:val="21"/>
                <w:szCs w:val="21"/>
                <w:lang w:eastAsia="en-GB"/>
              </w:rPr>
            </w:pPr>
            <w:r w:rsidRPr="00CD4121">
              <w:rPr>
                <w:rFonts w:eastAsia="PMingLiU"/>
                <w:b/>
                <w:i/>
                <w:iCs/>
                <w:sz w:val="21"/>
                <w:szCs w:val="21"/>
                <w:lang w:eastAsia="en-GB"/>
              </w:rPr>
              <w:t>10</w:t>
            </w:r>
          </w:p>
          <w:p w14:paraId="1BC58181" w14:textId="77777777" w:rsidR="00CD4121" w:rsidRPr="00CD4121" w:rsidRDefault="00CD4121" w:rsidP="00CD4121">
            <w:pPr>
              <w:keepNext/>
              <w:keepLines/>
              <w:overflowPunct w:val="0"/>
              <w:autoSpaceDE w:val="0"/>
              <w:autoSpaceDN w:val="0"/>
              <w:adjustRightInd w:val="0"/>
              <w:jc w:val="center"/>
              <w:textAlignment w:val="baseline"/>
              <w:rPr>
                <w:rFonts w:eastAsia="PMingLiU"/>
                <w:b/>
                <w:i/>
                <w:iCs/>
                <w:sz w:val="21"/>
                <w:szCs w:val="21"/>
                <w:lang w:eastAsia="en-GB"/>
              </w:rPr>
            </w:pPr>
            <w:r w:rsidRPr="00CD4121">
              <w:rPr>
                <w:rFonts w:eastAsia="PMingLiU"/>
                <w:b/>
                <w:i/>
                <w:iCs/>
                <w:sz w:val="21"/>
                <w:szCs w:val="21"/>
                <w:lang w:eastAsia="en-GB"/>
              </w:rPr>
              <w:t>MHz</w:t>
            </w:r>
            <w:r w:rsidRPr="00CD4121">
              <w:rPr>
                <w:rFonts w:eastAsia="PMingLiU"/>
                <w:b/>
                <w:i/>
                <w:iCs/>
                <w:sz w:val="21"/>
                <w:szCs w:val="21"/>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305E172" w14:textId="77777777" w:rsidR="00CD4121" w:rsidRPr="00CD4121" w:rsidRDefault="00CD4121" w:rsidP="00CD4121">
            <w:pPr>
              <w:keepNext/>
              <w:keepLines/>
              <w:overflowPunct w:val="0"/>
              <w:autoSpaceDE w:val="0"/>
              <w:autoSpaceDN w:val="0"/>
              <w:adjustRightInd w:val="0"/>
              <w:jc w:val="center"/>
              <w:textAlignment w:val="baseline"/>
              <w:rPr>
                <w:rFonts w:eastAsia="PMingLiU"/>
                <w:b/>
                <w:i/>
                <w:iCs/>
                <w:sz w:val="21"/>
                <w:szCs w:val="21"/>
                <w:lang w:eastAsia="en-GB"/>
              </w:rPr>
            </w:pPr>
            <w:r w:rsidRPr="00CD4121">
              <w:rPr>
                <w:rFonts w:eastAsia="PMingLiU"/>
                <w:b/>
                <w:i/>
                <w:iCs/>
                <w:sz w:val="21"/>
                <w:szCs w:val="21"/>
                <w:lang w:eastAsia="en-GB"/>
              </w:rPr>
              <w:t>15</w:t>
            </w:r>
          </w:p>
          <w:p w14:paraId="13A69301" w14:textId="77777777" w:rsidR="00CD4121" w:rsidRPr="00CD4121" w:rsidRDefault="00CD4121" w:rsidP="00CD4121">
            <w:pPr>
              <w:keepNext/>
              <w:keepLines/>
              <w:overflowPunct w:val="0"/>
              <w:autoSpaceDE w:val="0"/>
              <w:autoSpaceDN w:val="0"/>
              <w:adjustRightInd w:val="0"/>
              <w:jc w:val="center"/>
              <w:textAlignment w:val="baseline"/>
              <w:rPr>
                <w:rFonts w:eastAsia="PMingLiU"/>
                <w:b/>
                <w:i/>
                <w:iCs/>
                <w:sz w:val="21"/>
                <w:szCs w:val="21"/>
                <w:lang w:eastAsia="en-GB"/>
              </w:rPr>
            </w:pPr>
            <w:r w:rsidRPr="00CD4121">
              <w:rPr>
                <w:rFonts w:eastAsia="PMingLiU"/>
                <w:b/>
                <w:i/>
                <w:iCs/>
                <w:sz w:val="21"/>
                <w:szCs w:val="21"/>
                <w:lang w:eastAsia="en-GB"/>
              </w:rPr>
              <w:t>MHz</w:t>
            </w:r>
            <w:r w:rsidRPr="00CD4121">
              <w:rPr>
                <w:rFonts w:eastAsia="PMingLiU"/>
                <w:b/>
                <w:i/>
                <w:iCs/>
                <w:sz w:val="21"/>
                <w:szCs w:val="21"/>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86256DE" w14:textId="77777777" w:rsidR="00CD4121" w:rsidRPr="00CD4121" w:rsidRDefault="00CD4121" w:rsidP="00CD4121">
            <w:pPr>
              <w:keepNext/>
              <w:keepLines/>
              <w:overflowPunct w:val="0"/>
              <w:autoSpaceDE w:val="0"/>
              <w:autoSpaceDN w:val="0"/>
              <w:adjustRightInd w:val="0"/>
              <w:jc w:val="center"/>
              <w:textAlignment w:val="baseline"/>
              <w:rPr>
                <w:rFonts w:eastAsia="PMingLiU"/>
                <w:b/>
                <w:i/>
                <w:iCs/>
                <w:sz w:val="21"/>
                <w:szCs w:val="21"/>
                <w:lang w:eastAsia="en-GB"/>
              </w:rPr>
            </w:pPr>
            <w:r w:rsidRPr="00CD4121">
              <w:rPr>
                <w:rFonts w:eastAsia="PMingLiU"/>
                <w:b/>
                <w:i/>
                <w:iCs/>
                <w:sz w:val="21"/>
                <w:szCs w:val="21"/>
                <w:lang w:eastAsia="en-GB"/>
              </w:rPr>
              <w:t>20</w:t>
            </w:r>
          </w:p>
          <w:p w14:paraId="6FAB7AC2" w14:textId="77777777" w:rsidR="00CD4121" w:rsidRPr="00CD4121" w:rsidRDefault="00CD4121" w:rsidP="00CD4121">
            <w:pPr>
              <w:keepNext/>
              <w:keepLines/>
              <w:overflowPunct w:val="0"/>
              <w:autoSpaceDE w:val="0"/>
              <w:autoSpaceDN w:val="0"/>
              <w:adjustRightInd w:val="0"/>
              <w:jc w:val="center"/>
              <w:textAlignment w:val="baseline"/>
              <w:rPr>
                <w:rFonts w:eastAsia="PMingLiU"/>
                <w:b/>
                <w:i/>
                <w:iCs/>
                <w:sz w:val="21"/>
                <w:szCs w:val="21"/>
                <w:lang w:eastAsia="en-GB"/>
              </w:rPr>
            </w:pPr>
            <w:r w:rsidRPr="00CD4121">
              <w:rPr>
                <w:rFonts w:eastAsia="PMingLiU"/>
                <w:b/>
                <w:i/>
                <w:iCs/>
                <w:sz w:val="21"/>
                <w:szCs w:val="21"/>
                <w:lang w:eastAsia="en-GB"/>
              </w:rPr>
              <w:t>MHz</w:t>
            </w:r>
            <w:r w:rsidRPr="00CD4121">
              <w:rPr>
                <w:rFonts w:eastAsia="PMingLiU"/>
                <w:b/>
                <w:i/>
                <w:iCs/>
                <w:sz w:val="21"/>
                <w:szCs w:val="21"/>
                <w:lang w:eastAsia="en-GB"/>
              </w:rPr>
              <w:br/>
              <w:t>(dB)</w:t>
            </w:r>
          </w:p>
        </w:tc>
      </w:tr>
      <w:tr w:rsidR="00CD4121" w:rsidRPr="00CD4121" w14:paraId="465086D4" w14:textId="77777777" w:rsidTr="006E1D1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00D6FCC" w14:textId="77777777" w:rsidR="00CD4121" w:rsidRPr="00CD4121" w:rsidRDefault="00CD4121" w:rsidP="00CD4121">
            <w:pPr>
              <w:keepNext/>
              <w:keepLines/>
              <w:overflowPunct w:val="0"/>
              <w:autoSpaceDE w:val="0"/>
              <w:autoSpaceDN w:val="0"/>
              <w:adjustRightInd w:val="0"/>
              <w:jc w:val="center"/>
              <w:textAlignment w:val="baseline"/>
              <w:rPr>
                <w:rFonts w:eastAsia="PMingLiU"/>
                <w:i/>
                <w:iCs/>
                <w:sz w:val="21"/>
                <w:szCs w:val="21"/>
                <w:lang w:eastAsia="en-GB"/>
              </w:rPr>
            </w:pPr>
            <w:r w:rsidRPr="00CD4121">
              <w:rPr>
                <w:i/>
                <w:iCs/>
                <w:sz w:val="21"/>
                <w:szCs w:val="21"/>
              </w:rPr>
              <w:t>n256</w:t>
            </w:r>
          </w:p>
        </w:tc>
        <w:tc>
          <w:tcPr>
            <w:tcW w:w="741" w:type="dxa"/>
            <w:tcBorders>
              <w:top w:val="single" w:sz="4" w:space="0" w:color="auto"/>
              <w:left w:val="single" w:sz="4" w:space="0" w:color="auto"/>
              <w:bottom w:val="single" w:sz="4" w:space="0" w:color="auto"/>
              <w:right w:val="single" w:sz="4" w:space="0" w:color="auto"/>
            </w:tcBorders>
            <w:hideMark/>
          </w:tcPr>
          <w:p w14:paraId="1E868DB9" w14:textId="77777777" w:rsidR="00CD4121" w:rsidRPr="00CD4121" w:rsidRDefault="00CD4121" w:rsidP="00CD4121">
            <w:pPr>
              <w:keepNext/>
              <w:keepLines/>
              <w:overflowPunct w:val="0"/>
              <w:autoSpaceDE w:val="0"/>
              <w:autoSpaceDN w:val="0"/>
              <w:adjustRightInd w:val="0"/>
              <w:jc w:val="center"/>
              <w:textAlignment w:val="baseline"/>
              <w:rPr>
                <w:rFonts w:eastAsia="PMingLiU"/>
                <w:i/>
                <w:iCs/>
                <w:sz w:val="21"/>
                <w:szCs w:val="21"/>
                <w:lang w:eastAsia="en-GB"/>
              </w:rPr>
            </w:pPr>
            <w:r w:rsidRPr="00CD4121">
              <w:rPr>
                <w:i/>
                <w:iCs/>
                <w:sz w:val="21"/>
                <w:szCs w:val="21"/>
              </w:rPr>
              <w:t>2.2</w:t>
            </w:r>
          </w:p>
        </w:tc>
        <w:tc>
          <w:tcPr>
            <w:tcW w:w="740" w:type="dxa"/>
            <w:tcBorders>
              <w:top w:val="single" w:sz="4" w:space="0" w:color="auto"/>
              <w:left w:val="single" w:sz="4" w:space="0" w:color="auto"/>
              <w:bottom w:val="single" w:sz="4" w:space="0" w:color="auto"/>
              <w:right w:val="single" w:sz="4" w:space="0" w:color="auto"/>
            </w:tcBorders>
            <w:hideMark/>
          </w:tcPr>
          <w:p w14:paraId="2AF7B6EB" w14:textId="77777777" w:rsidR="00CD4121" w:rsidRPr="00CD4121" w:rsidRDefault="00CD4121" w:rsidP="00CD4121">
            <w:pPr>
              <w:keepNext/>
              <w:keepLines/>
              <w:overflowPunct w:val="0"/>
              <w:autoSpaceDE w:val="0"/>
              <w:autoSpaceDN w:val="0"/>
              <w:adjustRightInd w:val="0"/>
              <w:jc w:val="center"/>
              <w:textAlignment w:val="baseline"/>
              <w:rPr>
                <w:rFonts w:eastAsia="PMingLiU"/>
                <w:i/>
                <w:iCs/>
                <w:sz w:val="21"/>
                <w:szCs w:val="21"/>
                <w:lang w:eastAsia="en-GB"/>
              </w:rPr>
            </w:pPr>
            <w:r w:rsidRPr="00CD4121">
              <w:rPr>
                <w:i/>
                <w:iCs/>
                <w:sz w:val="21"/>
                <w:szCs w:val="21"/>
              </w:rPr>
              <w:t>2.2</w:t>
            </w:r>
          </w:p>
        </w:tc>
        <w:tc>
          <w:tcPr>
            <w:tcW w:w="741" w:type="dxa"/>
            <w:tcBorders>
              <w:top w:val="single" w:sz="4" w:space="0" w:color="auto"/>
              <w:left w:val="single" w:sz="4" w:space="0" w:color="auto"/>
              <w:bottom w:val="single" w:sz="4" w:space="0" w:color="auto"/>
              <w:right w:val="single" w:sz="4" w:space="0" w:color="auto"/>
            </w:tcBorders>
            <w:hideMark/>
          </w:tcPr>
          <w:p w14:paraId="7C312C22" w14:textId="77777777" w:rsidR="00CD4121" w:rsidRPr="00CD4121" w:rsidRDefault="00CD4121" w:rsidP="00CD4121">
            <w:pPr>
              <w:keepNext/>
              <w:keepLines/>
              <w:overflowPunct w:val="0"/>
              <w:autoSpaceDE w:val="0"/>
              <w:autoSpaceDN w:val="0"/>
              <w:adjustRightInd w:val="0"/>
              <w:jc w:val="center"/>
              <w:textAlignment w:val="baseline"/>
              <w:rPr>
                <w:rFonts w:eastAsia="PMingLiU"/>
                <w:i/>
                <w:iCs/>
                <w:sz w:val="21"/>
                <w:szCs w:val="21"/>
                <w:lang w:eastAsia="en-GB"/>
              </w:rPr>
            </w:pPr>
            <w:r w:rsidRPr="00CD4121">
              <w:rPr>
                <w:i/>
                <w:iCs/>
                <w:sz w:val="21"/>
                <w:szCs w:val="21"/>
              </w:rPr>
              <w:t>2.2</w:t>
            </w:r>
          </w:p>
        </w:tc>
        <w:tc>
          <w:tcPr>
            <w:tcW w:w="741" w:type="dxa"/>
            <w:tcBorders>
              <w:top w:val="single" w:sz="4" w:space="0" w:color="auto"/>
              <w:left w:val="single" w:sz="4" w:space="0" w:color="auto"/>
              <w:bottom w:val="single" w:sz="4" w:space="0" w:color="auto"/>
              <w:right w:val="single" w:sz="4" w:space="0" w:color="auto"/>
            </w:tcBorders>
            <w:hideMark/>
          </w:tcPr>
          <w:p w14:paraId="05772198" w14:textId="77777777" w:rsidR="00CD4121" w:rsidRPr="00CD4121" w:rsidRDefault="00CD4121" w:rsidP="00CD4121">
            <w:pPr>
              <w:keepNext/>
              <w:keepLines/>
              <w:overflowPunct w:val="0"/>
              <w:autoSpaceDE w:val="0"/>
              <w:autoSpaceDN w:val="0"/>
              <w:adjustRightInd w:val="0"/>
              <w:jc w:val="center"/>
              <w:textAlignment w:val="baseline"/>
              <w:rPr>
                <w:rFonts w:eastAsia="PMingLiU"/>
                <w:i/>
                <w:iCs/>
                <w:sz w:val="21"/>
                <w:szCs w:val="21"/>
                <w:lang w:eastAsia="en-GB"/>
              </w:rPr>
            </w:pPr>
            <w:r w:rsidRPr="00CD4121">
              <w:rPr>
                <w:i/>
                <w:iCs/>
                <w:sz w:val="21"/>
                <w:szCs w:val="21"/>
              </w:rPr>
              <w:t>2.2</w:t>
            </w:r>
          </w:p>
        </w:tc>
      </w:tr>
      <w:tr w:rsidR="00CD4121" w:rsidRPr="00CD4121" w14:paraId="10C8F7D5" w14:textId="77777777" w:rsidTr="006E1D1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A515F37" w14:textId="77777777" w:rsidR="00CD4121" w:rsidRPr="00CD4121" w:rsidRDefault="00CD4121" w:rsidP="00CD4121">
            <w:pPr>
              <w:keepNext/>
              <w:keepLines/>
              <w:overflowPunct w:val="0"/>
              <w:autoSpaceDE w:val="0"/>
              <w:autoSpaceDN w:val="0"/>
              <w:adjustRightInd w:val="0"/>
              <w:jc w:val="center"/>
              <w:textAlignment w:val="baseline"/>
              <w:rPr>
                <w:i/>
                <w:iCs/>
                <w:sz w:val="21"/>
                <w:szCs w:val="21"/>
              </w:rPr>
            </w:pPr>
            <w:r w:rsidRPr="00CD4121">
              <w:rPr>
                <w:rFonts w:eastAsia="PMingLiU"/>
                <w:i/>
                <w:iCs/>
                <w:sz w:val="21"/>
                <w:szCs w:val="21"/>
                <w:lang w:eastAsia="en-GB"/>
              </w:rPr>
              <w:t>n255</w:t>
            </w:r>
          </w:p>
        </w:tc>
        <w:tc>
          <w:tcPr>
            <w:tcW w:w="741" w:type="dxa"/>
            <w:tcBorders>
              <w:top w:val="single" w:sz="4" w:space="0" w:color="auto"/>
              <w:left w:val="single" w:sz="4" w:space="0" w:color="auto"/>
              <w:bottom w:val="single" w:sz="4" w:space="0" w:color="auto"/>
              <w:right w:val="single" w:sz="4" w:space="0" w:color="auto"/>
            </w:tcBorders>
            <w:hideMark/>
          </w:tcPr>
          <w:p w14:paraId="3EBE7F8C" w14:textId="77777777" w:rsidR="00CD4121" w:rsidRPr="00CD4121" w:rsidRDefault="00CD4121" w:rsidP="00CD4121">
            <w:pPr>
              <w:keepNext/>
              <w:keepLines/>
              <w:overflowPunct w:val="0"/>
              <w:autoSpaceDE w:val="0"/>
              <w:autoSpaceDN w:val="0"/>
              <w:adjustRightInd w:val="0"/>
              <w:jc w:val="center"/>
              <w:textAlignment w:val="baseline"/>
              <w:rPr>
                <w:i/>
                <w:iCs/>
                <w:sz w:val="21"/>
                <w:szCs w:val="21"/>
              </w:rPr>
            </w:pPr>
            <w:r w:rsidRPr="00CD4121">
              <w:rPr>
                <w:i/>
                <w:iCs/>
                <w:sz w:val="21"/>
                <w:szCs w:val="21"/>
              </w:rPr>
              <w:t>3.2</w:t>
            </w:r>
          </w:p>
        </w:tc>
        <w:tc>
          <w:tcPr>
            <w:tcW w:w="740" w:type="dxa"/>
            <w:tcBorders>
              <w:top w:val="single" w:sz="4" w:space="0" w:color="auto"/>
              <w:left w:val="single" w:sz="4" w:space="0" w:color="auto"/>
              <w:bottom w:val="single" w:sz="4" w:space="0" w:color="auto"/>
              <w:right w:val="single" w:sz="4" w:space="0" w:color="auto"/>
            </w:tcBorders>
            <w:hideMark/>
          </w:tcPr>
          <w:p w14:paraId="2D2FEB09" w14:textId="77777777" w:rsidR="00CD4121" w:rsidRPr="00CD4121" w:rsidRDefault="00CD4121" w:rsidP="00CD4121">
            <w:pPr>
              <w:keepNext/>
              <w:keepLines/>
              <w:overflowPunct w:val="0"/>
              <w:autoSpaceDE w:val="0"/>
              <w:autoSpaceDN w:val="0"/>
              <w:adjustRightInd w:val="0"/>
              <w:jc w:val="center"/>
              <w:textAlignment w:val="baseline"/>
              <w:rPr>
                <w:i/>
                <w:iCs/>
                <w:sz w:val="21"/>
                <w:szCs w:val="21"/>
              </w:rPr>
            </w:pPr>
            <w:r w:rsidRPr="00CD4121">
              <w:rPr>
                <w:i/>
                <w:iCs/>
                <w:sz w:val="21"/>
                <w:szCs w:val="21"/>
              </w:rPr>
              <w:t>3.2</w:t>
            </w:r>
          </w:p>
        </w:tc>
        <w:tc>
          <w:tcPr>
            <w:tcW w:w="741" w:type="dxa"/>
            <w:tcBorders>
              <w:top w:val="single" w:sz="4" w:space="0" w:color="auto"/>
              <w:left w:val="single" w:sz="4" w:space="0" w:color="auto"/>
              <w:bottom w:val="single" w:sz="4" w:space="0" w:color="auto"/>
              <w:right w:val="single" w:sz="4" w:space="0" w:color="auto"/>
            </w:tcBorders>
            <w:hideMark/>
          </w:tcPr>
          <w:p w14:paraId="2258958F" w14:textId="77777777" w:rsidR="00CD4121" w:rsidRPr="00CD4121" w:rsidRDefault="00CD4121" w:rsidP="00CD4121">
            <w:pPr>
              <w:keepNext/>
              <w:keepLines/>
              <w:overflowPunct w:val="0"/>
              <w:autoSpaceDE w:val="0"/>
              <w:autoSpaceDN w:val="0"/>
              <w:adjustRightInd w:val="0"/>
              <w:jc w:val="center"/>
              <w:textAlignment w:val="baseline"/>
              <w:rPr>
                <w:i/>
                <w:iCs/>
                <w:sz w:val="21"/>
                <w:szCs w:val="21"/>
              </w:rPr>
            </w:pPr>
            <w:r w:rsidRPr="00CD4121">
              <w:rPr>
                <w:i/>
                <w:iCs/>
                <w:sz w:val="21"/>
                <w:szCs w:val="21"/>
              </w:rPr>
              <w:t>3.3</w:t>
            </w:r>
          </w:p>
        </w:tc>
        <w:tc>
          <w:tcPr>
            <w:tcW w:w="741" w:type="dxa"/>
            <w:tcBorders>
              <w:top w:val="single" w:sz="4" w:space="0" w:color="auto"/>
              <w:left w:val="single" w:sz="4" w:space="0" w:color="auto"/>
              <w:bottom w:val="single" w:sz="4" w:space="0" w:color="auto"/>
              <w:right w:val="single" w:sz="4" w:space="0" w:color="auto"/>
            </w:tcBorders>
            <w:hideMark/>
          </w:tcPr>
          <w:p w14:paraId="3B6E47E5" w14:textId="77777777" w:rsidR="00CD4121" w:rsidRPr="00CD4121" w:rsidRDefault="00CD4121" w:rsidP="00CD4121">
            <w:pPr>
              <w:keepNext/>
              <w:keepLines/>
              <w:overflowPunct w:val="0"/>
              <w:autoSpaceDE w:val="0"/>
              <w:autoSpaceDN w:val="0"/>
              <w:adjustRightInd w:val="0"/>
              <w:jc w:val="center"/>
              <w:textAlignment w:val="baseline"/>
              <w:rPr>
                <w:i/>
                <w:iCs/>
                <w:sz w:val="21"/>
                <w:szCs w:val="21"/>
              </w:rPr>
            </w:pPr>
            <w:r w:rsidRPr="00CD4121">
              <w:rPr>
                <w:i/>
                <w:iCs/>
                <w:sz w:val="21"/>
                <w:szCs w:val="21"/>
              </w:rPr>
              <w:t>3.3</w:t>
            </w:r>
          </w:p>
        </w:tc>
      </w:tr>
      <w:tr w:rsidR="00CD4121" w:rsidRPr="00CD4121" w14:paraId="537392BC" w14:textId="77777777" w:rsidTr="006E1D1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8D85F7A" w14:textId="77777777" w:rsidR="00CD4121" w:rsidRPr="00CD4121" w:rsidRDefault="00CD4121" w:rsidP="00CD4121">
            <w:pPr>
              <w:keepNext/>
              <w:keepLines/>
              <w:overflowPunct w:val="0"/>
              <w:autoSpaceDE w:val="0"/>
              <w:autoSpaceDN w:val="0"/>
              <w:adjustRightInd w:val="0"/>
              <w:jc w:val="center"/>
              <w:textAlignment w:val="baseline"/>
              <w:rPr>
                <w:i/>
                <w:iCs/>
                <w:sz w:val="21"/>
                <w:szCs w:val="21"/>
              </w:rPr>
            </w:pPr>
            <w:r w:rsidRPr="00CD4121">
              <w:rPr>
                <w:rFonts w:eastAsia="PMingLiU"/>
                <w:i/>
                <w:iCs/>
                <w:sz w:val="21"/>
                <w:szCs w:val="21"/>
                <w:lang w:eastAsia="en-GB"/>
              </w:rPr>
              <w:t>n254</w:t>
            </w:r>
          </w:p>
        </w:tc>
        <w:tc>
          <w:tcPr>
            <w:tcW w:w="741" w:type="dxa"/>
            <w:tcBorders>
              <w:top w:val="single" w:sz="4" w:space="0" w:color="auto"/>
              <w:left w:val="single" w:sz="4" w:space="0" w:color="auto"/>
              <w:bottom w:val="single" w:sz="4" w:space="0" w:color="auto"/>
              <w:right w:val="single" w:sz="4" w:space="0" w:color="auto"/>
            </w:tcBorders>
            <w:hideMark/>
          </w:tcPr>
          <w:p w14:paraId="6FD38E87" w14:textId="77777777" w:rsidR="00CD4121" w:rsidRPr="00CD4121" w:rsidRDefault="00CD4121" w:rsidP="00CD4121">
            <w:pPr>
              <w:keepNext/>
              <w:keepLines/>
              <w:overflowPunct w:val="0"/>
              <w:autoSpaceDE w:val="0"/>
              <w:autoSpaceDN w:val="0"/>
              <w:adjustRightInd w:val="0"/>
              <w:jc w:val="center"/>
              <w:textAlignment w:val="baseline"/>
              <w:rPr>
                <w:i/>
                <w:iCs/>
                <w:sz w:val="21"/>
                <w:szCs w:val="21"/>
              </w:rPr>
            </w:pPr>
            <w:r w:rsidRPr="00CD4121">
              <w:rPr>
                <w:i/>
                <w:iCs/>
                <w:sz w:val="21"/>
                <w:szCs w:val="21"/>
              </w:rPr>
              <w:t>2.2</w:t>
            </w:r>
          </w:p>
        </w:tc>
        <w:tc>
          <w:tcPr>
            <w:tcW w:w="740" w:type="dxa"/>
            <w:tcBorders>
              <w:top w:val="single" w:sz="4" w:space="0" w:color="auto"/>
              <w:left w:val="single" w:sz="4" w:space="0" w:color="auto"/>
              <w:bottom w:val="single" w:sz="4" w:space="0" w:color="auto"/>
              <w:right w:val="single" w:sz="4" w:space="0" w:color="auto"/>
            </w:tcBorders>
            <w:hideMark/>
          </w:tcPr>
          <w:p w14:paraId="220FCEA0" w14:textId="77777777" w:rsidR="00CD4121" w:rsidRPr="00CD4121" w:rsidRDefault="00CD4121" w:rsidP="00CD4121">
            <w:pPr>
              <w:keepNext/>
              <w:keepLines/>
              <w:overflowPunct w:val="0"/>
              <w:autoSpaceDE w:val="0"/>
              <w:autoSpaceDN w:val="0"/>
              <w:adjustRightInd w:val="0"/>
              <w:jc w:val="center"/>
              <w:textAlignment w:val="baseline"/>
              <w:rPr>
                <w:i/>
                <w:iCs/>
                <w:sz w:val="21"/>
                <w:szCs w:val="21"/>
              </w:rPr>
            </w:pPr>
            <w:r w:rsidRPr="00CD4121">
              <w:rPr>
                <w:i/>
                <w:iCs/>
                <w:sz w:val="21"/>
                <w:szCs w:val="21"/>
              </w:rPr>
              <w:t>2.2</w:t>
            </w:r>
          </w:p>
        </w:tc>
        <w:tc>
          <w:tcPr>
            <w:tcW w:w="741" w:type="dxa"/>
            <w:tcBorders>
              <w:top w:val="single" w:sz="4" w:space="0" w:color="auto"/>
              <w:left w:val="single" w:sz="4" w:space="0" w:color="auto"/>
              <w:bottom w:val="single" w:sz="4" w:space="0" w:color="auto"/>
              <w:right w:val="single" w:sz="4" w:space="0" w:color="auto"/>
            </w:tcBorders>
            <w:hideMark/>
          </w:tcPr>
          <w:p w14:paraId="53769416" w14:textId="77777777" w:rsidR="00CD4121" w:rsidRPr="00CD4121" w:rsidRDefault="00CD4121" w:rsidP="00CD4121">
            <w:pPr>
              <w:keepNext/>
              <w:keepLines/>
              <w:overflowPunct w:val="0"/>
              <w:autoSpaceDE w:val="0"/>
              <w:autoSpaceDN w:val="0"/>
              <w:adjustRightInd w:val="0"/>
              <w:jc w:val="center"/>
              <w:textAlignment w:val="baseline"/>
              <w:rPr>
                <w:i/>
                <w:iCs/>
                <w:sz w:val="21"/>
                <w:szCs w:val="21"/>
              </w:rPr>
            </w:pPr>
            <w:r w:rsidRPr="00CD4121">
              <w:rPr>
                <w:i/>
                <w:iCs/>
                <w:sz w:val="21"/>
                <w:szCs w:val="21"/>
              </w:rPr>
              <w:t>2.2</w:t>
            </w:r>
          </w:p>
        </w:tc>
        <w:tc>
          <w:tcPr>
            <w:tcW w:w="741" w:type="dxa"/>
            <w:tcBorders>
              <w:top w:val="single" w:sz="4" w:space="0" w:color="auto"/>
              <w:left w:val="single" w:sz="4" w:space="0" w:color="auto"/>
              <w:bottom w:val="single" w:sz="4" w:space="0" w:color="auto"/>
              <w:right w:val="single" w:sz="4" w:space="0" w:color="auto"/>
            </w:tcBorders>
          </w:tcPr>
          <w:p w14:paraId="071BE02B" w14:textId="77777777" w:rsidR="00CD4121" w:rsidRPr="00CD4121" w:rsidRDefault="00CD4121" w:rsidP="00CD4121">
            <w:pPr>
              <w:keepNext/>
              <w:keepLines/>
              <w:overflowPunct w:val="0"/>
              <w:autoSpaceDE w:val="0"/>
              <w:autoSpaceDN w:val="0"/>
              <w:adjustRightInd w:val="0"/>
              <w:jc w:val="center"/>
              <w:textAlignment w:val="baseline"/>
              <w:rPr>
                <w:i/>
                <w:iCs/>
                <w:sz w:val="21"/>
                <w:szCs w:val="21"/>
              </w:rPr>
            </w:pPr>
          </w:p>
        </w:tc>
      </w:tr>
    </w:tbl>
    <w:p w14:paraId="13D10A38" w14:textId="77777777" w:rsidR="00CD4121" w:rsidRPr="00CD4121" w:rsidRDefault="00CD4121" w:rsidP="00CD4121">
      <w:pPr>
        <w:spacing w:after="120"/>
        <w:ind w:left="1440"/>
        <w:rPr>
          <w:rFonts w:eastAsia="SimSun"/>
          <w:i/>
          <w:iCs/>
          <w:sz w:val="21"/>
          <w:szCs w:val="21"/>
          <w:lang w:val="en-GB"/>
        </w:rPr>
      </w:pPr>
    </w:p>
    <w:p w14:paraId="5581CA9A" w14:textId="77777777" w:rsidR="00CD4121" w:rsidRPr="00CD4121" w:rsidRDefault="00CD4121" w:rsidP="00CD4121">
      <w:pPr>
        <w:numPr>
          <w:ilvl w:val="1"/>
          <w:numId w:val="10"/>
        </w:numPr>
        <w:overflowPunct w:val="0"/>
        <w:autoSpaceDE w:val="0"/>
        <w:autoSpaceDN w:val="0"/>
        <w:adjustRightInd w:val="0"/>
        <w:spacing w:after="120"/>
        <w:ind w:left="1440"/>
        <w:textAlignment w:val="baseline"/>
        <w:rPr>
          <w:rFonts w:eastAsia="SimSun"/>
          <w:i/>
          <w:iCs/>
          <w:sz w:val="21"/>
          <w:szCs w:val="21"/>
          <w:lang w:val="en-GB"/>
        </w:rPr>
      </w:pPr>
      <w:r w:rsidRPr="00CD4121">
        <w:rPr>
          <w:rFonts w:eastAsia="SimSun"/>
          <w:i/>
          <w:iCs/>
          <w:sz w:val="21"/>
          <w:szCs w:val="21"/>
          <w:lang w:val="en-GB"/>
        </w:rPr>
        <w:t>Option 2: For PC1 1Tx (MTK)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741"/>
        <w:gridCol w:w="740"/>
        <w:gridCol w:w="741"/>
        <w:gridCol w:w="741"/>
      </w:tblGrid>
      <w:tr w:rsidR="00CD4121" w:rsidRPr="00CD4121" w14:paraId="7489FA33" w14:textId="77777777" w:rsidTr="006E1D1B">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F4661FD" w14:textId="77777777" w:rsidR="00CD4121" w:rsidRPr="00CD4121" w:rsidRDefault="00CD4121" w:rsidP="00CD4121">
            <w:pPr>
              <w:keepNext/>
              <w:keepLines/>
              <w:overflowPunct w:val="0"/>
              <w:autoSpaceDE w:val="0"/>
              <w:autoSpaceDN w:val="0"/>
              <w:adjustRightInd w:val="0"/>
              <w:jc w:val="center"/>
              <w:textAlignment w:val="baseline"/>
              <w:rPr>
                <w:rFonts w:eastAsia="PMingLiU"/>
                <w:b/>
                <w:i/>
                <w:iCs/>
                <w:sz w:val="21"/>
                <w:szCs w:val="21"/>
                <w:lang w:eastAsia="en-GB"/>
              </w:rPr>
            </w:pPr>
            <w:r w:rsidRPr="00CD4121">
              <w:rPr>
                <w:rFonts w:eastAsia="PMingLiU"/>
                <w:b/>
                <w:i/>
                <w:iCs/>
                <w:sz w:val="21"/>
                <w:szCs w:val="21"/>
                <w:lang w:eastAsia="en-GB"/>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7A2A2443" w14:textId="77777777" w:rsidR="00CD4121" w:rsidRPr="00CD4121" w:rsidRDefault="00CD4121" w:rsidP="00CD4121">
            <w:pPr>
              <w:keepNext/>
              <w:keepLines/>
              <w:overflowPunct w:val="0"/>
              <w:autoSpaceDE w:val="0"/>
              <w:autoSpaceDN w:val="0"/>
              <w:adjustRightInd w:val="0"/>
              <w:jc w:val="center"/>
              <w:textAlignment w:val="baseline"/>
              <w:rPr>
                <w:rFonts w:eastAsia="PMingLiU"/>
                <w:b/>
                <w:i/>
                <w:iCs/>
                <w:sz w:val="21"/>
                <w:szCs w:val="21"/>
                <w:lang w:eastAsia="en-GB"/>
              </w:rPr>
            </w:pPr>
            <w:r w:rsidRPr="00CD4121">
              <w:rPr>
                <w:rFonts w:eastAsia="PMingLiU"/>
                <w:b/>
                <w:i/>
                <w:iCs/>
                <w:sz w:val="21"/>
                <w:szCs w:val="21"/>
                <w:lang w:eastAsia="en-GB"/>
              </w:rPr>
              <w:t>5</w:t>
            </w:r>
          </w:p>
          <w:p w14:paraId="3DBE1A32" w14:textId="77777777" w:rsidR="00CD4121" w:rsidRPr="00CD4121" w:rsidRDefault="00CD4121" w:rsidP="00CD4121">
            <w:pPr>
              <w:keepNext/>
              <w:keepLines/>
              <w:overflowPunct w:val="0"/>
              <w:autoSpaceDE w:val="0"/>
              <w:autoSpaceDN w:val="0"/>
              <w:adjustRightInd w:val="0"/>
              <w:jc w:val="center"/>
              <w:textAlignment w:val="baseline"/>
              <w:rPr>
                <w:rFonts w:eastAsia="PMingLiU"/>
                <w:b/>
                <w:i/>
                <w:iCs/>
                <w:sz w:val="21"/>
                <w:szCs w:val="21"/>
                <w:lang w:eastAsia="en-GB"/>
              </w:rPr>
            </w:pPr>
            <w:r w:rsidRPr="00CD4121">
              <w:rPr>
                <w:rFonts w:eastAsia="PMingLiU"/>
                <w:b/>
                <w:i/>
                <w:iCs/>
                <w:sz w:val="21"/>
                <w:szCs w:val="21"/>
                <w:lang w:eastAsia="en-GB"/>
              </w:rPr>
              <w:t>MHz</w:t>
            </w:r>
            <w:r w:rsidRPr="00CD4121">
              <w:rPr>
                <w:rFonts w:eastAsia="PMingLiU"/>
                <w:b/>
                <w:i/>
                <w:iCs/>
                <w:sz w:val="21"/>
                <w:szCs w:val="21"/>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40FFD3BE" w14:textId="77777777" w:rsidR="00CD4121" w:rsidRPr="00CD4121" w:rsidRDefault="00CD4121" w:rsidP="00CD4121">
            <w:pPr>
              <w:keepNext/>
              <w:keepLines/>
              <w:overflowPunct w:val="0"/>
              <w:autoSpaceDE w:val="0"/>
              <w:autoSpaceDN w:val="0"/>
              <w:adjustRightInd w:val="0"/>
              <w:jc w:val="center"/>
              <w:textAlignment w:val="baseline"/>
              <w:rPr>
                <w:rFonts w:eastAsia="PMingLiU"/>
                <w:b/>
                <w:i/>
                <w:iCs/>
                <w:sz w:val="21"/>
                <w:szCs w:val="21"/>
                <w:lang w:eastAsia="en-GB"/>
              </w:rPr>
            </w:pPr>
            <w:r w:rsidRPr="00CD4121">
              <w:rPr>
                <w:rFonts w:eastAsia="PMingLiU"/>
                <w:b/>
                <w:i/>
                <w:iCs/>
                <w:sz w:val="21"/>
                <w:szCs w:val="21"/>
                <w:lang w:eastAsia="en-GB"/>
              </w:rPr>
              <w:t>10</w:t>
            </w:r>
          </w:p>
          <w:p w14:paraId="316B0939" w14:textId="77777777" w:rsidR="00CD4121" w:rsidRPr="00CD4121" w:rsidRDefault="00CD4121" w:rsidP="00CD4121">
            <w:pPr>
              <w:keepNext/>
              <w:keepLines/>
              <w:overflowPunct w:val="0"/>
              <w:autoSpaceDE w:val="0"/>
              <w:autoSpaceDN w:val="0"/>
              <w:adjustRightInd w:val="0"/>
              <w:jc w:val="center"/>
              <w:textAlignment w:val="baseline"/>
              <w:rPr>
                <w:rFonts w:eastAsia="PMingLiU"/>
                <w:b/>
                <w:i/>
                <w:iCs/>
                <w:sz w:val="21"/>
                <w:szCs w:val="21"/>
                <w:lang w:eastAsia="en-GB"/>
              </w:rPr>
            </w:pPr>
            <w:r w:rsidRPr="00CD4121">
              <w:rPr>
                <w:rFonts w:eastAsia="PMingLiU"/>
                <w:b/>
                <w:i/>
                <w:iCs/>
                <w:sz w:val="21"/>
                <w:szCs w:val="21"/>
                <w:lang w:eastAsia="en-GB"/>
              </w:rPr>
              <w:t>MHz</w:t>
            </w:r>
            <w:r w:rsidRPr="00CD4121">
              <w:rPr>
                <w:rFonts w:eastAsia="PMingLiU"/>
                <w:b/>
                <w:i/>
                <w:iCs/>
                <w:sz w:val="21"/>
                <w:szCs w:val="21"/>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24DAA71" w14:textId="77777777" w:rsidR="00CD4121" w:rsidRPr="00CD4121" w:rsidRDefault="00CD4121" w:rsidP="00CD4121">
            <w:pPr>
              <w:keepNext/>
              <w:keepLines/>
              <w:overflowPunct w:val="0"/>
              <w:autoSpaceDE w:val="0"/>
              <w:autoSpaceDN w:val="0"/>
              <w:adjustRightInd w:val="0"/>
              <w:jc w:val="center"/>
              <w:textAlignment w:val="baseline"/>
              <w:rPr>
                <w:rFonts w:eastAsia="PMingLiU"/>
                <w:b/>
                <w:i/>
                <w:iCs/>
                <w:sz w:val="21"/>
                <w:szCs w:val="21"/>
                <w:lang w:eastAsia="en-GB"/>
              </w:rPr>
            </w:pPr>
            <w:r w:rsidRPr="00CD4121">
              <w:rPr>
                <w:rFonts w:eastAsia="PMingLiU"/>
                <w:b/>
                <w:i/>
                <w:iCs/>
                <w:sz w:val="21"/>
                <w:szCs w:val="21"/>
                <w:lang w:eastAsia="en-GB"/>
              </w:rPr>
              <w:t>15</w:t>
            </w:r>
          </w:p>
          <w:p w14:paraId="2890AFFB" w14:textId="77777777" w:rsidR="00CD4121" w:rsidRPr="00CD4121" w:rsidRDefault="00CD4121" w:rsidP="00CD4121">
            <w:pPr>
              <w:keepNext/>
              <w:keepLines/>
              <w:overflowPunct w:val="0"/>
              <w:autoSpaceDE w:val="0"/>
              <w:autoSpaceDN w:val="0"/>
              <w:adjustRightInd w:val="0"/>
              <w:jc w:val="center"/>
              <w:textAlignment w:val="baseline"/>
              <w:rPr>
                <w:rFonts w:eastAsia="PMingLiU"/>
                <w:b/>
                <w:i/>
                <w:iCs/>
                <w:sz w:val="21"/>
                <w:szCs w:val="21"/>
                <w:lang w:eastAsia="en-GB"/>
              </w:rPr>
            </w:pPr>
            <w:r w:rsidRPr="00CD4121">
              <w:rPr>
                <w:rFonts w:eastAsia="PMingLiU"/>
                <w:b/>
                <w:i/>
                <w:iCs/>
                <w:sz w:val="21"/>
                <w:szCs w:val="21"/>
                <w:lang w:eastAsia="en-GB"/>
              </w:rPr>
              <w:t>MHz</w:t>
            </w:r>
            <w:r w:rsidRPr="00CD4121">
              <w:rPr>
                <w:rFonts w:eastAsia="PMingLiU"/>
                <w:b/>
                <w:i/>
                <w:iCs/>
                <w:sz w:val="21"/>
                <w:szCs w:val="21"/>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1BBFEA2" w14:textId="77777777" w:rsidR="00CD4121" w:rsidRPr="00CD4121" w:rsidRDefault="00CD4121" w:rsidP="00CD4121">
            <w:pPr>
              <w:keepNext/>
              <w:keepLines/>
              <w:overflowPunct w:val="0"/>
              <w:autoSpaceDE w:val="0"/>
              <w:autoSpaceDN w:val="0"/>
              <w:adjustRightInd w:val="0"/>
              <w:jc w:val="center"/>
              <w:textAlignment w:val="baseline"/>
              <w:rPr>
                <w:rFonts w:eastAsia="PMingLiU"/>
                <w:b/>
                <w:i/>
                <w:iCs/>
                <w:sz w:val="21"/>
                <w:szCs w:val="21"/>
                <w:lang w:eastAsia="en-GB"/>
              </w:rPr>
            </w:pPr>
            <w:r w:rsidRPr="00CD4121">
              <w:rPr>
                <w:rFonts w:eastAsia="PMingLiU"/>
                <w:b/>
                <w:i/>
                <w:iCs/>
                <w:sz w:val="21"/>
                <w:szCs w:val="21"/>
                <w:lang w:eastAsia="en-GB"/>
              </w:rPr>
              <w:t>20</w:t>
            </w:r>
          </w:p>
          <w:p w14:paraId="34246D83" w14:textId="77777777" w:rsidR="00CD4121" w:rsidRPr="00CD4121" w:rsidRDefault="00CD4121" w:rsidP="00CD4121">
            <w:pPr>
              <w:keepNext/>
              <w:keepLines/>
              <w:overflowPunct w:val="0"/>
              <w:autoSpaceDE w:val="0"/>
              <w:autoSpaceDN w:val="0"/>
              <w:adjustRightInd w:val="0"/>
              <w:jc w:val="center"/>
              <w:textAlignment w:val="baseline"/>
              <w:rPr>
                <w:rFonts w:eastAsia="PMingLiU"/>
                <w:b/>
                <w:i/>
                <w:iCs/>
                <w:sz w:val="21"/>
                <w:szCs w:val="21"/>
                <w:lang w:eastAsia="en-GB"/>
              </w:rPr>
            </w:pPr>
            <w:r w:rsidRPr="00CD4121">
              <w:rPr>
                <w:rFonts w:eastAsia="PMingLiU"/>
                <w:b/>
                <w:i/>
                <w:iCs/>
                <w:sz w:val="21"/>
                <w:szCs w:val="21"/>
                <w:lang w:eastAsia="en-GB"/>
              </w:rPr>
              <w:t>MHz</w:t>
            </w:r>
            <w:r w:rsidRPr="00CD4121">
              <w:rPr>
                <w:rFonts w:eastAsia="PMingLiU"/>
                <w:b/>
                <w:i/>
                <w:iCs/>
                <w:sz w:val="21"/>
                <w:szCs w:val="21"/>
                <w:lang w:eastAsia="en-GB"/>
              </w:rPr>
              <w:br/>
              <w:t>(dB)</w:t>
            </w:r>
          </w:p>
        </w:tc>
      </w:tr>
      <w:tr w:rsidR="00CD4121" w:rsidRPr="00CD4121" w14:paraId="4001C0DF" w14:textId="77777777" w:rsidTr="006E1D1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C507EE5" w14:textId="77777777" w:rsidR="00CD4121" w:rsidRPr="00CD4121" w:rsidRDefault="00CD4121" w:rsidP="00CD4121">
            <w:pPr>
              <w:keepNext/>
              <w:keepLines/>
              <w:overflowPunct w:val="0"/>
              <w:autoSpaceDE w:val="0"/>
              <w:autoSpaceDN w:val="0"/>
              <w:adjustRightInd w:val="0"/>
              <w:jc w:val="center"/>
              <w:textAlignment w:val="baseline"/>
              <w:rPr>
                <w:rFonts w:eastAsia="PMingLiU"/>
                <w:i/>
                <w:iCs/>
                <w:sz w:val="21"/>
                <w:szCs w:val="21"/>
                <w:lang w:eastAsia="en-GB"/>
              </w:rPr>
            </w:pPr>
            <w:r w:rsidRPr="00CD4121">
              <w:rPr>
                <w:i/>
                <w:iCs/>
                <w:sz w:val="21"/>
                <w:szCs w:val="21"/>
              </w:rPr>
              <w:t>n256</w:t>
            </w:r>
          </w:p>
        </w:tc>
        <w:tc>
          <w:tcPr>
            <w:tcW w:w="741" w:type="dxa"/>
            <w:tcBorders>
              <w:top w:val="single" w:sz="4" w:space="0" w:color="auto"/>
              <w:left w:val="single" w:sz="4" w:space="0" w:color="auto"/>
              <w:bottom w:val="single" w:sz="4" w:space="0" w:color="auto"/>
              <w:right w:val="single" w:sz="4" w:space="0" w:color="auto"/>
            </w:tcBorders>
            <w:hideMark/>
          </w:tcPr>
          <w:p w14:paraId="67210782" w14:textId="77777777" w:rsidR="00CD4121" w:rsidRPr="00CD4121" w:rsidRDefault="00CD4121" w:rsidP="00CD4121">
            <w:pPr>
              <w:keepNext/>
              <w:keepLines/>
              <w:overflowPunct w:val="0"/>
              <w:autoSpaceDE w:val="0"/>
              <w:autoSpaceDN w:val="0"/>
              <w:adjustRightInd w:val="0"/>
              <w:jc w:val="center"/>
              <w:textAlignment w:val="baseline"/>
              <w:rPr>
                <w:rFonts w:eastAsia="PMingLiU"/>
                <w:i/>
                <w:iCs/>
                <w:sz w:val="21"/>
                <w:szCs w:val="21"/>
                <w:lang w:eastAsia="en-GB"/>
              </w:rPr>
            </w:pPr>
            <w:r w:rsidRPr="00CD4121">
              <w:rPr>
                <w:i/>
                <w:iCs/>
                <w:sz w:val="21"/>
                <w:szCs w:val="21"/>
              </w:rPr>
              <w:t>[3]</w:t>
            </w:r>
          </w:p>
        </w:tc>
        <w:tc>
          <w:tcPr>
            <w:tcW w:w="740" w:type="dxa"/>
            <w:tcBorders>
              <w:top w:val="single" w:sz="4" w:space="0" w:color="auto"/>
              <w:left w:val="single" w:sz="4" w:space="0" w:color="auto"/>
              <w:bottom w:val="single" w:sz="4" w:space="0" w:color="auto"/>
              <w:right w:val="single" w:sz="4" w:space="0" w:color="auto"/>
            </w:tcBorders>
            <w:hideMark/>
          </w:tcPr>
          <w:p w14:paraId="7929EADA" w14:textId="77777777" w:rsidR="00CD4121" w:rsidRPr="00CD4121" w:rsidRDefault="00CD4121" w:rsidP="00CD4121">
            <w:pPr>
              <w:keepNext/>
              <w:keepLines/>
              <w:overflowPunct w:val="0"/>
              <w:autoSpaceDE w:val="0"/>
              <w:autoSpaceDN w:val="0"/>
              <w:adjustRightInd w:val="0"/>
              <w:jc w:val="center"/>
              <w:textAlignment w:val="baseline"/>
              <w:rPr>
                <w:rFonts w:eastAsia="PMingLiU"/>
                <w:i/>
                <w:iCs/>
                <w:sz w:val="21"/>
                <w:szCs w:val="21"/>
                <w:lang w:eastAsia="en-GB"/>
              </w:rPr>
            </w:pPr>
            <w:r w:rsidRPr="00CD4121">
              <w:rPr>
                <w:i/>
                <w:iCs/>
                <w:sz w:val="21"/>
                <w:szCs w:val="21"/>
              </w:rPr>
              <w:t>[3]</w:t>
            </w:r>
          </w:p>
        </w:tc>
        <w:tc>
          <w:tcPr>
            <w:tcW w:w="741" w:type="dxa"/>
            <w:tcBorders>
              <w:top w:val="single" w:sz="4" w:space="0" w:color="auto"/>
              <w:left w:val="single" w:sz="4" w:space="0" w:color="auto"/>
              <w:bottom w:val="single" w:sz="4" w:space="0" w:color="auto"/>
              <w:right w:val="single" w:sz="4" w:space="0" w:color="auto"/>
            </w:tcBorders>
            <w:hideMark/>
          </w:tcPr>
          <w:p w14:paraId="5823AB39" w14:textId="77777777" w:rsidR="00CD4121" w:rsidRPr="00CD4121" w:rsidRDefault="00CD4121" w:rsidP="00CD4121">
            <w:pPr>
              <w:keepNext/>
              <w:keepLines/>
              <w:overflowPunct w:val="0"/>
              <w:autoSpaceDE w:val="0"/>
              <w:autoSpaceDN w:val="0"/>
              <w:adjustRightInd w:val="0"/>
              <w:jc w:val="center"/>
              <w:textAlignment w:val="baseline"/>
              <w:rPr>
                <w:rFonts w:eastAsia="PMingLiU"/>
                <w:i/>
                <w:iCs/>
                <w:sz w:val="21"/>
                <w:szCs w:val="21"/>
                <w:lang w:eastAsia="en-GB"/>
              </w:rPr>
            </w:pPr>
            <w:r w:rsidRPr="00CD4121">
              <w:rPr>
                <w:i/>
                <w:iCs/>
                <w:sz w:val="21"/>
                <w:szCs w:val="21"/>
              </w:rPr>
              <w:t>[3]</w:t>
            </w:r>
          </w:p>
        </w:tc>
        <w:tc>
          <w:tcPr>
            <w:tcW w:w="741" w:type="dxa"/>
            <w:tcBorders>
              <w:top w:val="single" w:sz="4" w:space="0" w:color="auto"/>
              <w:left w:val="single" w:sz="4" w:space="0" w:color="auto"/>
              <w:bottom w:val="single" w:sz="4" w:space="0" w:color="auto"/>
              <w:right w:val="single" w:sz="4" w:space="0" w:color="auto"/>
            </w:tcBorders>
            <w:hideMark/>
          </w:tcPr>
          <w:p w14:paraId="6B6C97A0" w14:textId="77777777" w:rsidR="00CD4121" w:rsidRPr="00CD4121" w:rsidRDefault="00CD4121" w:rsidP="00CD4121">
            <w:pPr>
              <w:keepNext/>
              <w:keepLines/>
              <w:overflowPunct w:val="0"/>
              <w:autoSpaceDE w:val="0"/>
              <w:autoSpaceDN w:val="0"/>
              <w:adjustRightInd w:val="0"/>
              <w:jc w:val="center"/>
              <w:textAlignment w:val="baseline"/>
              <w:rPr>
                <w:rFonts w:eastAsia="PMingLiU"/>
                <w:i/>
                <w:iCs/>
                <w:sz w:val="21"/>
                <w:szCs w:val="21"/>
                <w:lang w:eastAsia="en-GB"/>
              </w:rPr>
            </w:pPr>
            <w:r w:rsidRPr="00CD4121">
              <w:rPr>
                <w:i/>
                <w:iCs/>
                <w:sz w:val="21"/>
                <w:szCs w:val="21"/>
              </w:rPr>
              <w:t>[3]</w:t>
            </w:r>
          </w:p>
        </w:tc>
      </w:tr>
      <w:tr w:rsidR="00CD4121" w:rsidRPr="00CD4121" w14:paraId="7DA4B917" w14:textId="77777777" w:rsidTr="006E1D1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E510CA5" w14:textId="77777777" w:rsidR="00CD4121" w:rsidRPr="00CD4121" w:rsidRDefault="00CD4121" w:rsidP="00CD4121">
            <w:pPr>
              <w:keepNext/>
              <w:keepLines/>
              <w:overflowPunct w:val="0"/>
              <w:autoSpaceDE w:val="0"/>
              <w:autoSpaceDN w:val="0"/>
              <w:adjustRightInd w:val="0"/>
              <w:jc w:val="center"/>
              <w:textAlignment w:val="baseline"/>
              <w:rPr>
                <w:i/>
                <w:iCs/>
                <w:sz w:val="21"/>
                <w:szCs w:val="21"/>
              </w:rPr>
            </w:pPr>
            <w:r w:rsidRPr="00CD4121">
              <w:rPr>
                <w:rFonts w:eastAsia="PMingLiU"/>
                <w:i/>
                <w:iCs/>
                <w:sz w:val="21"/>
                <w:szCs w:val="21"/>
                <w:lang w:eastAsia="en-GB"/>
              </w:rPr>
              <w:t>n254</w:t>
            </w:r>
          </w:p>
        </w:tc>
        <w:tc>
          <w:tcPr>
            <w:tcW w:w="741" w:type="dxa"/>
            <w:tcBorders>
              <w:top w:val="single" w:sz="4" w:space="0" w:color="auto"/>
              <w:left w:val="single" w:sz="4" w:space="0" w:color="auto"/>
              <w:bottom w:val="single" w:sz="4" w:space="0" w:color="auto"/>
              <w:right w:val="single" w:sz="4" w:space="0" w:color="auto"/>
            </w:tcBorders>
          </w:tcPr>
          <w:p w14:paraId="265EE36B" w14:textId="77777777" w:rsidR="00CD4121" w:rsidRPr="00CD4121" w:rsidRDefault="00CD4121" w:rsidP="00CD4121">
            <w:pPr>
              <w:keepNext/>
              <w:keepLines/>
              <w:overflowPunct w:val="0"/>
              <w:autoSpaceDE w:val="0"/>
              <w:autoSpaceDN w:val="0"/>
              <w:adjustRightInd w:val="0"/>
              <w:jc w:val="center"/>
              <w:textAlignment w:val="baseline"/>
              <w:rPr>
                <w:i/>
                <w:iCs/>
                <w:sz w:val="21"/>
                <w:szCs w:val="21"/>
              </w:rPr>
            </w:pPr>
            <w:r w:rsidRPr="00CD4121">
              <w:rPr>
                <w:i/>
                <w:iCs/>
                <w:sz w:val="21"/>
                <w:szCs w:val="21"/>
              </w:rPr>
              <w:t>[3]</w:t>
            </w:r>
          </w:p>
        </w:tc>
        <w:tc>
          <w:tcPr>
            <w:tcW w:w="740" w:type="dxa"/>
            <w:tcBorders>
              <w:top w:val="single" w:sz="4" w:space="0" w:color="auto"/>
              <w:left w:val="single" w:sz="4" w:space="0" w:color="auto"/>
              <w:bottom w:val="single" w:sz="4" w:space="0" w:color="auto"/>
              <w:right w:val="single" w:sz="4" w:space="0" w:color="auto"/>
            </w:tcBorders>
          </w:tcPr>
          <w:p w14:paraId="214752AB" w14:textId="77777777" w:rsidR="00CD4121" w:rsidRPr="00CD4121" w:rsidRDefault="00CD4121" w:rsidP="00CD4121">
            <w:pPr>
              <w:keepNext/>
              <w:keepLines/>
              <w:overflowPunct w:val="0"/>
              <w:autoSpaceDE w:val="0"/>
              <w:autoSpaceDN w:val="0"/>
              <w:adjustRightInd w:val="0"/>
              <w:jc w:val="center"/>
              <w:textAlignment w:val="baseline"/>
              <w:rPr>
                <w:i/>
                <w:iCs/>
                <w:sz w:val="21"/>
                <w:szCs w:val="21"/>
              </w:rPr>
            </w:pPr>
            <w:r w:rsidRPr="00CD4121">
              <w:rPr>
                <w:i/>
                <w:iCs/>
                <w:sz w:val="21"/>
                <w:szCs w:val="21"/>
              </w:rPr>
              <w:t>[3]</w:t>
            </w:r>
          </w:p>
        </w:tc>
        <w:tc>
          <w:tcPr>
            <w:tcW w:w="741" w:type="dxa"/>
            <w:tcBorders>
              <w:top w:val="single" w:sz="4" w:space="0" w:color="auto"/>
              <w:left w:val="single" w:sz="4" w:space="0" w:color="auto"/>
              <w:bottom w:val="single" w:sz="4" w:space="0" w:color="auto"/>
              <w:right w:val="single" w:sz="4" w:space="0" w:color="auto"/>
            </w:tcBorders>
          </w:tcPr>
          <w:p w14:paraId="483B38F2" w14:textId="77777777" w:rsidR="00CD4121" w:rsidRPr="00CD4121" w:rsidRDefault="00CD4121" w:rsidP="00CD4121">
            <w:pPr>
              <w:keepNext/>
              <w:keepLines/>
              <w:overflowPunct w:val="0"/>
              <w:autoSpaceDE w:val="0"/>
              <w:autoSpaceDN w:val="0"/>
              <w:adjustRightInd w:val="0"/>
              <w:jc w:val="center"/>
              <w:textAlignment w:val="baseline"/>
              <w:rPr>
                <w:i/>
                <w:iCs/>
                <w:sz w:val="21"/>
                <w:szCs w:val="21"/>
              </w:rPr>
            </w:pPr>
            <w:r w:rsidRPr="00CD4121">
              <w:rPr>
                <w:i/>
                <w:iCs/>
                <w:sz w:val="21"/>
                <w:szCs w:val="21"/>
              </w:rPr>
              <w:t>[3]</w:t>
            </w:r>
          </w:p>
        </w:tc>
        <w:tc>
          <w:tcPr>
            <w:tcW w:w="741" w:type="dxa"/>
            <w:tcBorders>
              <w:top w:val="single" w:sz="4" w:space="0" w:color="auto"/>
              <w:left w:val="single" w:sz="4" w:space="0" w:color="auto"/>
              <w:bottom w:val="single" w:sz="4" w:space="0" w:color="auto"/>
              <w:right w:val="single" w:sz="4" w:space="0" w:color="auto"/>
            </w:tcBorders>
          </w:tcPr>
          <w:p w14:paraId="2304790D" w14:textId="77777777" w:rsidR="00CD4121" w:rsidRPr="00CD4121" w:rsidRDefault="00CD4121" w:rsidP="00CD4121">
            <w:pPr>
              <w:keepNext/>
              <w:keepLines/>
              <w:overflowPunct w:val="0"/>
              <w:autoSpaceDE w:val="0"/>
              <w:autoSpaceDN w:val="0"/>
              <w:adjustRightInd w:val="0"/>
              <w:jc w:val="center"/>
              <w:textAlignment w:val="baseline"/>
              <w:rPr>
                <w:i/>
                <w:iCs/>
                <w:sz w:val="21"/>
                <w:szCs w:val="21"/>
              </w:rPr>
            </w:pPr>
          </w:p>
        </w:tc>
      </w:tr>
    </w:tbl>
    <w:p w14:paraId="3458104B" w14:textId="77777777" w:rsidR="00863D3A" w:rsidRPr="00863D3A" w:rsidRDefault="00863D3A" w:rsidP="00863D3A">
      <w:pPr>
        <w:overflowPunct w:val="0"/>
        <w:autoSpaceDE w:val="0"/>
        <w:autoSpaceDN w:val="0"/>
        <w:adjustRightInd w:val="0"/>
        <w:spacing w:after="120"/>
        <w:textAlignment w:val="baseline"/>
        <w:rPr>
          <w:rFonts w:eastAsia="SimSun"/>
          <w:sz w:val="20"/>
          <w:lang w:val="en-GB"/>
        </w:rPr>
      </w:pPr>
    </w:p>
    <w:p w14:paraId="57BF3A49" w14:textId="36254BB8" w:rsidR="0056167F" w:rsidRDefault="00863D3A" w:rsidP="00586A24">
      <w:pPr>
        <w:overflowPunct w:val="0"/>
        <w:autoSpaceDE w:val="0"/>
        <w:autoSpaceDN w:val="0"/>
        <w:adjustRightInd w:val="0"/>
        <w:spacing w:after="180"/>
        <w:textAlignment w:val="baseline"/>
        <w:rPr>
          <w:rFonts w:eastAsia="DengXian"/>
          <w:sz w:val="21"/>
          <w:szCs w:val="21"/>
          <w:lang w:val="en-GB"/>
        </w:rPr>
      </w:pPr>
      <w:r>
        <w:rPr>
          <w:rFonts w:eastAsia="DengXian"/>
          <w:sz w:val="21"/>
          <w:szCs w:val="21"/>
          <w:lang w:val="en-GB"/>
        </w:rPr>
        <w:t>For TN, the RSD requirements are not specified for PC1.5 and PC1</w:t>
      </w:r>
      <w:r w:rsidR="00C54779">
        <w:rPr>
          <w:rFonts w:eastAsia="DengXian"/>
          <w:sz w:val="21"/>
          <w:szCs w:val="21"/>
          <w:lang w:val="en-GB"/>
        </w:rPr>
        <w:t xml:space="preserve"> [3]</w:t>
      </w:r>
      <w:r w:rsidR="00A73542">
        <w:rPr>
          <w:rFonts w:eastAsia="DengXian"/>
          <w:sz w:val="21"/>
          <w:szCs w:val="21"/>
          <w:lang w:val="en-GB"/>
        </w:rPr>
        <w:t>.</w:t>
      </w:r>
      <w:r>
        <w:rPr>
          <w:rFonts w:eastAsia="DengXian"/>
          <w:sz w:val="21"/>
          <w:szCs w:val="21"/>
          <w:lang w:val="en-GB"/>
        </w:rPr>
        <w:t xml:space="preserve"> FDD bands do not support PC1.5, while PC1 </w:t>
      </w:r>
      <w:r w:rsidR="004B451E" w:rsidRPr="004B451E">
        <w:rPr>
          <w:rFonts w:eastAsia="DengXian"/>
          <w:sz w:val="21"/>
          <w:szCs w:val="21"/>
          <w:lang w:val="en-GB"/>
        </w:rPr>
        <w:t>UE</w:t>
      </w:r>
      <w:r w:rsidR="00DB2821">
        <w:rPr>
          <w:rFonts w:eastAsia="DengXian"/>
          <w:sz w:val="21"/>
          <w:szCs w:val="21"/>
          <w:lang w:val="en-GB"/>
        </w:rPr>
        <w:t>s</w:t>
      </w:r>
      <w:r w:rsidR="004B451E" w:rsidRPr="004B451E">
        <w:rPr>
          <w:rFonts w:eastAsia="DengXian"/>
          <w:sz w:val="21"/>
          <w:szCs w:val="21"/>
          <w:lang w:val="en-GB"/>
        </w:rPr>
        <w:t xml:space="preserve"> </w:t>
      </w:r>
      <w:r w:rsidR="00DB2821">
        <w:rPr>
          <w:rFonts w:eastAsia="DengXian"/>
          <w:sz w:val="21"/>
          <w:szCs w:val="21"/>
          <w:lang w:val="en-GB"/>
        </w:rPr>
        <w:t>are</w:t>
      </w:r>
      <w:r w:rsidR="004B451E" w:rsidRPr="004B451E">
        <w:rPr>
          <w:rFonts w:eastAsia="DengXian"/>
          <w:sz w:val="21"/>
          <w:szCs w:val="21"/>
          <w:lang w:val="en-GB"/>
        </w:rPr>
        <w:t xml:space="preserve"> not targeted for smartphone form factor</w:t>
      </w:r>
      <w:r w:rsidR="004B451E">
        <w:rPr>
          <w:rFonts w:eastAsia="DengXian"/>
          <w:sz w:val="21"/>
          <w:szCs w:val="21"/>
          <w:lang w:val="en-GB"/>
        </w:rPr>
        <w:t xml:space="preserve">. </w:t>
      </w:r>
    </w:p>
    <w:p w14:paraId="1DAD4508" w14:textId="1E274C57" w:rsidR="00E34CD5" w:rsidRDefault="004B451E" w:rsidP="00586A24">
      <w:pPr>
        <w:overflowPunct w:val="0"/>
        <w:autoSpaceDE w:val="0"/>
        <w:autoSpaceDN w:val="0"/>
        <w:adjustRightInd w:val="0"/>
        <w:spacing w:after="180"/>
        <w:textAlignment w:val="baseline"/>
        <w:rPr>
          <w:rFonts w:eastAsia="DengXian"/>
          <w:sz w:val="21"/>
          <w:szCs w:val="21"/>
          <w:lang w:val="en-GB"/>
        </w:rPr>
      </w:pPr>
      <w:r>
        <w:rPr>
          <w:rFonts w:eastAsia="DengXian"/>
          <w:sz w:val="21"/>
          <w:szCs w:val="21"/>
          <w:lang w:val="en-GB"/>
        </w:rPr>
        <w:t xml:space="preserve">For the NTN, </w:t>
      </w:r>
      <w:r w:rsidR="0056167F">
        <w:rPr>
          <w:rFonts w:eastAsia="DengXian"/>
          <w:sz w:val="21"/>
          <w:szCs w:val="21"/>
          <w:lang w:val="en-GB"/>
        </w:rPr>
        <w:t xml:space="preserve">in </w:t>
      </w:r>
      <w:r w:rsidR="00CD4121">
        <w:rPr>
          <w:rFonts w:eastAsia="DengXian"/>
          <w:sz w:val="21"/>
          <w:szCs w:val="21"/>
          <w:lang w:val="en-GB"/>
        </w:rPr>
        <w:t>RAN4#114</w:t>
      </w:r>
      <w:r w:rsidR="0056167F">
        <w:rPr>
          <w:rFonts w:eastAsia="DengXian"/>
          <w:sz w:val="21"/>
          <w:szCs w:val="21"/>
          <w:lang w:val="en-GB"/>
        </w:rPr>
        <w:t xml:space="preserve"> meeting it was agreed to define </w:t>
      </w:r>
      <w:r w:rsidR="0056167F" w:rsidRPr="0056167F">
        <w:rPr>
          <w:rFonts w:eastAsia="DengXian"/>
          <w:sz w:val="21"/>
          <w:szCs w:val="21"/>
          <w:lang w:val="en-GB"/>
        </w:rPr>
        <w:t>the requirements for PC1.5 for non-handheld NR-NTN UE with 2Tx in Rel-19</w:t>
      </w:r>
      <w:r w:rsidR="0056167F">
        <w:rPr>
          <w:rFonts w:eastAsia="DengXian"/>
          <w:sz w:val="21"/>
          <w:szCs w:val="21"/>
          <w:lang w:val="en-GB"/>
        </w:rPr>
        <w:t xml:space="preserve"> (other cases are </w:t>
      </w:r>
      <w:r w:rsidR="00CD4121">
        <w:rPr>
          <w:rFonts w:eastAsia="DengXian"/>
          <w:sz w:val="21"/>
          <w:szCs w:val="21"/>
          <w:lang w:val="en-GB"/>
        </w:rPr>
        <w:t xml:space="preserve">still </w:t>
      </w:r>
      <w:r w:rsidR="0056167F">
        <w:rPr>
          <w:rFonts w:eastAsia="DengXian"/>
          <w:sz w:val="21"/>
          <w:szCs w:val="21"/>
          <w:lang w:val="en-GB"/>
        </w:rPr>
        <w:t>FFS). Since only non-handheld UEs will be considered for PC1.5, even though 2Tx architecture will be assumed, in our view no RSD should be specified because for TN, no RSD was specified for PC1, for which the maximum output power is 2dB larger than for PC1.</w:t>
      </w:r>
    </w:p>
    <w:p w14:paraId="499524BD" w14:textId="6B773432" w:rsidR="0056167F" w:rsidRPr="00E34CD5" w:rsidRDefault="0056167F" w:rsidP="00586A24">
      <w:pPr>
        <w:overflowPunct w:val="0"/>
        <w:autoSpaceDE w:val="0"/>
        <w:autoSpaceDN w:val="0"/>
        <w:adjustRightInd w:val="0"/>
        <w:spacing w:after="180"/>
        <w:textAlignment w:val="baseline"/>
        <w:rPr>
          <w:rFonts w:eastAsia="DengXian"/>
          <w:sz w:val="21"/>
          <w:szCs w:val="21"/>
          <w:lang w:val="en-GB"/>
        </w:rPr>
      </w:pPr>
      <w:r>
        <w:rPr>
          <w:rFonts w:eastAsia="DengXian"/>
          <w:sz w:val="21"/>
          <w:szCs w:val="21"/>
          <w:lang w:val="en-GB"/>
        </w:rPr>
        <w:t xml:space="preserve">For PC1, it was previously agreed only to consider </w:t>
      </w:r>
      <w:r w:rsidR="00C54779">
        <w:rPr>
          <w:rFonts w:eastAsia="DengXian"/>
          <w:sz w:val="21"/>
          <w:szCs w:val="21"/>
          <w:lang w:val="en-GB"/>
        </w:rPr>
        <w:t>1Tx architecture and non-handheld UEs for NTN</w:t>
      </w:r>
      <w:r w:rsidR="009E0C87">
        <w:rPr>
          <w:rFonts w:eastAsia="DengXian"/>
          <w:sz w:val="21"/>
          <w:szCs w:val="21"/>
          <w:lang w:val="en-GB"/>
        </w:rPr>
        <w:t xml:space="preserve">. </w:t>
      </w:r>
      <w:r w:rsidR="00C54779">
        <w:rPr>
          <w:rFonts w:eastAsia="DengXian"/>
          <w:sz w:val="21"/>
          <w:szCs w:val="21"/>
          <w:lang w:val="en-GB"/>
        </w:rPr>
        <w:t xml:space="preserve">For such case, no RSD should be specified which is in line with TN, where also 1Tx architecture was assumed and non-handheld UEs only. </w:t>
      </w:r>
    </w:p>
    <w:p w14:paraId="0BD09203" w14:textId="5CB5958C" w:rsidR="009716D1" w:rsidRDefault="00586A24" w:rsidP="00863D3A">
      <w:pPr>
        <w:overflowPunct w:val="0"/>
        <w:autoSpaceDE w:val="0"/>
        <w:autoSpaceDN w:val="0"/>
        <w:adjustRightInd w:val="0"/>
        <w:spacing w:after="180"/>
        <w:textAlignment w:val="baseline"/>
        <w:rPr>
          <w:rFonts w:eastAsia="DengXian"/>
          <w:b/>
          <w:bCs/>
          <w:sz w:val="21"/>
          <w:szCs w:val="21"/>
          <w:lang w:val="en-GB"/>
        </w:rPr>
      </w:pPr>
      <w:r w:rsidRPr="00E34CD5">
        <w:rPr>
          <w:rFonts w:eastAsia="DengXian"/>
          <w:b/>
          <w:bCs/>
          <w:sz w:val="21"/>
          <w:szCs w:val="21"/>
          <w:lang w:val="en-GB"/>
        </w:rPr>
        <w:t xml:space="preserve">Proposal </w:t>
      </w:r>
      <w:r w:rsidR="004A68BA">
        <w:rPr>
          <w:rFonts w:eastAsia="DengXian"/>
          <w:b/>
          <w:bCs/>
          <w:sz w:val="21"/>
          <w:szCs w:val="21"/>
          <w:lang w:val="en-GB"/>
        </w:rPr>
        <w:t>1</w:t>
      </w:r>
      <w:r w:rsidRPr="00E34CD5">
        <w:rPr>
          <w:rFonts w:eastAsia="DengXian"/>
          <w:b/>
          <w:bCs/>
          <w:sz w:val="21"/>
          <w:szCs w:val="21"/>
          <w:lang w:val="en-GB"/>
        </w:rPr>
        <w:t xml:space="preserve">: </w:t>
      </w:r>
      <w:r w:rsidR="007152F4" w:rsidRPr="007152F4">
        <w:rPr>
          <w:rFonts w:eastAsia="DengXian"/>
          <w:b/>
          <w:bCs/>
          <w:sz w:val="21"/>
          <w:szCs w:val="21"/>
          <w:lang w:val="en-GB"/>
        </w:rPr>
        <w:t xml:space="preserve">For the </w:t>
      </w:r>
      <w:r w:rsidR="007152F4">
        <w:rPr>
          <w:rFonts w:eastAsia="DengXian"/>
          <w:b/>
          <w:bCs/>
          <w:sz w:val="21"/>
          <w:szCs w:val="21"/>
          <w:lang w:val="en-GB"/>
        </w:rPr>
        <w:t>NR-</w:t>
      </w:r>
      <w:r w:rsidR="007152F4" w:rsidRPr="007152F4">
        <w:rPr>
          <w:rFonts w:eastAsia="DengXian"/>
          <w:b/>
          <w:bCs/>
          <w:sz w:val="21"/>
          <w:szCs w:val="21"/>
          <w:lang w:val="en-GB"/>
        </w:rPr>
        <w:t xml:space="preserve">NTN, </w:t>
      </w:r>
      <w:r w:rsidR="009E0C87">
        <w:rPr>
          <w:rFonts w:eastAsia="DengXian"/>
          <w:b/>
          <w:bCs/>
          <w:sz w:val="21"/>
          <w:szCs w:val="21"/>
          <w:lang w:val="en-GB"/>
        </w:rPr>
        <w:t>do</w:t>
      </w:r>
      <w:r w:rsidR="00DB2821">
        <w:rPr>
          <w:rFonts w:eastAsia="DengXian"/>
          <w:b/>
          <w:bCs/>
          <w:sz w:val="21"/>
          <w:szCs w:val="21"/>
          <w:lang w:val="en-GB"/>
        </w:rPr>
        <w:t xml:space="preserve"> </w:t>
      </w:r>
      <w:r w:rsidR="007152F4">
        <w:rPr>
          <w:rFonts w:eastAsia="DengXian"/>
          <w:b/>
          <w:bCs/>
          <w:sz w:val="21"/>
          <w:szCs w:val="21"/>
          <w:lang w:val="en-GB"/>
        </w:rPr>
        <w:t xml:space="preserve">not </w:t>
      </w:r>
      <w:r w:rsidR="00DB2821">
        <w:rPr>
          <w:rFonts w:eastAsia="DengXian"/>
          <w:b/>
          <w:bCs/>
          <w:sz w:val="21"/>
          <w:szCs w:val="21"/>
          <w:lang w:val="en-GB"/>
        </w:rPr>
        <w:t xml:space="preserve">to </w:t>
      </w:r>
      <w:r w:rsidR="007152F4">
        <w:rPr>
          <w:rFonts w:eastAsia="DengXian"/>
          <w:b/>
          <w:bCs/>
          <w:sz w:val="21"/>
          <w:szCs w:val="21"/>
          <w:lang w:val="en-GB"/>
        </w:rPr>
        <w:t>specify</w:t>
      </w:r>
      <w:r w:rsidR="007152F4" w:rsidRPr="007152F4">
        <w:rPr>
          <w:rFonts w:eastAsia="DengXian"/>
          <w:b/>
          <w:bCs/>
          <w:sz w:val="21"/>
          <w:szCs w:val="21"/>
          <w:lang w:val="en-GB"/>
        </w:rPr>
        <w:t xml:space="preserve"> RSD </w:t>
      </w:r>
      <w:r w:rsidR="007152F4">
        <w:rPr>
          <w:rFonts w:eastAsia="DengXian"/>
          <w:b/>
          <w:bCs/>
          <w:sz w:val="21"/>
          <w:szCs w:val="21"/>
          <w:lang w:val="en-GB"/>
        </w:rPr>
        <w:t xml:space="preserve">requirements </w:t>
      </w:r>
      <w:r w:rsidR="007152F4" w:rsidRPr="007152F4">
        <w:rPr>
          <w:rFonts w:eastAsia="DengXian"/>
          <w:b/>
          <w:bCs/>
          <w:sz w:val="21"/>
          <w:szCs w:val="21"/>
          <w:lang w:val="en-GB"/>
        </w:rPr>
        <w:t>for PC1.5 and PC1</w:t>
      </w:r>
      <w:r w:rsidRPr="00E34CD5">
        <w:rPr>
          <w:rFonts w:eastAsia="DengXian"/>
          <w:b/>
          <w:bCs/>
          <w:sz w:val="21"/>
          <w:szCs w:val="21"/>
          <w:lang w:val="en-GB"/>
        </w:rPr>
        <w:t xml:space="preserve">. </w:t>
      </w:r>
    </w:p>
    <w:p w14:paraId="273FE77A" w14:textId="77777777" w:rsidR="009E0C87" w:rsidRPr="009E0C87" w:rsidRDefault="009E0C87" w:rsidP="009E0C87">
      <w:pPr>
        <w:overflowPunct w:val="0"/>
        <w:autoSpaceDE w:val="0"/>
        <w:autoSpaceDN w:val="0"/>
        <w:adjustRightInd w:val="0"/>
        <w:spacing w:after="180"/>
        <w:textAlignment w:val="baseline"/>
        <w:rPr>
          <w:b/>
          <w:i/>
          <w:iCs/>
          <w:sz w:val="21"/>
          <w:szCs w:val="21"/>
          <w:u w:val="single"/>
          <w:lang w:val="en-GB" w:eastAsia="ko-KR"/>
        </w:rPr>
      </w:pPr>
      <w:r w:rsidRPr="009E0C87">
        <w:rPr>
          <w:b/>
          <w:i/>
          <w:iCs/>
          <w:sz w:val="21"/>
          <w:szCs w:val="21"/>
          <w:u w:val="single"/>
          <w:lang w:val="en-GB" w:eastAsia="ko-KR"/>
        </w:rPr>
        <w:t>Issue X: Proposal to allow power reduction beyond certain duty cycle</w:t>
      </w:r>
    </w:p>
    <w:p w14:paraId="599FF794" w14:textId="77777777" w:rsidR="009E0C87" w:rsidRPr="009E0C87" w:rsidRDefault="009E0C87" w:rsidP="009E0C87">
      <w:pPr>
        <w:overflowPunct w:val="0"/>
        <w:autoSpaceDE w:val="0"/>
        <w:autoSpaceDN w:val="0"/>
        <w:adjustRightInd w:val="0"/>
        <w:spacing w:after="180"/>
        <w:textAlignment w:val="baseline"/>
        <w:rPr>
          <w:b/>
          <w:bCs/>
          <w:i/>
          <w:iCs/>
          <w:sz w:val="21"/>
          <w:szCs w:val="21"/>
          <w:lang w:val="en-GB"/>
        </w:rPr>
      </w:pPr>
      <w:r w:rsidRPr="009E0C87">
        <w:rPr>
          <w:b/>
          <w:bCs/>
          <w:i/>
          <w:iCs/>
          <w:sz w:val="21"/>
          <w:szCs w:val="21"/>
          <w:lang w:val="en-GB"/>
        </w:rPr>
        <w:t>Way forward:</w:t>
      </w:r>
    </w:p>
    <w:p w14:paraId="68E9D4CF" w14:textId="77777777" w:rsidR="009E0C87" w:rsidRPr="009E0C87" w:rsidRDefault="009E0C87" w:rsidP="009E0C87">
      <w:pPr>
        <w:numPr>
          <w:ilvl w:val="0"/>
          <w:numId w:val="24"/>
        </w:numPr>
        <w:overflowPunct w:val="0"/>
        <w:autoSpaceDE w:val="0"/>
        <w:autoSpaceDN w:val="0"/>
        <w:adjustRightInd w:val="0"/>
        <w:spacing w:after="180"/>
        <w:textAlignment w:val="baseline"/>
        <w:rPr>
          <w:i/>
          <w:iCs/>
          <w:sz w:val="21"/>
          <w:szCs w:val="21"/>
          <w:lang w:val="en-GB" w:eastAsia="en-GB"/>
        </w:rPr>
      </w:pPr>
      <w:r w:rsidRPr="009E0C87">
        <w:rPr>
          <w:i/>
          <w:iCs/>
          <w:sz w:val="21"/>
          <w:szCs w:val="21"/>
          <w:lang w:val="en-GB" w:eastAsia="en-GB"/>
        </w:rPr>
        <w:t>Encourage companies to further discuss the following proposal:</w:t>
      </w:r>
    </w:p>
    <w:p w14:paraId="6D96068D" w14:textId="77777777" w:rsidR="009E0C87" w:rsidRPr="009E0C87" w:rsidRDefault="009E0C87" w:rsidP="009E0C87">
      <w:pPr>
        <w:numPr>
          <w:ilvl w:val="1"/>
          <w:numId w:val="10"/>
        </w:numPr>
        <w:overflowPunct w:val="0"/>
        <w:autoSpaceDE w:val="0"/>
        <w:autoSpaceDN w:val="0"/>
        <w:adjustRightInd w:val="0"/>
        <w:spacing w:after="120"/>
        <w:ind w:left="1440"/>
        <w:textAlignment w:val="baseline"/>
        <w:rPr>
          <w:rFonts w:eastAsia="SimSun"/>
          <w:i/>
          <w:iCs/>
          <w:sz w:val="21"/>
          <w:szCs w:val="21"/>
          <w:lang w:val="en-GB"/>
        </w:rPr>
      </w:pPr>
      <w:r w:rsidRPr="009E0C87">
        <w:rPr>
          <w:rFonts w:eastAsia="SimSun"/>
          <w:i/>
          <w:iCs/>
          <w:sz w:val="21"/>
          <w:szCs w:val="21"/>
          <w:lang w:val="en-GB"/>
        </w:rPr>
        <w:t>Option 1: For NR NTN PC2 and PC1.5, and IoT NTN PC2, allow but not mandate UE to reduce it’s transmit power when 50% Tx duty cycle in a radio frame is exceeded. (Qualcomm)</w:t>
      </w:r>
    </w:p>
    <w:p w14:paraId="3223A4F6" w14:textId="0A9A7683" w:rsidR="001D1949" w:rsidRDefault="009E0C87" w:rsidP="00863D3A">
      <w:pPr>
        <w:overflowPunct w:val="0"/>
        <w:autoSpaceDE w:val="0"/>
        <w:autoSpaceDN w:val="0"/>
        <w:adjustRightInd w:val="0"/>
        <w:spacing w:after="180"/>
        <w:textAlignment w:val="baseline"/>
        <w:rPr>
          <w:rFonts w:eastAsia="DengXian"/>
          <w:sz w:val="21"/>
          <w:szCs w:val="21"/>
          <w:lang w:val="en-GB"/>
        </w:rPr>
      </w:pPr>
      <w:r>
        <w:rPr>
          <w:rFonts w:eastAsia="DengXian"/>
          <w:sz w:val="21"/>
          <w:szCs w:val="21"/>
          <w:lang w:val="en-GB"/>
        </w:rPr>
        <w:t>I</w:t>
      </w:r>
      <w:r w:rsidRPr="009E0C87">
        <w:rPr>
          <w:rFonts w:eastAsia="DengXian"/>
          <w:sz w:val="21"/>
          <w:szCs w:val="21"/>
          <w:lang w:val="en-GB"/>
        </w:rPr>
        <w:t>f the UE is not mandated to reduce its power when 50% Tx duty cycle</w:t>
      </w:r>
      <w:r>
        <w:rPr>
          <w:rFonts w:eastAsia="DengXian"/>
          <w:sz w:val="21"/>
          <w:szCs w:val="21"/>
          <w:lang w:val="en-GB"/>
        </w:rPr>
        <w:t xml:space="preserve"> in a radio frame</w:t>
      </w:r>
      <w:r w:rsidRPr="009E0C87">
        <w:rPr>
          <w:rFonts w:eastAsia="DengXian"/>
          <w:sz w:val="21"/>
          <w:szCs w:val="21"/>
          <w:lang w:val="en-GB"/>
        </w:rPr>
        <w:t xml:space="preserve"> is exceeded, </w:t>
      </w:r>
      <w:r>
        <w:rPr>
          <w:rFonts w:eastAsia="DengXian"/>
          <w:sz w:val="21"/>
          <w:szCs w:val="21"/>
          <w:lang w:val="en-GB"/>
        </w:rPr>
        <w:t xml:space="preserve">in our view </w:t>
      </w:r>
      <w:r w:rsidR="003F1F55">
        <w:rPr>
          <w:rFonts w:eastAsia="DengXian"/>
          <w:sz w:val="21"/>
          <w:szCs w:val="21"/>
          <w:lang w:val="en-GB"/>
        </w:rPr>
        <w:t>the chances that</w:t>
      </w:r>
      <w:r>
        <w:rPr>
          <w:rFonts w:eastAsia="DengXian"/>
          <w:sz w:val="21"/>
          <w:szCs w:val="21"/>
          <w:lang w:val="en-GB"/>
        </w:rPr>
        <w:t xml:space="preserve"> the </w:t>
      </w:r>
      <w:r w:rsidRPr="009E0C87">
        <w:rPr>
          <w:rFonts w:eastAsia="DengXian"/>
          <w:sz w:val="21"/>
          <w:szCs w:val="21"/>
          <w:lang w:val="en-GB"/>
        </w:rPr>
        <w:t xml:space="preserve">SAR requirements </w:t>
      </w:r>
      <w:r w:rsidR="00001B5D">
        <w:rPr>
          <w:rFonts w:eastAsia="DengXian"/>
          <w:sz w:val="21"/>
          <w:szCs w:val="21"/>
          <w:lang w:val="en-GB"/>
        </w:rPr>
        <w:t>would</w:t>
      </w:r>
      <w:r w:rsidRPr="009E0C87">
        <w:rPr>
          <w:rFonts w:eastAsia="DengXian"/>
          <w:sz w:val="21"/>
          <w:szCs w:val="21"/>
          <w:lang w:val="en-GB"/>
        </w:rPr>
        <w:t xml:space="preserve"> </w:t>
      </w:r>
      <w:r w:rsidR="003F1F55">
        <w:rPr>
          <w:rFonts w:eastAsia="DengXian"/>
          <w:sz w:val="21"/>
          <w:szCs w:val="21"/>
          <w:lang w:val="en-GB"/>
        </w:rPr>
        <w:t>not be met</w:t>
      </w:r>
      <w:r>
        <w:rPr>
          <w:rFonts w:eastAsia="DengXian"/>
          <w:sz w:val="21"/>
          <w:szCs w:val="21"/>
          <w:lang w:val="en-GB"/>
        </w:rPr>
        <w:t xml:space="preserve"> </w:t>
      </w:r>
      <w:r w:rsidR="003F1F55">
        <w:rPr>
          <w:rFonts w:eastAsia="DengXian"/>
          <w:sz w:val="21"/>
          <w:szCs w:val="21"/>
          <w:lang w:val="en-GB"/>
        </w:rPr>
        <w:t>will increase</w:t>
      </w:r>
      <w:r w:rsidRPr="009E0C87">
        <w:rPr>
          <w:rFonts w:eastAsia="DengXian"/>
          <w:sz w:val="21"/>
          <w:szCs w:val="21"/>
          <w:lang w:val="en-GB"/>
        </w:rPr>
        <w:t>.</w:t>
      </w:r>
      <w:r>
        <w:rPr>
          <w:rFonts w:eastAsia="DengXian"/>
          <w:sz w:val="21"/>
          <w:szCs w:val="21"/>
          <w:lang w:val="en-GB"/>
        </w:rPr>
        <w:t xml:space="preserve"> I</w:t>
      </w:r>
      <w:r w:rsidR="00001B5D">
        <w:rPr>
          <w:rFonts w:eastAsia="DengXian"/>
          <w:sz w:val="21"/>
          <w:szCs w:val="21"/>
          <w:lang w:val="en-GB"/>
        </w:rPr>
        <w:t>f</w:t>
      </w:r>
      <w:r>
        <w:rPr>
          <w:rFonts w:eastAsia="DengXian"/>
          <w:sz w:val="21"/>
          <w:szCs w:val="21"/>
          <w:lang w:val="en-GB"/>
        </w:rPr>
        <w:t xml:space="preserve"> the UE is </w:t>
      </w:r>
      <w:r w:rsidR="003F1F55">
        <w:rPr>
          <w:rFonts w:eastAsia="DengXian"/>
          <w:sz w:val="21"/>
          <w:szCs w:val="21"/>
          <w:lang w:val="en-GB"/>
        </w:rPr>
        <w:t xml:space="preserve">e.g. </w:t>
      </w:r>
      <w:r>
        <w:rPr>
          <w:rFonts w:eastAsia="DengXian"/>
          <w:sz w:val="21"/>
          <w:szCs w:val="21"/>
          <w:lang w:val="en-GB"/>
        </w:rPr>
        <w:t xml:space="preserve">close to the human head and </w:t>
      </w:r>
      <w:r w:rsidR="001D1949">
        <w:rPr>
          <w:rFonts w:eastAsia="DengXian"/>
          <w:sz w:val="21"/>
          <w:szCs w:val="21"/>
          <w:lang w:val="en-GB"/>
        </w:rPr>
        <w:t>if</w:t>
      </w:r>
      <w:r>
        <w:rPr>
          <w:rFonts w:eastAsia="DengXian"/>
          <w:sz w:val="21"/>
          <w:szCs w:val="21"/>
          <w:lang w:val="en-GB"/>
        </w:rPr>
        <w:t xml:space="preserve"> the proposed relaxation </w:t>
      </w:r>
      <w:r w:rsidR="001D1949">
        <w:rPr>
          <w:rFonts w:eastAsia="DengXian"/>
          <w:sz w:val="21"/>
          <w:szCs w:val="21"/>
          <w:lang w:val="en-GB"/>
        </w:rPr>
        <w:t xml:space="preserve">is adopted, </w:t>
      </w:r>
      <w:r>
        <w:rPr>
          <w:rFonts w:eastAsia="DengXian"/>
          <w:sz w:val="21"/>
          <w:szCs w:val="21"/>
          <w:lang w:val="en-GB"/>
        </w:rPr>
        <w:t>the UE would not be mandated to reduce its transmit power</w:t>
      </w:r>
      <w:r w:rsidR="001D1949">
        <w:rPr>
          <w:rFonts w:eastAsia="DengXian"/>
          <w:sz w:val="21"/>
          <w:szCs w:val="21"/>
          <w:lang w:val="en-GB"/>
        </w:rPr>
        <w:t xml:space="preserve"> and thus would </w:t>
      </w:r>
      <w:r w:rsidR="003F1F55">
        <w:rPr>
          <w:rFonts w:eastAsia="DengXian"/>
          <w:sz w:val="21"/>
          <w:szCs w:val="21"/>
          <w:lang w:val="en-GB"/>
        </w:rPr>
        <w:t xml:space="preserve">possibly </w:t>
      </w:r>
      <w:r w:rsidR="001D1949">
        <w:rPr>
          <w:rFonts w:eastAsia="DengXian"/>
          <w:sz w:val="21"/>
          <w:szCs w:val="21"/>
          <w:lang w:val="en-GB"/>
        </w:rPr>
        <w:t>fail the compliance to the SAR requirement</w:t>
      </w:r>
      <w:r w:rsidR="003F1F55">
        <w:rPr>
          <w:rFonts w:eastAsia="DengXian"/>
          <w:sz w:val="21"/>
          <w:szCs w:val="21"/>
          <w:lang w:val="en-GB"/>
        </w:rPr>
        <w:t xml:space="preserve">. The purpose of 50% Tx duty cycle threshold for PC2 is </w:t>
      </w:r>
      <w:r w:rsidR="00F06297">
        <w:rPr>
          <w:rFonts w:eastAsia="DengXian"/>
          <w:sz w:val="21"/>
          <w:szCs w:val="21"/>
          <w:lang w:val="en-GB"/>
        </w:rPr>
        <w:t>to facilitate the compliance to SAR requirements</w:t>
      </w:r>
      <w:r>
        <w:rPr>
          <w:rFonts w:eastAsia="DengXian"/>
          <w:sz w:val="21"/>
          <w:szCs w:val="21"/>
          <w:lang w:val="en-GB"/>
        </w:rPr>
        <w:t xml:space="preserve">. </w:t>
      </w:r>
    </w:p>
    <w:p w14:paraId="0F2D04FE" w14:textId="0C35630D" w:rsidR="009E0C87" w:rsidRDefault="003F1F55" w:rsidP="00863D3A">
      <w:pPr>
        <w:overflowPunct w:val="0"/>
        <w:autoSpaceDE w:val="0"/>
        <w:autoSpaceDN w:val="0"/>
        <w:adjustRightInd w:val="0"/>
        <w:spacing w:after="180"/>
        <w:textAlignment w:val="baseline"/>
        <w:rPr>
          <w:rFonts w:eastAsia="DengXian"/>
          <w:sz w:val="21"/>
          <w:szCs w:val="21"/>
          <w:lang w:val="en-GB"/>
        </w:rPr>
      </w:pPr>
      <w:r>
        <w:rPr>
          <w:rFonts w:eastAsia="DengXian"/>
          <w:sz w:val="21"/>
          <w:szCs w:val="21"/>
          <w:lang w:val="en-GB"/>
        </w:rPr>
        <w:t>T</w:t>
      </w:r>
      <w:r w:rsidR="00CD56CC">
        <w:rPr>
          <w:rFonts w:eastAsia="DengXian"/>
          <w:sz w:val="21"/>
          <w:szCs w:val="21"/>
          <w:lang w:val="en-GB"/>
        </w:rPr>
        <w:t>he propos</w:t>
      </w:r>
      <w:r>
        <w:rPr>
          <w:rFonts w:eastAsia="DengXian"/>
          <w:sz w:val="21"/>
          <w:szCs w:val="21"/>
          <w:lang w:val="en-GB"/>
        </w:rPr>
        <w:t>al in its current form is not agreeabl</w:t>
      </w:r>
      <w:r w:rsidR="0033602B">
        <w:rPr>
          <w:rFonts w:eastAsia="DengXian"/>
          <w:sz w:val="21"/>
          <w:szCs w:val="21"/>
          <w:lang w:val="en-GB"/>
        </w:rPr>
        <w:t xml:space="preserve">e also because </w:t>
      </w:r>
      <w:r>
        <w:rPr>
          <w:rFonts w:eastAsia="DengXian"/>
          <w:sz w:val="21"/>
          <w:szCs w:val="21"/>
          <w:lang w:val="en-GB"/>
        </w:rPr>
        <w:t>for PC1.</w:t>
      </w:r>
      <w:r w:rsidR="009E0C87">
        <w:rPr>
          <w:rFonts w:eastAsia="DengXian"/>
          <w:sz w:val="21"/>
          <w:szCs w:val="21"/>
          <w:lang w:val="en-GB"/>
        </w:rPr>
        <w:t>5</w:t>
      </w:r>
      <w:r w:rsidR="0033602B">
        <w:rPr>
          <w:rFonts w:eastAsia="DengXian"/>
          <w:sz w:val="21"/>
          <w:szCs w:val="21"/>
          <w:lang w:val="en-GB"/>
        </w:rPr>
        <w:t>,</w:t>
      </w:r>
      <w:r w:rsidR="009E0C87">
        <w:rPr>
          <w:rFonts w:eastAsia="DengXian"/>
          <w:sz w:val="21"/>
          <w:szCs w:val="21"/>
          <w:lang w:val="en-GB"/>
        </w:rPr>
        <w:t xml:space="preserve"> the UE shall be mandated to reduce its transmit power when 25% Tx duty cycle in a radio frame is exceeded.</w:t>
      </w:r>
      <w:r w:rsidR="001D1949">
        <w:rPr>
          <w:rFonts w:eastAsia="DengXian"/>
          <w:sz w:val="21"/>
          <w:szCs w:val="21"/>
          <w:lang w:val="en-GB"/>
        </w:rPr>
        <w:t xml:space="preserve"> If the ratio is between 25% and 50% it shall fall back to PC2, </w:t>
      </w:r>
      <w:r w:rsidR="00001B5D">
        <w:rPr>
          <w:rFonts w:eastAsia="DengXian"/>
          <w:sz w:val="21"/>
          <w:szCs w:val="21"/>
          <w:lang w:val="en-GB"/>
        </w:rPr>
        <w:t>while</w:t>
      </w:r>
      <w:r w:rsidR="001D1949">
        <w:rPr>
          <w:rFonts w:eastAsia="DengXian"/>
          <w:sz w:val="21"/>
          <w:szCs w:val="21"/>
          <w:lang w:val="en-GB"/>
        </w:rPr>
        <w:t xml:space="preserve"> if the ratio is larger than 50% the UE shall fall back to PC3. </w:t>
      </w:r>
      <w:r w:rsidR="009E0C87">
        <w:rPr>
          <w:rFonts w:eastAsia="DengXian"/>
          <w:sz w:val="21"/>
          <w:szCs w:val="21"/>
          <w:lang w:val="en-GB"/>
        </w:rPr>
        <w:t xml:space="preserve"> </w:t>
      </w:r>
    </w:p>
    <w:p w14:paraId="5155F4C1" w14:textId="568681DF" w:rsidR="001D1949" w:rsidRDefault="001D1949" w:rsidP="001D1949">
      <w:pPr>
        <w:overflowPunct w:val="0"/>
        <w:autoSpaceDE w:val="0"/>
        <w:autoSpaceDN w:val="0"/>
        <w:adjustRightInd w:val="0"/>
        <w:spacing w:after="180"/>
        <w:textAlignment w:val="baseline"/>
        <w:rPr>
          <w:rFonts w:eastAsia="DengXian"/>
          <w:b/>
          <w:bCs/>
          <w:sz w:val="21"/>
          <w:szCs w:val="21"/>
          <w:lang w:val="en-GB"/>
        </w:rPr>
      </w:pPr>
      <w:r w:rsidRPr="00E34CD5">
        <w:rPr>
          <w:rFonts w:eastAsia="DengXian"/>
          <w:b/>
          <w:bCs/>
          <w:sz w:val="21"/>
          <w:szCs w:val="21"/>
          <w:lang w:val="en-GB"/>
        </w:rPr>
        <w:t xml:space="preserve">Proposal </w:t>
      </w:r>
      <w:r>
        <w:rPr>
          <w:rFonts w:eastAsia="DengXian"/>
          <w:b/>
          <w:bCs/>
          <w:sz w:val="21"/>
          <w:szCs w:val="21"/>
          <w:lang w:val="en-GB"/>
        </w:rPr>
        <w:t>2</w:t>
      </w:r>
      <w:r w:rsidRPr="00E34CD5">
        <w:rPr>
          <w:rFonts w:eastAsia="DengXian"/>
          <w:b/>
          <w:bCs/>
          <w:sz w:val="21"/>
          <w:szCs w:val="21"/>
          <w:lang w:val="en-GB"/>
        </w:rPr>
        <w:t xml:space="preserve">: </w:t>
      </w:r>
      <w:r w:rsidRPr="001D1949">
        <w:rPr>
          <w:rFonts w:eastAsia="DengXian"/>
          <w:b/>
          <w:bCs/>
          <w:sz w:val="21"/>
          <w:szCs w:val="21"/>
          <w:lang w:val="en-GB"/>
        </w:rPr>
        <w:t xml:space="preserve">For NR NTN PC2 and PC1.5, and IoT NTN PC2, </w:t>
      </w:r>
      <w:r>
        <w:rPr>
          <w:rFonts w:eastAsia="DengXian"/>
          <w:b/>
          <w:bCs/>
          <w:sz w:val="21"/>
          <w:szCs w:val="21"/>
          <w:lang w:val="en-GB"/>
        </w:rPr>
        <w:t xml:space="preserve">to </w:t>
      </w:r>
      <w:r w:rsidR="00F06297">
        <w:rPr>
          <w:rFonts w:eastAsia="DengXian"/>
          <w:b/>
          <w:bCs/>
          <w:sz w:val="21"/>
          <w:szCs w:val="21"/>
          <w:lang w:val="en-GB"/>
        </w:rPr>
        <w:t>facilitate</w:t>
      </w:r>
      <w:r>
        <w:rPr>
          <w:rFonts w:eastAsia="DengXian"/>
          <w:b/>
          <w:bCs/>
          <w:sz w:val="21"/>
          <w:szCs w:val="21"/>
          <w:lang w:val="en-GB"/>
        </w:rPr>
        <w:t xml:space="preserve"> compliance to </w:t>
      </w:r>
      <w:r w:rsidRPr="001D1949">
        <w:rPr>
          <w:rFonts w:eastAsia="DengXian"/>
          <w:b/>
          <w:bCs/>
          <w:sz w:val="21"/>
          <w:szCs w:val="21"/>
          <w:lang w:val="en-GB"/>
        </w:rPr>
        <w:t>t</w:t>
      </w:r>
      <w:r>
        <w:rPr>
          <w:rFonts w:eastAsia="DengXian"/>
          <w:b/>
          <w:bCs/>
          <w:sz w:val="21"/>
          <w:szCs w:val="21"/>
          <w:lang w:val="en-GB"/>
        </w:rPr>
        <w:t>he SAR requirements keep the</w:t>
      </w:r>
      <w:r w:rsidRPr="001D1949">
        <w:rPr>
          <w:rFonts w:eastAsia="DengXian"/>
          <w:b/>
          <w:bCs/>
          <w:sz w:val="21"/>
          <w:szCs w:val="21"/>
          <w:lang w:val="en-GB"/>
        </w:rPr>
        <w:t xml:space="preserve"> mandat</w:t>
      </w:r>
      <w:r>
        <w:rPr>
          <w:rFonts w:eastAsia="DengXian"/>
          <w:b/>
          <w:bCs/>
          <w:sz w:val="21"/>
          <w:szCs w:val="21"/>
          <w:lang w:val="en-GB"/>
        </w:rPr>
        <w:t xml:space="preserve">ory requirement for the </w:t>
      </w:r>
      <w:r w:rsidRPr="001D1949">
        <w:rPr>
          <w:rFonts w:eastAsia="DengXian"/>
          <w:b/>
          <w:bCs/>
          <w:sz w:val="21"/>
          <w:szCs w:val="21"/>
          <w:lang w:val="en-GB"/>
        </w:rPr>
        <w:t>UE to reduce its transmit power when 50% Tx duty cycle in a radio frame is exceeded</w:t>
      </w:r>
      <w:r>
        <w:rPr>
          <w:rFonts w:eastAsia="DengXian"/>
          <w:b/>
          <w:bCs/>
          <w:sz w:val="21"/>
          <w:szCs w:val="21"/>
          <w:lang w:val="en-GB"/>
        </w:rPr>
        <w:t xml:space="preserve"> (also when 25% Tx duty cycle is exceeded for PC1.5)</w:t>
      </w:r>
      <w:r w:rsidRPr="00E34CD5">
        <w:rPr>
          <w:rFonts w:eastAsia="DengXian"/>
          <w:b/>
          <w:bCs/>
          <w:sz w:val="21"/>
          <w:szCs w:val="21"/>
          <w:lang w:val="en-GB"/>
        </w:rPr>
        <w:t xml:space="preserve">. </w:t>
      </w:r>
    </w:p>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6A512A9C" w14:textId="2E85FBD6" w:rsidR="00AA1712" w:rsidRDefault="00AA1712" w:rsidP="002100C7">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 xml:space="preserve">Based on the discussion in the previous sections we </w:t>
      </w:r>
      <w:r w:rsidR="009F0552">
        <w:rPr>
          <w:rFonts w:ascii="Arial" w:eastAsiaTheme="minorHAnsi" w:hAnsi="Arial" w:cstheme="minorBidi"/>
          <w:sz w:val="20"/>
          <w:szCs w:val="22"/>
        </w:rPr>
        <w:t xml:space="preserve">have </w:t>
      </w:r>
      <w:r w:rsidR="00A73542">
        <w:rPr>
          <w:rFonts w:ascii="Arial" w:eastAsiaTheme="minorHAnsi" w:hAnsi="Arial" w:cstheme="minorBidi"/>
          <w:sz w:val="20"/>
          <w:szCs w:val="22"/>
        </w:rPr>
        <w:t xml:space="preserve">made </w:t>
      </w:r>
      <w:r w:rsidR="009F0552">
        <w:rPr>
          <w:rFonts w:ascii="Arial" w:eastAsiaTheme="minorHAnsi" w:hAnsi="Arial" w:cstheme="minorBidi"/>
          <w:sz w:val="20"/>
          <w:szCs w:val="22"/>
        </w:rPr>
        <w:t xml:space="preserve">the following </w:t>
      </w:r>
      <w:r w:rsidRPr="002100C7">
        <w:rPr>
          <w:rFonts w:ascii="Arial" w:eastAsiaTheme="minorHAnsi" w:hAnsi="Arial" w:cstheme="minorBidi"/>
          <w:sz w:val="20"/>
          <w:szCs w:val="22"/>
        </w:rPr>
        <w:t>propos</w:t>
      </w:r>
      <w:r w:rsidR="009F0552">
        <w:rPr>
          <w:rFonts w:ascii="Arial" w:eastAsiaTheme="minorHAnsi" w:hAnsi="Arial" w:cstheme="minorBidi"/>
          <w:sz w:val="20"/>
          <w:szCs w:val="22"/>
        </w:rPr>
        <w:t>al</w:t>
      </w:r>
      <w:r w:rsidR="006F3CDA">
        <w:rPr>
          <w:rFonts w:ascii="Arial" w:eastAsiaTheme="minorHAnsi" w:hAnsi="Arial" w:cstheme="minorBidi"/>
          <w:sz w:val="20"/>
          <w:szCs w:val="22"/>
        </w:rPr>
        <w:t>s</w:t>
      </w:r>
      <w:r w:rsidRPr="002100C7">
        <w:rPr>
          <w:rFonts w:ascii="Arial" w:eastAsiaTheme="minorHAnsi" w:hAnsi="Arial" w:cstheme="minorBidi"/>
          <w:sz w:val="20"/>
          <w:szCs w:val="22"/>
        </w:rPr>
        <w:t>:</w:t>
      </w:r>
    </w:p>
    <w:p w14:paraId="488FA1D2" w14:textId="77777777" w:rsidR="00001B5D" w:rsidRDefault="00001B5D" w:rsidP="00001B5D">
      <w:pPr>
        <w:overflowPunct w:val="0"/>
        <w:autoSpaceDE w:val="0"/>
        <w:autoSpaceDN w:val="0"/>
        <w:adjustRightInd w:val="0"/>
        <w:spacing w:after="180"/>
        <w:textAlignment w:val="baseline"/>
        <w:rPr>
          <w:rFonts w:eastAsia="DengXian"/>
          <w:b/>
          <w:bCs/>
          <w:sz w:val="21"/>
          <w:szCs w:val="21"/>
          <w:lang w:val="en-GB"/>
        </w:rPr>
      </w:pPr>
      <w:r w:rsidRPr="00E34CD5">
        <w:rPr>
          <w:rFonts w:eastAsia="DengXian"/>
          <w:b/>
          <w:bCs/>
          <w:sz w:val="21"/>
          <w:szCs w:val="21"/>
          <w:lang w:val="en-GB"/>
        </w:rPr>
        <w:t xml:space="preserve">Proposal </w:t>
      </w:r>
      <w:r>
        <w:rPr>
          <w:rFonts w:eastAsia="DengXian"/>
          <w:b/>
          <w:bCs/>
          <w:sz w:val="21"/>
          <w:szCs w:val="21"/>
          <w:lang w:val="en-GB"/>
        </w:rPr>
        <w:t>1</w:t>
      </w:r>
      <w:r w:rsidRPr="00E34CD5">
        <w:rPr>
          <w:rFonts w:eastAsia="DengXian"/>
          <w:b/>
          <w:bCs/>
          <w:sz w:val="21"/>
          <w:szCs w:val="21"/>
          <w:lang w:val="en-GB"/>
        </w:rPr>
        <w:t xml:space="preserve">: </w:t>
      </w:r>
      <w:r w:rsidRPr="007152F4">
        <w:rPr>
          <w:rFonts w:eastAsia="DengXian"/>
          <w:b/>
          <w:bCs/>
          <w:sz w:val="21"/>
          <w:szCs w:val="21"/>
          <w:lang w:val="en-GB"/>
        </w:rPr>
        <w:t xml:space="preserve">For the </w:t>
      </w:r>
      <w:r>
        <w:rPr>
          <w:rFonts w:eastAsia="DengXian"/>
          <w:b/>
          <w:bCs/>
          <w:sz w:val="21"/>
          <w:szCs w:val="21"/>
          <w:lang w:val="en-GB"/>
        </w:rPr>
        <w:t>NR-</w:t>
      </w:r>
      <w:r w:rsidRPr="007152F4">
        <w:rPr>
          <w:rFonts w:eastAsia="DengXian"/>
          <w:b/>
          <w:bCs/>
          <w:sz w:val="21"/>
          <w:szCs w:val="21"/>
          <w:lang w:val="en-GB"/>
        </w:rPr>
        <w:t xml:space="preserve">NTN, </w:t>
      </w:r>
      <w:r>
        <w:rPr>
          <w:rFonts w:eastAsia="DengXian"/>
          <w:b/>
          <w:bCs/>
          <w:sz w:val="21"/>
          <w:szCs w:val="21"/>
          <w:lang w:val="en-GB"/>
        </w:rPr>
        <w:t>do not to specify</w:t>
      </w:r>
      <w:r w:rsidRPr="007152F4">
        <w:rPr>
          <w:rFonts w:eastAsia="DengXian"/>
          <w:b/>
          <w:bCs/>
          <w:sz w:val="21"/>
          <w:szCs w:val="21"/>
          <w:lang w:val="en-GB"/>
        </w:rPr>
        <w:t xml:space="preserve"> RSD </w:t>
      </w:r>
      <w:r>
        <w:rPr>
          <w:rFonts w:eastAsia="DengXian"/>
          <w:b/>
          <w:bCs/>
          <w:sz w:val="21"/>
          <w:szCs w:val="21"/>
          <w:lang w:val="en-GB"/>
        </w:rPr>
        <w:t xml:space="preserve">requirements </w:t>
      </w:r>
      <w:r w:rsidRPr="007152F4">
        <w:rPr>
          <w:rFonts w:eastAsia="DengXian"/>
          <w:b/>
          <w:bCs/>
          <w:sz w:val="21"/>
          <w:szCs w:val="21"/>
          <w:lang w:val="en-GB"/>
        </w:rPr>
        <w:t>for PC1.5 and PC1</w:t>
      </w:r>
      <w:r w:rsidRPr="00E34CD5">
        <w:rPr>
          <w:rFonts w:eastAsia="DengXian"/>
          <w:b/>
          <w:bCs/>
          <w:sz w:val="21"/>
          <w:szCs w:val="21"/>
          <w:lang w:val="en-GB"/>
        </w:rPr>
        <w:t xml:space="preserve">. </w:t>
      </w:r>
    </w:p>
    <w:p w14:paraId="66971359" w14:textId="77777777" w:rsidR="00001B5D" w:rsidRDefault="00001B5D" w:rsidP="00001B5D">
      <w:pPr>
        <w:overflowPunct w:val="0"/>
        <w:autoSpaceDE w:val="0"/>
        <w:autoSpaceDN w:val="0"/>
        <w:adjustRightInd w:val="0"/>
        <w:spacing w:after="180"/>
        <w:textAlignment w:val="baseline"/>
        <w:rPr>
          <w:rFonts w:eastAsia="DengXian"/>
          <w:b/>
          <w:bCs/>
          <w:sz w:val="21"/>
          <w:szCs w:val="21"/>
          <w:lang w:val="en-GB"/>
        </w:rPr>
      </w:pPr>
      <w:r w:rsidRPr="00E34CD5">
        <w:rPr>
          <w:rFonts w:eastAsia="DengXian"/>
          <w:b/>
          <w:bCs/>
          <w:sz w:val="21"/>
          <w:szCs w:val="21"/>
          <w:lang w:val="en-GB"/>
        </w:rPr>
        <w:lastRenderedPageBreak/>
        <w:t xml:space="preserve">Proposal </w:t>
      </w:r>
      <w:r>
        <w:rPr>
          <w:rFonts w:eastAsia="DengXian"/>
          <w:b/>
          <w:bCs/>
          <w:sz w:val="21"/>
          <w:szCs w:val="21"/>
          <w:lang w:val="en-GB"/>
        </w:rPr>
        <w:t>2</w:t>
      </w:r>
      <w:r w:rsidRPr="00E34CD5">
        <w:rPr>
          <w:rFonts w:eastAsia="DengXian"/>
          <w:b/>
          <w:bCs/>
          <w:sz w:val="21"/>
          <w:szCs w:val="21"/>
          <w:lang w:val="en-GB"/>
        </w:rPr>
        <w:t xml:space="preserve">: </w:t>
      </w:r>
      <w:r w:rsidRPr="001D1949">
        <w:rPr>
          <w:rFonts w:eastAsia="DengXian"/>
          <w:b/>
          <w:bCs/>
          <w:sz w:val="21"/>
          <w:szCs w:val="21"/>
          <w:lang w:val="en-GB"/>
        </w:rPr>
        <w:t xml:space="preserve">For NR NTN PC2 and PC1.5, and IoT NTN PC2, </w:t>
      </w:r>
      <w:r>
        <w:rPr>
          <w:rFonts w:eastAsia="DengXian"/>
          <w:b/>
          <w:bCs/>
          <w:sz w:val="21"/>
          <w:szCs w:val="21"/>
          <w:lang w:val="en-GB"/>
        </w:rPr>
        <w:t xml:space="preserve">to facilitate compliance to </w:t>
      </w:r>
      <w:r w:rsidRPr="001D1949">
        <w:rPr>
          <w:rFonts w:eastAsia="DengXian"/>
          <w:b/>
          <w:bCs/>
          <w:sz w:val="21"/>
          <w:szCs w:val="21"/>
          <w:lang w:val="en-GB"/>
        </w:rPr>
        <w:t>t</w:t>
      </w:r>
      <w:r>
        <w:rPr>
          <w:rFonts w:eastAsia="DengXian"/>
          <w:b/>
          <w:bCs/>
          <w:sz w:val="21"/>
          <w:szCs w:val="21"/>
          <w:lang w:val="en-GB"/>
        </w:rPr>
        <w:t>he SAR requirements keep the</w:t>
      </w:r>
      <w:r w:rsidRPr="001D1949">
        <w:rPr>
          <w:rFonts w:eastAsia="DengXian"/>
          <w:b/>
          <w:bCs/>
          <w:sz w:val="21"/>
          <w:szCs w:val="21"/>
          <w:lang w:val="en-GB"/>
        </w:rPr>
        <w:t xml:space="preserve"> mandat</w:t>
      </w:r>
      <w:r>
        <w:rPr>
          <w:rFonts w:eastAsia="DengXian"/>
          <w:b/>
          <w:bCs/>
          <w:sz w:val="21"/>
          <w:szCs w:val="21"/>
          <w:lang w:val="en-GB"/>
        </w:rPr>
        <w:t xml:space="preserve">ory requirement for the </w:t>
      </w:r>
      <w:r w:rsidRPr="001D1949">
        <w:rPr>
          <w:rFonts w:eastAsia="DengXian"/>
          <w:b/>
          <w:bCs/>
          <w:sz w:val="21"/>
          <w:szCs w:val="21"/>
          <w:lang w:val="en-GB"/>
        </w:rPr>
        <w:t>UE to reduce its transmit power when 50% Tx duty cycle in a radio frame is exceeded</w:t>
      </w:r>
      <w:r>
        <w:rPr>
          <w:rFonts w:eastAsia="DengXian"/>
          <w:b/>
          <w:bCs/>
          <w:sz w:val="21"/>
          <w:szCs w:val="21"/>
          <w:lang w:val="en-GB"/>
        </w:rPr>
        <w:t xml:space="preserve"> (also when 25% Tx duty cycle is exceeded for PC1.5)</w:t>
      </w:r>
      <w:r w:rsidRPr="00E34CD5">
        <w:rPr>
          <w:rFonts w:eastAsia="DengXian"/>
          <w:b/>
          <w:bCs/>
          <w:sz w:val="21"/>
          <w:szCs w:val="21"/>
          <w:lang w:val="en-GB"/>
        </w:rPr>
        <w:t xml:space="preserve">. </w:t>
      </w:r>
    </w:p>
    <w:p w14:paraId="1ED1F350" w14:textId="6D908E6F" w:rsidR="006D36EA" w:rsidRPr="001C2D88" w:rsidRDefault="0020401E" w:rsidP="00E821A1">
      <w:pPr>
        <w:pStyle w:val="Heading1"/>
        <w:jc w:val="both"/>
        <w:rPr>
          <w:rFonts w:cs="Arial"/>
          <w:lang w:val="en-US" w:eastAsia="ja-JP"/>
        </w:rPr>
      </w:pPr>
      <w:r w:rsidRPr="001C2D88">
        <w:rPr>
          <w:rFonts w:cs="Arial"/>
          <w:lang w:val="en-US"/>
        </w:rPr>
        <w:t>References</w:t>
      </w:r>
    </w:p>
    <w:p w14:paraId="45858869" w14:textId="77777777" w:rsidR="00863D3A" w:rsidRPr="00DB233E" w:rsidRDefault="00863D3A" w:rsidP="00863D3A">
      <w:pPr>
        <w:pStyle w:val="ListParagraph"/>
        <w:numPr>
          <w:ilvl w:val="0"/>
          <w:numId w:val="13"/>
        </w:numPr>
        <w:ind w:firstLineChars="0"/>
        <w:jc w:val="both"/>
        <w:rPr>
          <w:rFonts w:ascii="Arial" w:hAnsi="Arial" w:cs="Arial"/>
          <w:iCs/>
          <w:sz w:val="22"/>
          <w:szCs w:val="22"/>
        </w:rPr>
      </w:pPr>
      <w:bookmarkStart w:id="0" w:name="_Ref129967845"/>
      <w:bookmarkStart w:id="1" w:name="_Hlk180683891"/>
      <w:r w:rsidRPr="00713173">
        <w:rPr>
          <w:sz w:val="22"/>
          <w:szCs w:val="22"/>
          <w:lang w:val="en-GB"/>
        </w:rPr>
        <w:t>RP-24</w:t>
      </w:r>
      <w:r>
        <w:rPr>
          <w:sz w:val="22"/>
          <w:szCs w:val="22"/>
          <w:lang w:val="en-GB"/>
        </w:rPr>
        <w:t>2901</w:t>
      </w:r>
      <w:r w:rsidRPr="00713173">
        <w:rPr>
          <w:sz w:val="22"/>
          <w:szCs w:val="22"/>
          <w:lang w:val="en-GB"/>
        </w:rPr>
        <w:t xml:space="preserve">, </w:t>
      </w:r>
      <w:r>
        <w:rPr>
          <w:sz w:val="22"/>
          <w:szCs w:val="22"/>
          <w:lang w:val="en-GB"/>
        </w:rPr>
        <w:t>“</w:t>
      </w:r>
      <w:r w:rsidRPr="00960B37">
        <w:rPr>
          <w:sz w:val="22"/>
          <w:szCs w:val="22"/>
          <w:lang w:val="en-GB"/>
        </w:rPr>
        <w:t>Revised WID on Enhanced requirements and conductive test methodology for NR NTN and IoT NTN</w:t>
      </w:r>
      <w:r>
        <w:rPr>
          <w:sz w:val="22"/>
          <w:szCs w:val="22"/>
          <w:lang w:val="en-GB"/>
        </w:rPr>
        <w:t>”, RAN#106</w:t>
      </w:r>
      <w:r w:rsidRPr="00713173">
        <w:rPr>
          <w:sz w:val="22"/>
          <w:szCs w:val="22"/>
        </w:rPr>
        <w:t>.</w:t>
      </w:r>
      <w:bookmarkEnd w:id="0"/>
    </w:p>
    <w:bookmarkEnd w:id="1"/>
    <w:p w14:paraId="2623C459" w14:textId="77777777" w:rsidR="008148D8" w:rsidRDefault="008148D8" w:rsidP="008148D8">
      <w:pPr>
        <w:pStyle w:val="ListParagraph"/>
        <w:numPr>
          <w:ilvl w:val="0"/>
          <w:numId w:val="13"/>
        </w:numPr>
        <w:ind w:firstLineChars="0"/>
        <w:jc w:val="both"/>
        <w:rPr>
          <w:iCs/>
          <w:sz w:val="22"/>
          <w:szCs w:val="22"/>
        </w:rPr>
      </w:pPr>
      <w:r w:rsidRPr="00DB233E">
        <w:rPr>
          <w:iCs/>
          <w:sz w:val="22"/>
          <w:szCs w:val="22"/>
        </w:rPr>
        <w:t>R4-</w:t>
      </w:r>
      <w:r>
        <w:rPr>
          <w:iCs/>
          <w:sz w:val="22"/>
          <w:szCs w:val="22"/>
        </w:rPr>
        <w:t>2505113, “</w:t>
      </w:r>
      <w:r w:rsidRPr="00404245">
        <w:rPr>
          <w:iCs/>
          <w:sz w:val="22"/>
          <w:szCs w:val="22"/>
        </w:rPr>
        <w:t>WF on HPUE RF requirements for NR-NTN</w:t>
      </w:r>
      <w:r>
        <w:rPr>
          <w:iCs/>
          <w:sz w:val="22"/>
          <w:szCs w:val="22"/>
        </w:rPr>
        <w:t>”, Samsung, RAN4#114-bis.</w:t>
      </w:r>
    </w:p>
    <w:p w14:paraId="4F992F70" w14:textId="5FDDDB6B" w:rsidR="006977D1" w:rsidRPr="00370D2C" w:rsidRDefault="00F649CE" w:rsidP="00D03470">
      <w:pPr>
        <w:pStyle w:val="ListParagraph"/>
        <w:numPr>
          <w:ilvl w:val="0"/>
          <w:numId w:val="13"/>
        </w:numPr>
        <w:ind w:firstLineChars="0"/>
        <w:jc w:val="both"/>
        <w:rPr>
          <w:rFonts w:ascii="Arial" w:hAnsi="Arial" w:cs="Arial"/>
          <w:iCs/>
          <w:sz w:val="22"/>
          <w:szCs w:val="22"/>
        </w:rPr>
      </w:pPr>
      <w:r w:rsidRPr="00370D2C">
        <w:rPr>
          <w:sz w:val="22"/>
          <w:szCs w:val="22"/>
        </w:rPr>
        <w:t>3GPP TS 38.101-</w:t>
      </w:r>
      <w:r w:rsidR="00C23869" w:rsidRPr="00370D2C">
        <w:rPr>
          <w:sz w:val="22"/>
          <w:szCs w:val="22"/>
        </w:rPr>
        <w:t>1</w:t>
      </w:r>
      <w:r w:rsidRPr="00370D2C">
        <w:rPr>
          <w:sz w:val="22"/>
          <w:szCs w:val="22"/>
        </w:rPr>
        <w:t xml:space="preserve"> V1</w:t>
      </w:r>
      <w:r w:rsidR="00863D3A">
        <w:rPr>
          <w:sz w:val="22"/>
          <w:szCs w:val="22"/>
        </w:rPr>
        <w:t>9</w:t>
      </w:r>
      <w:r w:rsidRPr="00370D2C">
        <w:rPr>
          <w:sz w:val="22"/>
          <w:szCs w:val="22"/>
        </w:rPr>
        <w:t>.</w:t>
      </w:r>
      <w:r w:rsidR="00CD4121">
        <w:rPr>
          <w:sz w:val="22"/>
          <w:szCs w:val="22"/>
        </w:rPr>
        <w:t>1</w:t>
      </w:r>
      <w:r w:rsidRPr="00370D2C">
        <w:rPr>
          <w:sz w:val="22"/>
          <w:szCs w:val="22"/>
        </w:rPr>
        <w:t xml:space="preserve">.0, “NR; </w:t>
      </w:r>
      <w:r w:rsidR="00C23869" w:rsidRPr="00370D2C">
        <w:rPr>
          <w:sz w:val="22"/>
          <w:szCs w:val="22"/>
        </w:rPr>
        <w:t>User Equipment (UE) radio transmission and reception; Part 1: Range 1 Standalone</w:t>
      </w:r>
      <w:r w:rsidRPr="00370D2C">
        <w:rPr>
          <w:sz w:val="22"/>
          <w:szCs w:val="22"/>
        </w:rPr>
        <w:t>”</w:t>
      </w:r>
      <w:r w:rsidR="002C33DC">
        <w:rPr>
          <w:sz w:val="22"/>
          <w:szCs w:val="22"/>
        </w:rPr>
        <w:t>.</w:t>
      </w:r>
    </w:p>
    <w:sectPr w:rsidR="006977D1" w:rsidRPr="00370D2C">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2A96E" w14:textId="77777777" w:rsidR="00234900" w:rsidRDefault="00234900" w:rsidP="00CF21FF">
      <w:r>
        <w:separator/>
      </w:r>
    </w:p>
  </w:endnote>
  <w:endnote w:type="continuationSeparator" w:id="0">
    <w:p w14:paraId="2DAEB88B" w14:textId="77777777" w:rsidR="00234900" w:rsidRDefault="00234900" w:rsidP="00CF21FF">
      <w:r>
        <w:continuationSeparator/>
      </w:r>
    </w:p>
  </w:endnote>
  <w:endnote w:type="continuationNotice" w:id="1">
    <w:p w14:paraId="1553BAEA" w14:textId="77777777" w:rsidR="00234900" w:rsidRDefault="002349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AC01F" w14:textId="77777777" w:rsidR="00234900" w:rsidRDefault="00234900" w:rsidP="00CF21FF">
      <w:r>
        <w:separator/>
      </w:r>
    </w:p>
  </w:footnote>
  <w:footnote w:type="continuationSeparator" w:id="0">
    <w:p w14:paraId="2556B513" w14:textId="77777777" w:rsidR="00234900" w:rsidRDefault="00234900" w:rsidP="00CF21FF">
      <w:r>
        <w:continuationSeparator/>
      </w:r>
    </w:p>
  </w:footnote>
  <w:footnote w:type="continuationNotice" w:id="1">
    <w:p w14:paraId="22D5FF05" w14:textId="77777777" w:rsidR="00234900" w:rsidRDefault="0023490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3281D"/>
    <w:multiLevelType w:val="hybridMultilevel"/>
    <w:tmpl w:val="3F12F0AE"/>
    <w:lvl w:ilvl="0" w:tplc="69C4E016">
      <w:start w:val="1"/>
      <w:numFmt w:val="lowerLetter"/>
      <w:lvlText w:val="(%1)"/>
      <w:lvlJc w:val="left"/>
      <w:pPr>
        <w:ind w:left="2064" w:hanging="36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2" w15:restartNumberingAfterBreak="0">
    <w:nsid w:val="01CB78CB"/>
    <w:multiLevelType w:val="hybridMultilevel"/>
    <w:tmpl w:val="25A454C4"/>
    <w:lvl w:ilvl="0" w:tplc="A100117C">
      <w:start w:val="1"/>
      <w:numFmt w:val="lowerLetter"/>
      <w:lvlText w:val="(%1)"/>
      <w:lvlJc w:val="left"/>
      <w:pPr>
        <w:ind w:left="3484" w:hanging="360"/>
      </w:pPr>
      <w:rPr>
        <w:rFonts w:hint="default"/>
      </w:rPr>
    </w:lvl>
    <w:lvl w:ilvl="1" w:tplc="04090019" w:tentative="1">
      <w:start w:val="1"/>
      <w:numFmt w:val="lowerLetter"/>
      <w:lvlText w:val="%2."/>
      <w:lvlJc w:val="left"/>
      <w:pPr>
        <w:ind w:left="4204" w:hanging="360"/>
      </w:pPr>
    </w:lvl>
    <w:lvl w:ilvl="2" w:tplc="0409001B" w:tentative="1">
      <w:start w:val="1"/>
      <w:numFmt w:val="lowerRoman"/>
      <w:lvlText w:val="%3."/>
      <w:lvlJc w:val="right"/>
      <w:pPr>
        <w:ind w:left="4924" w:hanging="180"/>
      </w:pPr>
    </w:lvl>
    <w:lvl w:ilvl="3" w:tplc="0409000F" w:tentative="1">
      <w:start w:val="1"/>
      <w:numFmt w:val="decimal"/>
      <w:lvlText w:val="%4."/>
      <w:lvlJc w:val="left"/>
      <w:pPr>
        <w:ind w:left="5644" w:hanging="360"/>
      </w:pPr>
    </w:lvl>
    <w:lvl w:ilvl="4" w:tplc="04090019" w:tentative="1">
      <w:start w:val="1"/>
      <w:numFmt w:val="lowerLetter"/>
      <w:lvlText w:val="%5."/>
      <w:lvlJc w:val="left"/>
      <w:pPr>
        <w:ind w:left="6364" w:hanging="360"/>
      </w:pPr>
    </w:lvl>
    <w:lvl w:ilvl="5" w:tplc="0409001B" w:tentative="1">
      <w:start w:val="1"/>
      <w:numFmt w:val="lowerRoman"/>
      <w:lvlText w:val="%6."/>
      <w:lvlJc w:val="right"/>
      <w:pPr>
        <w:ind w:left="7084" w:hanging="180"/>
      </w:pPr>
    </w:lvl>
    <w:lvl w:ilvl="6" w:tplc="0409000F" w:tentative="1">
      <w:start w:val="1"/>
      <w:numFmt w:val="decimal"/>
      <w:lvlText w:val="%7."/>
      <w:lvlJc w:val="left"/>
      <w:pPr>
        <w:ind w:left="7804" w:hanging="360"/>
      </w:pPr>
    </w:lvl>
    <w:lvl w:ilvl="7" w:tplc="04090019" w:tentative="1">
      <w:start w:val="1"/>
      <w:numFmt w:val="lowerLetter"/>
      <w:lvlText w:val="%8."/>
      <w:lvlJc w:val="left"/>
      <w:pPr>
        <w:ind w:left="8524" w:hanging="360"/>
      </w:pPr>
    </w:lvl>
    <w:lvl w:ilvl="8" w:tplc="0409001B" w:tentative="1">
      <w:start w:val="1"/>
      <w:numFmt w:val="lowerRoman"/>
      <w:lvlText w:val="%9."/>
      <w:lvlJc w:val="right"/>
      <w:pPr>
        <w:ind w:left="9244" w:hanging="180"/>
      </w:pPr>
    </w:lvl>
  </w:abstractNum>
  <w:abstractNum w:abstractNumId="3" w15:restartNumberingAfterBreak="0">
    <w:nsid w:val="0308058D"/>
    <w:multiLevelType w:val="hybridMultilevel"/>
    <w:tmpl w:val="CBF64A9E"/>
    <w:lvl w:ilvl="0" w:tplc="F9C4584C">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76615BA"/>
    <w:multiLevelType w:val="hybridMultilevel"/>
    <w:tmpl w:val="C73840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0014C3"/>
    <w:multiLevelType w:val="hybridMultilevel"/>
    <w:tmpl w:val="D174CC4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AD37A3D"/>
    <w:multiLevelType w:val="multilevel"/>
    <w:tmpl w:val="FA7637DE"/>
    <w:lvl w:ilvl="0">
      <w:start w:val="1"/>
      <w:numFmt w:val="decimal"/>
      <w:pStyle w:val="Heading1"/>
      <w:lvlText w:val="%1."/>
      <w:lvlJc w:val="left"/>
      <w:pPr>
        <w:ind w:left="360" w:hanging="360"/>
      </w:pPr>
      <w:rPr>
        <w:rFonts w:hint="eastAsia"/>
        <w:lang w:val="en-GB"/>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4663818">
    <w:abstractNumId w:val="10"/>
  </w:num>
  <w:num w:numId="2" w16cid:durableId="206456521">
    <w:abstractNumId w:val="13"/>
  </w:num>
  <w:num w:numId="3" w16cid:durableId="2114860448">
    <w:abstractNumId w:val="5"/>
  </w:num>
  <w:num w:numId="4" w16cid:durableId="236524273">
    <w:abstractNumId w:val="14"/>
  </w:num>
  <w:num w:numId="5" w16cid:durableId="124935407">
    <w:abstractNumId w:val="15"/>
  </w:num>
  <w:num w:numId="6" w16cid:durableId="910846781">
    <w:abstractNumId w:val="18"/>
  </w:num>
  <w:num w:numId="7" w16cid:durableId="730082185">
    <w:abstractNumId w:val="17"/>
  </w:num>
  <w:num w:numId="8" w16cid:durableId="575479695">
    <w:abstractNumId w:val="12"/>
  </w:num>
  <w:num w:numId="9" w16cid:durableId="1112823213">
    <w:abstractNumId w:val="11"/>
  </w:num>
  <w:num w:numId="10" w16cid:durableId="614143105">
    <w:abstractNumId w:val="16"/>
  </w:num>
  <w:num w:numId="11" w16cid:durableId="1213073752">
    <w:abstractNumId w:val="9"/>
  </w:num>
  <w:num w:numId="12" w16cid:durableId="341251335">
    <w:abstractNumId w:val="19"/>
  </w:num>
  <w:num w:numId="13" w16cid:durableId="338388040">
    <w:abstractNumId w:val="22"/>
  </w:num>
  <w:num w:numId="14" w16cid:durableId="683022094">
    <w:abstractNumId w:val="6"/>
  </w:num>
  <w:num w:numId="15" w16cid:durableId="5983684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95765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445463027">
    <w:abstractNumId w:val="21"/>
  </w:num>
  <w:num w:numId="18" w16cid:durableId="1737237130">
    <w:abstractNumId w:val="2"/>
  </w:num>
  <w:num w:numId="19" w16cid:durableId="1797213994">
    <w:abstractNumId w:val="1"/>
  </w:num>
  <w:num w:numId="20" w16cid:durableId="631712426">
    <w:abstractNumId w:val="3"/>
  </w:num>
  <w:num w:numId="21" w16cid:durableId="1330055923">
    <w:abstractNumId w:val="8"/>
  </w:num>
  <w:num w:numId="22" w16cid:durableId="1923754694">
    <w:abstractNumId w:val="20"/>
  </w:num>
  <w:num w:numId="23" w16cid:durableId="553271612">
    <w:abstractNumId w:val="4"/>
  </w:num>
  <w:num w:numId="24" w16cid:durableId="721486505">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08B4"/>
    <w:rsid w:val="000014E5"/>
    <w:rsid w:val="00001862"/>
    <w:rsid w:val="00001B5D"/>
    <w:rsid w:val="00001C51"/>
    <w:rsid w:val="0000223C"/>
    <w:rsid w:val="00003791"/>
    <w:rsid w:val="0000410B"/>
    <w:rsid w:val="00004165"/>
    <w:rsid w:val="00005107"/>
    <w:rsid w:val="0000531E"/>
    <w:rsid w:val="00005664"/>
    <w:rsid w:val="0000617B"/>
    <w:rsid w:val="00007726"/>
    <w:rsid w:val="00007FAA"/>
    <w:rsid w:val="00010C8A"/>
    <w:rsid w:val="000124EF"/>
    <w:rsid w:val="000129BD"/>
    <w:rsid w:val="00014511"/>
    <w:rsid w:val="000146F0"/>
    <w:rsid w:val="0001480C"/>
    <w:rsid w:val="00014AF6"/>
    <w:rsid w:val="000165A6"/>
    <w:rsid w:val="00016751"/>
    <w:rsid w:val="00016C19"/>
    <w:rsid w:val="00017290"/>
    <w:rsid w:val="00020C56"/>
    <w:rsid w:val="00021202"/>
    <w:rsid w:val="000225F5"/>
    <w:rsid w:val="00022935"/>
    <w:rsid w:val="00022CA0"/>
    <w:rsid w:val="00023326"/>
    <w:rsid w:val="00023715"/>
    <w:rsid w:val="000247E5"/>
    <w:rsid w:val="00024EE3"/>
    <w:rsid w:val="0002618E"/>
    <w:rsid w:val="000261F3"/>
    <w:rsid w:val="000262AB"/>
    <w:rsid w:val="00026ACC"/>
    <w:rsid w:val="00026AEA"/>
    <w:rsid w:val="00026B91"/>
    <w:rsid w:val="00027659"/>
    <w:rsid w:val="00027953"/>
    <w:rsid w:val="00030025"/>
    <w:rsid w:val="00031075"/>
    <w:rsid w:val="0003171D"/>
    <w:rsid w:val="0003189F"/>
    <w:rsid w:val="00031C1D"/>
    <w:rsid w:val="00032107"/>
    <w:rsid w:val="00032BC9"/>
    <w:rsid w:val="0003426D"/>
    <w:rsid w:val="00034983"/>
    <w:rsid w:val="0003529E"/>
    <w:rsid w:val="000359BA"/>
    <w:rsid w:val="00035C50"/>
    <w:rsid w:val="000361EE"/>
    <w:rsid w:val="00036B71"/>
    <w:rsid w:val="0003740A"/>
    <w:rsid w:val="000401B2"/>
    <w:rsid w:val="0004032B"/>
    <w:rsid w:val="00041632"/>
    <w:rsid w:val="000417D6"/>
    <w:rsid w:val="00042572"/>
    <w:rsid w:val="000426F8"/>
    <w:rsid w:val="000446A8"/>
    <w:rsid w:val="00045475"/>
    <w:rsid w:val="000457A1"/>
    <w:rsid w:val="0004603A"/>
    <w:rsid w:val="00046472"/>
    <w:rsid w:val="00047741"/>
    <w:rsid w:val="000478CF"/>
    <w:rsid w:val="00050001"/>
    <w:rsid w:val="00050725"/>
    <w:rsid w:val="00050EA5"/>
    <w:rsid w:val="00050FD3"/>
    <w:rsid w:val="00051803"/>
    <w:rsid w:val="0005193A"/>
    <w:rsid w:val="00051A1A"/>
    <w:rsid w:val="00051BF9"/>
    <w:rsid w:val="00052041"/>
    <w:rsid w:val="000521F5"/>
    <w:rsid w:val="0005323C"/>
    <w:rsid w:val="0005326A"/>
    <w:rsid w:val="00053D8B"/>
    <w:rsid w:val="0005402F"/>
    <w:rsid w:val="000542B1"/>
    <w:rsid w:val="00055CED"/>
    <w:rsid w:val="000565C8"/>
    <w:rsid w:val="00056D1C"/>
    <w:rsid w:val="00057C41"/>
    <w:rsid w:val="00057E56"/>
    <w:rsid w:val="00061829"/>
    <w:rsid w:val="0006266D"/>
    <w:rsid w:val="00062DE4"/>
    <w:rsid w:val="00063134"/>
    <w:rsid w:val="0006389C"/>
    <w:rsid w:val="00063DC3"/>
    <w:rsid w:val="00064881"/>
    <w:rsid w:val="00064EB0"/>
    <w:rsid w:val="00065031"/>
    <w:rsid w:val="00065506"/>
    <w:rsid w:val="000655A2"/>
    <w:rsid w:val="00065899"/>
    <w:rsid w:val="000672AE"/>
    <w:rsid w:val="00067838"/>
    <w:rsid w:val="000703BE"/>
    <w:rsid w:val="000708AA"/>
    <w:rsid w:val="00070B5B"/>
    <w:rsid w:val="000713E7"/>
    <w:rsid w:val="00071544"/>
    <w:rsid w:val="0007205E"/>
    <w:rsid w:val="0007382E"/>
    <w:rsid w:val="00073EA6"/>
    <w:rsid w:val="00074727"/>
    <w:rsid w:val="000752BE"/>
    <w:rsid w:val="000752F9"/>
    <w:rsid w:val="000766AC"/>
    <w:rsid w:val="000766E1"/>
    <w:rsid w:val="0007785C"/>
    <w:rsid w:val="00077FF6"/>
    <w:rsid w:val="000804A6"/>
    <w:rsid w:val="0008055D"/>
    <w:rsid w:val="00080D82"/>
    <w:rsid w:val="00081692"/>
    <w:rsid w:val="00081A78"/>
    <w:rsid w:val="00081AED"/>
    <w:rsid w:val="00082192"/>
    <w:rsid w:val="000828E9"/>
    <w:rsid w:val="000829B5"/>
    <w:rsid w:val="00082C46"/>
    <w:rsid w:val="000830BC"/>
    <w:rsid w:val="00083EFD"/>
    <w:rsid w:val="0008400F"/>
    <w:rsid w:val="000842DA"/>
    <w:rsid w:val="000844F9"/>
    <w:rsid w:val="00084585"/>
    <w:rsid w:val="00085A0E"/>
    <w:rsid w:val="000866CA"/>
    <w:rsid w:val="00087548"/>
    <w:rsid w:val="00087DCB"/>
    <w:rsid w:val="00087E8F"/>
    <w:rsid w:val="00090E03"/>
    <w:rsid w:val="00090F52"/>
    <w:rsid w:val="0009106F"/>
    <w:rsid w:val="00093D28"/>
    <w:rsid w:val="00093E7E"/>
    <w:rsid w:val="0009420C"/>
    <w:rsid w:val="00094CA1"/>
    <w:rsid w:val="00094D25"/>
    <w:rsid w:val="00094DF1"/>
    <w:rsid w:val="00095486"/>
    <w:rsid w:val="0009576B"/>
    <w:rsid w:val="00095D9B"/>
    <w:rsid w:val="00096688"/>
    <w:rsid w:val="0009688D"/>
    <w:rsid w:val="00097027"/>
    <w:rsid w:val="000A010B"/>
    <w:rsid w:val="000A085A"/>
    <w:rsid w:val="000A09FB"/>
    <w:rsid w:val="000A177C"/>
    <w:rsid w:val="000A1830"/>
    <w:rsid w:val="000A1A50"/>
    <w:rsid w:val="000A300F"/>
    <w:rsid w:val="000A4121"/>
    <w:rsid w:val="000A4AA3"/>
    <w:rsid w:val="000A550E"/>
    <w:rsid w:val="000A671F"/>
    <w:rsid w:val="000A74CC"/>
    <w:rsid w:val="000A756D"/>
    <w:rsid w:val="000A7B1E"/>
    <w:rsid w:val="000B0831"/>
    <w:rsid w:val="000B0832"/>
    <w:rsid w:val="000B0960"/>
    <w:rsid w:val="000B09D5"/>
    <w:rsid w:val="000B0AF1"/>
    <w:rsid w:val="000B1A55"/>
    <w:rsid w:val="000B20BB"/>
    <w:rsid w:val="000B20D1"/>
    <w:rsid w:val="000B2C82"/>
    <w:rsid w:val="000B2EF6"/>
    <w:rsid w:val="000B2FA6"/>
    <w:rsid w:val="000B4457"/>
    <w:rsid w:val="000B4AA0"/>
    <w:rsid w:val="000B5359"/>
    <w:rsid w:val="000B57AE"/>
    <w:rsid w:val="000B6036"/>
    <w:rsid w:val="000B613C"/>
    <w:rsid w:val="000B6F25"/>
    <w:rsid w:val="000B6F36"/>
    <w:rsid w:val="000B743F"/>
    <w:rsid w:val="000C0A5D"/>
    <w:rsid w:val="000C1F17"/>
    <w:rsid w:val="000C238B"/>
    <w:rsid w:val="000C2553"/>
    <w:rsid w:val="000C2740"/>
    <w:rsid w:val="000C2FCF"/>
    <w:rsid w:val="000C38C3"/>
    <w:rsid w:val="000C4549"/>
    <w:rsid w:val="000C4E8B"/>
    <w:rsid w:val="000C5AF7"/>
    <w:rsid w:val="000C6F34"/>
    <w:rsid w:val="000C7379"/>
    <w:rsid w:val="000C7776"/>
    <w:rsid w:val="000D08D2"/>
    <w:rsid w:val="000D09FD"/>
    <w:rsid w:val="000D19DE"/>
    <w:rsid w:val="000D26F2"/>
    <w:rsid w:val="000D2706"/>
    <w:rsid w:val="000D2D31"/>
    <w:rsid w:val="000D2DDA"/>
    <w:rsid w:val="000D37AA"/>
    <w:rsid w:val="000D44FB"/>
    <w:rsid w:val="000D574B"/>
    <w:rsid w:val="000D58DF"/>
    <w:rsid w:val="000D5E1F"/>
    <w:rsid w:val="000D6467"/>
    <w:rsid w:val="000D6CFC"/>
    <w:rsid w:val="000D7938"/>
    <w:rsid w:val="000D7C76"/>
    <w:rsid w:val="000D7EC7"/>
    <w:rsid w:val="000E0F10"/>
    <w:rsid w:val="000E1568"/>
    <w:rsid w:val="000E1936"/>
    <w:rsid w:val="000E1CBB"/>
    <w:rsid w:val="000E2EB7"/>
    <w:rsid w:val="000E320C"/>
    <w:rsid w:val="000E3CEF"/>
    <w:rsid w:val="000E537B"/>
    <w:rsid w:val="000E54F8"/>
    <w:rsid w:val="000E558C"/>
    <w:rsid w:val="000E558F"/>
    <w:rsid w:val="000E57D0"/>
    <w:rsid w:val="000E5D86"/>
    <w:rsid w:val="000E622F"/>
    <w:rsid w:val="000E672B"/>
    <w:rsid w:val="000E7858"/>
    <w:rsid w:val="000F06FA"/>
    <w:rsid w:val="000F0F7B"/>
    <w:rsid w:val="000F111D"/>
    <w:rsid w:val="000F169B"/>
    <w:rsid w:val="000F3315"/>
    <w:rsid w:val="000F39CA"/>
    <w:rsid w:val="000F45A3"/>
    <w:rsid w:val="000F50E9"/>
    <w:rsid w:val="000F5368"/>
    <w:rsid w:val="000F5A77"/>
    <w:rsid w:val="00100674"/>
    <w:rsid w:val="00102373"/>
    <w:rsid w:val="00102BD5"/>
    <w:rsid w:val="00102D48"/>
    <w:rsid w:val="00102EC4"/>
    <w:rsid w:val="00104AEB"/>
    <w:rsid w:val="00104D95"/>
    <w:rsid w:val="00105CB6"/>
    <w:rsid w:val="001060E2"/>
    <w:rsid w:val="00106B63"/>
    <w:rsid w:val="00107839"/>
    <w:rsid w:val="00107927"/>
    <w:rsid w:val="001105D3"/>
    <w:rsid w:val="00110983"/>
    <w:rsid w:val="00110E26"/>
    <w:rsid w:val="00111321"/>
    <w:rsid w:val="00111DC3"/>
    <w:rsid w:val="00111FE5"/>
    <w:rsid w:val="00112430"/>
    <w:rsid w:val="001128E7"/>
    <w:rsid w:val="00112A6D"/>
    <w:rsid w:val="00112E7D"/>
    <w:rsid w:val="0011636D"/>
    <w:rsid w:val="001177B5"/>
    <w:rsid w:val="00117BD6"/>
    <w:rsid w:val="00117E7D"/>
    <w:rsid w:val="001206C2"/>
    <w:rsid w:val="00121978"/>
    <w:rsid w:val="00121A8C"/>
    <w:rsid w:val="00122880"/>
    <w:rsid w:val="00123199"/>
    <w:rsid w:val="00123422"/>
    <w:rsid w:val="00123B5B"/>
    <w:rsid w:val="00123BA0"/>
    <w:rsid w:val="00123D39"/>
    <w:rsid w:val="00124981"/>
    <w:rsid w:val="00124B56"/>
    <w:rsid w:val="00124B6A"/>
    <w:rsid w:val="00127DAC"/>
    <w:rsid w:val="001303A7"/>
    <w:rsid w:val="00130462"/>
    <w:rsid w:val="001311A7"/>
    <w:rsid w:val="00131F36"/>
    <w:rsid w:val="00135713"/>
    <w:rsid w:val="00135B3E"/>
    <w:rsid w:val="00136531"/>
    <w:rsid w:val="00136D4C"/>
    <w:rsid w:val="0014025E"/>
    <w:rsid w:val="00142538"/>
    <w:rsid w:val="001425DD"/>
    <w:rsid w:val="00142642"/>
    <w:rsid w:val="00142703"/>
    <w:rsid w:val="0014272D"/>
    <w:rsid w:val="00142BB9"/>
    <w:rsid w:val="00142BF3"/>
    <w:rsid w:val="00143B82"/>
    <w:rsid w:val="00144F96"/>
    <w:rsid w:val="00145A99"/>
    <w:rsid w:val="00145B83"/>
    <w:rsid w:val="00145C3B"/>
    <w:rsid w:val="001464B5"/>
    <w:rsid w:val="00146EE4"/>
    <w:rsid w:val="001471CF"/>
    <w:rsid w:val="00147DEC"/>
    <w:rsid w:val="001504C2"/>
    <w:rsid w:val="00150535"/>
    <w:rsid w:val="00150826"/>
    <w:rsid w:val="00150F06"/>
    <w:rsid w:val="00151C32"/>
    <w:rsid w:val="00151EAC"/>
    <w:rsid w:val="00152F37"/>
    <w:rsid w:val="0015339D"/>
    <w:rsid w:val="00153528"/>
    <w:rsid w:val="00154256"/>
    <w:rsid w:val="001544FD"/>
    <w:rsid w:val="00154892"/>
    <w:rsid w:val="00154E68"/>
    <w:rsid w:val="0015529A"/>
    <w:rsid w:val="001561DB"/>
    <w:rsid w:val="00156F24"/>
    <w:rsid w:val="0015741B"/>
    <w:rsid w:val="00157DE9"/>
    <w:rsid w:val="001600DC"/>
    <w:rsid w:val="00160F2C"/>
    <w:rsid w:val="00160FBE"/>
    <w:rsid w:val="001618B4"/>
    <w:rsid w:val="00161C30"/>
    <w:rsid w:val="00162548"/>
    <w:rsid w:val="00163BDE"/>
    <w:rsid w:val="00163CD8"/>
    <w:rsid w:val="0016555E"/>
    <w:rsid w:val="00166DAF"/>
    <w:rsid w:val="0017017B"/>
    <w:rsid w:val="00171150"/>
    <w:rsid w:val="00171714"/>
    <w:rsid w:val="00171779"/>
    <w:rsid w:val="00172183"/>
    <w:rsid w:val="00172525"/>
    <w:rsid w:val="0017278E"/>
    <w:rsid w:val="00172C2D"/>
    <w:rsid w:val="00173250"/>
    <w:rsid w:val="001734B7"/>
    <w:rsid w:val="00174CE9"/>
    <w:rsid w:val="001751AB"/>
    <w:rsid w:val="00175A3F"/>
    <w:rsid w:val="00176482"/>
    <w:rsid w:val="00177302"/>
    <w:rsid w:val="00177E33"/>
    <w:rsid w:val="00180414"/>
    <w:rsid w:val="00180A0E"/>
    <w:rsid w:val="00180E09"/>
    <w:rsid w:val="00181225"/>
    <w:rsid w:val="00181C30"/>
    <w:rsid w:val="00181E30"/>
    <w:rsid w:val="00182730"/>
    <w:rsid w:val="00183D4C"/>
    <w:rsid w:val="00183F6D"/>
    <w:rsid w:val="00184074"/>
    <w:rsid w:val="001849C6"/>
    <w:rsid w:val="001850E3"/>
    <w:rsid w:val="00185216"/>
    <w:rsid w:val="00185323"/>
    <w:rsid w:val="0018534C"/>
    <w:rsid w:val="0018670E"/>
    <w:rsid w:val="00186812"/>
    <w:rsid w:val="00186CAA"/>
    <w:rsid w:val="00186E75"/>
    <w:rsid w:val="00187862"/>
    <w:rsid w:val="00190036"/>
    <w:rsid w:val="0019081D"/>
    <w:rsid w:val="0019099B"/>
    <w:rsid w:val="00191718"/>
    <w:rsid w:val="00191915"/>
    <w:rsid w:val="00191BFE"/>
    <w:rsid w:val="0019209A"/>
    <w:rsid w:val="00192199"/>
    <w:rsid w:val="0019219A"/>
    <w:rsid w:val="0019234E"/>
    <w:rsid w:val="00193950"/>
    <w:rsid w:val="00194072"/>
    <w:rsid w:val="00194A98"/>
    <w:rsid w:val="00195077"/>
    <w:rsid w:val="00195668"/>
    <w:rsid w:val="001956C9"/>
    <w:rsid w:val="00195E69"/>
    <w:rsid w:val="0019627A"/>
    <w:rsid w:val="001A01E6"/>
    <w:rsid w:val="001A033F"/>
    <w:rsid w:val="001A047E"/>
    <w:rsid w:val="001A07BC"/>
    <w:rsid w:val="001A08AA"/>
    <w:rsid w:val="001A0926"/>
    <w:rsid w:val="001A092A"/>
    <w:rsid w:val="001A1782"/>
    <w:rsid w:val="001A1B97"/>
    <w:rsid w:val="001A2419"/>
    <w:rsid w:val="001A25EC"/>
    <w:rsid w:val="001A2FDB"/>
    <w:rsid w:val="001A30DE"/>
    <w:rsid w:val="001A359A"/>
    <w:rsid w:val="001A37CD"/>
    <w:rsid w:val="001A5532"/>
    <w:rsid w:val="001A59CB"/>
    <w:rsid w:val="001A6DCA"/>
    <w:rsid w:val="001B055F"/>
    <w:rsid w:val="001B0EBF"/>
    <w:rsid w:val="001B17AD"/>
    <w:rsid w:val="001B2C4C"/>
    <w:rsid w:val="001B3517"/>
    <w:rsid w:val="001B3D07"/>
    <w:rsid w:val="001B474C"/>
    <w:rsid w:val="001B479E"/>
    <w:rsid w:val="001B4992"/>
    <w:rsid w:val="001B4C55"/>
    <w:rsid w:val="001B4F8F"/>
    <w:rsid w:val="001B55D3"/>
    <w:rsid w:val="001B708C"/>
    <w:rsid w:val="001B7991"/>
    <w:rsid w:val="001C0330"/>
    <w:rsid w:val="001C05F2"/>
    <w:rsid w:val="001C05F5"/>
    <w:rsid w:val="001C0659"/>
    <w:rsid w:val="001C1409"/>
    <w:rsid w:val="001C2AE6"/>
    <w:rsid w:val="001C2D88"/>
    <w:rsid w:val="001C2DA6"/>
    <w:rsid w:val="001C2EDB"/>
    <w:rsid w:val="001C41EE"/>
    <w:rsid w:val="001C47BA"/>
    <w:rsid w:val="001C486F"/>
    <w:rsid w:val="001C4A89"/>
    <w:rsid w:val="001C5074"/>
    <w:rsid w:val="001C5C8C"/>
    <w:rsid w:val="001C5E00"/>
    <w:rsid w:val="001C6177"/>
    <w:rsid w:val="001C634D"/>
    <w:rsid w:val="001D0363"/>
    <w:rsid w:val="001D12B4"/>
    <w:rsid w:val="001D1949"/>
    <w:rsid w:val="001D1B07"/>
    <w:rsid w:val="001D1DF7"/>
    <w:rsid w:val="001D1F6E"/>
    <w:rsid w:val="001D2EC4"/>
    <w:rsid w:val="001D31B4"/>
    <w:rsid w:val="001D3BFE"/>
    <w:rsid w:val="001D45DD"/>
    <w:rsid w:val="001D4624"/>
    <w:rsid w:val="001D4C46"/>
    <w:rsid w:val="001D6D16"/>
    <w:rsid w:val="001D7977"/>
    <w:rsid w:val="001D7D94"/>
    <w:rsid w:val="001E0A28"/>
    <w:rsid w:val="001E0EA5"/>
    <w:rsid w:val="001E1595"/>
    <w:rsid w:val="001E177F"/>
    <w:rsid w:val="001E20EF"/>
    <w:rsid w:val="001E2325"/>
    <w:rsid w:val="001E23D4"/>
    <w:rsid w:val="001E29A1"/>
    <w:rsid w:val="001E4218"/>
    <w:rsid w:val="001E4B26"/>
    <w:rsid w:val="001E5332"/>
    <w:rsid w:val="001E6861"/>
    <w:rsid w:val="001E6AC0"/>
    <w:rsid w:val="001E6C4D"/>
    <w:rsid w:val="001E706C"/>
    <w:rsid w:val="001E7EAA"/>
    <w:rsid w:val="001F0B20"/>
    <w:rsid w:val="001F0C2C"/>
    <w:rsid w:val="001F1762"/>
    <w:rsid w:val="001F1B6E"/>
    <w:rsid w:val="001F1EA1"/>
    <w:rsid w:val="001F24A0"/>
    <w:rsid w:val="001F371C"/>
    <w:rsid w:val="001F3B5B"/>
    <w:rsid w:val="001F3C23"/>
    <w:rsid w:val="001F7301"/>
    <w:rsid w:val="001F7392"/>
    <w:rsid w:val="001F7BBF"/>
    <w:rsid w:val="002004E5"/>
    <w:rsid w:val="00200A62"/>
    <w:rsid w:val="00203740"/>
    <w:rsid w:val="0020401E"/>
    <w:rsid w:val="002043B8"/>
    <w:rsid w:val="0020474B"/>
    <w:rsid w:val="0020481D"/>
    <w:rsid w:val="00205BCF"/>
    <w:rsid w:val="00205E6D"/>
    <w:rsid w:val="00207D18"/>
    <w:rsid w:val="002100C7"/>
    <w:rsid w:val="00210EEB"/>
    <w:rsid w:val="002119E9"/>
    <w:rsid w:val="0021294C"/>
    <w:rsid w:val="00212CA0"/>
    <w:rsid w:val="00213745"/>
    <w:rsid w:val="002138EA"/>
    <w:rsid w:val="002139EA"/>
    <w:rsid w:val="002139F7"/>
    <w:rsid w:val="00213F84"/>
    <w:rsid w:val="00214191"/>
    <w:rsid w:val="00214997"/>
    <w:rsid w:val="00214CCD"/>
    <w:rsid w:val="00214E55"/>
    <w:rsid w:val="00214FBD"/>
    <w:rsid w:val="0021692A"/>
    <w:rsid w:val="00217592"/>
    <w:rsid w:val="00217E51"/>
    <w:rsid w:val="0022045C"/>
    <w:rsid w:val="0022176A"/>
    <w:rsid w:val="00221E08"/>
    <w:rsid w:val="00222897"/>
    <w:rsid w:val="00222B0C"/>
    <w:rsid w:val="002232E4"/>
    <w:rsid w:val="002239CB"/>
    <w:rsid w:val="00223F0F"/>
    <w:rsid w:val="00224672"/>
    <w:rsid w:val="002252A8"/>
    <w:rsid w:val="00226EA1"/>
    <w:rsid w:val="00227143"/>
    <w:rsid w:val="00227342"/>
    <w:rsid w:val="0022772D"/>
    <w:rsid w:val="00227739"/>
    <w:rsid w:val="002309D1"/>
    <w:rsid w:val="00232D59"/>
    <w:rsid w:val="00232FF0"/>
    <w:rsid w:val="0023471F"/>
    <w:rsid w:val="00234900"/>
    <w:rsid w:val="00234AA5"/>
    <w:rsid w:val="00234BDF"/>
    <w:rsid w:val="00235394"/>
    <w:rsid w:val="00235577"/>
    <w:rsid w:val="002371B2"/>
    <w:rsid w:val="002373DB"/>
    <w:rsid w:val="002375D9"/>
    <w:rsid w:val="0024059C"/>
    <w:rsid w:val="00240DDA"/>
    <w:rsid w:val="00242555"/>
    <w:rsid w:val="002435CA"/>
    <w:rsid w:val="002439F3"/>
    <w:rsid w:val="00244439"/>
    <w:rsid w:val="0024469F"/>
    <w:rsid w:val="0024573B"/>
    <w:rsid w:val="00246557"/>
    <w:rsid w:val="002501F8"/>
    <w:rsid w:val="00250265"/>
    <w:rsid w:val="00250B5B"/>
    <w:rsid w:val="00251720"/>
    <w:rsid w:val="00251955"/>
    <w:rsid w:val="00252DB8"/>
    <w:rsid w:val="00253791"/>
    <w:rsid w:val="002537BC"/>
    <w:rsid w:val="00253D5B"/>
    <w:rsid w:val="0025412C"/>
    <w:rsid w:val="00255C58"/>
    <w:rsid w:val="002562DF"/>
    <w:rsid w:val="00256B34"/>
    <w:rsid w:val="00257009"/>
    <w:rsid w:val="0025794A"/>
    <w:rsid w:val="00257CE6"/>
    <w:rsid w:val="00260162"/>
    <w:rsid w:val="00260EC7"/>
    <w:rsid w:val="00260FBC"/>
    <w:rsid w:val="00261539"/>
    <w:rsid w:val="0026179F"/>
    <w:rsid w:val="002621F4"/>
    <w:rsid w:val="002622E7"/>
    <w:rsid w:val="00262780"/>
    <w:rsid w:val="002637F8"/>
    <w:rsid w:val="00263C63"/>
    <w:rsid w:val="00264276"/>
    <w:rsid w:val="00264C1C"/>
    <w:rsid w:val="00264FEE"/>
    <w:rsid w:val="0026572F"/>
    <w:rsid w:val="00265780"/>
    <w:rsid w:val="00265C63"/>
    <w:rsid w:val="002666AE"/>
    <w:rsid w:val="00267650"/>
    <w:rsid w:val="00267A83"/>
    <w:rsid w:val="00267BB5"/>
    <w:rsid w:val="002714A9"/>
    <w:rsid w:val="002723EE"/>
    <w:rsid w:val="00272943"/>
    <w:rsid w:val="002739F2"/>
    <w:rsid w:val="002745B2"/>
    <w:rsid w:val="002746DD"/>
    <w:rsid w:val="00274AE3"/>
    <w:rsid w:val="00274C5E"/>
    <w:rsid w:val="00274E1A"/>
    <w:rsid w:val="00274E25"/>
    <w:rsid w:val="00275088"/>
    <w:rsid w:val="002750ED"/>
    <w:rsid w:val="002760E1"/>
    <w:rsid w:val="00276AE0"/>
    <w:rsid w:val="002775B1"/>
    <w:rsid w:val="002775B9"/>
    <w:rsid w:val="00277EE7"/>
    <w:rsid w:val="002806D9"/>
    <w:rsid w:val="00280C8D"/>
    <w:rsid w:val="002811C4"/>
    <w:rsid w:val="002811D4"/>
    <w:rsid w:val="00281578"/>
    <w:rsid w:val="002818AC"/>
    <w:rsid w:val="00281EBE"/>
    <w:rsid w:val="00282213"/>
    <w:rsid w:val="0028321E"/>
    <w:rsid w:val="0028353B"/>
    <w:rsid w:val="00284016"/>
    <w:rsid w:val="0028450C"/>
    <w:rsid w:val="00284ACC"/>
    <w:rsid w:val="00285502"/>
    <w:rsid w:val="002858BF"/>
    <w:rsid w:val="00286096"/>
    <w:rsid w:val="00286C88"/>
    <w:rsid w:val="00290112"/>
    <w:rsid w:val="00290B6C"/>
    <w:rsid w:val="0029181C"/>
    <w:rsid w:val="00292245"/>
    <w:rsid w:val="002923D5"/>
    <w:rsid w:val="002939AF"/>
    <w:rsid w:val="00294491"/>
    <w:rsid w:val="00294BDE"/>
    <w:rsid w:val="002953D1"/>
    <w:rsid w:val="00295668"/>
    <w:rsid w:val="00295C8D"/>
    <w:rsid w:val="00295F5A"/>
    <w:rsid w:val="002962F8"/>
    <w:rsid w:val="0029634E"/>
    <w:rsid w:val="0029664A"/>
    <w:rsid w:val="0029671A"/>
    <w:rsid w:val="00296795"/>
    <w:rsid w:val="0029684F"/>
    <w:rsid w:val="00296942"/>
    <w:rsid w:val="002974EB"/>
    <w:rsid w:val="002A034B"/>
    <w:rsid w:val="002A0CED"/>
    <w:rsid w:val="002A0EDF"/>
    <w:rsid w:val="002A1339"/>
    <w:rsid w:val="002A1356"/>
    <w:rsid w:val="002A1A8C"/>
    <w:rsid w:val="002A2520"/>
    <w:rsid w:val="002A3834"/>
    <w:rsid w:val="002A4CD0"/>
    <w:rsid w:val="002A4F0A"/>
    <w:rsid w:val="002A5195"/>
    <w:rsid w:val="002A5C89"/>
    <w:rsid w:val="002A7307"/>
    <w:rsid w:val="002A7D8F"/>
    <w:rsid w:val="002A7DA6"/>
    <w:rsid w:val="002B0CEF"/>
    <w:rsid w:val="002B0EF2"/>
    <w:rsid w:val="002B13F8"/>
    <w:rsid w:val="002B1F84"/>
    <w:rsid w:val="002B4973"/>
    <w:rsid w:val="002B516C"/>
    <w:rsid w:val="002B51EE"/>
    <w:rsid w:val="002B5E1D"/>
    <w:rsid w:val="002B60C1"/>
    <w:rsid w:val="002B7905"/>
    <w:rsid w:val="002C005C"/>
    <w:rsid w:val="002C1E47"/>
    <w:rsid w:val="002C2034"/>
    <w:rsid w:val="002C2ABE"/>
    <w:rsid w:val="002C33DC"/>
    <w:rsid w:val="002C47D8"/>
    <w:rsid w:val="002C4B52"/>
    <w:rsid w:val="002C652B"/>
    <w:rsid w:val="002C6913"/>
    <w:rsid w:val="002C6C1C"/>
    <w:rsid w:val="002C7713"/>
    <w:rsid w:val="002D021B"/>
    <w:rsid w:val="002D03E5"/>
    <w:rsid w:val="002D1F39"/>
    <w:rsid w:val="002D2202"/>
    <w:rsid w:val="002D23F9"/>
    <w:rsid w:val="002D278D"/>
    <w:rsid w:val="002D36EB"/>
    <w:rsid w:val="002D3BD7"/>
    <w:rsid w:val="002D47BC"/>
    <w:rsid w:val="002D47C7"/>
    <w:rsid w:val="002D4F8B"/>
    <w:rsid w:val="002D56E6"/>
    <w:rsid w:val="002D5D79"/>
    <w:rsid w:val="002D6BDF"/>
    <w:rsid w:val="002E064F"/>
    <w:rsid w:val="002E08DD"/>
    <w:rsid w:val="002E1455"/>
    <w:rsid w:val="002E15EA"/>
    <w:rsid w:val="002E16AB"/>
    <w:rsid w:val="002E1B74"/>
    <w:rsid w:val="002E2CE9"/>
    <w:rsid w:val="002E3BF7"/>
    <w:rsid w:val="002E403E"/>
    <w:rsid w:val="002E4C74"/>
    <w:rsid w:val="002E5113"/>
    <w:rsid w:val="002E6316"/>
    <w:rsid w:val="002E63E9"/>
    <w:rsid w:val="002E64EB"/>
    <w:rsid w:val="002E6670"/>
    <w:rsid w:val="002E70CF"/>
    <w:rsid w:val="002E7473"/>
    <w:rsid w:val="002E79E8"/>
    <w:rsid w:val="002F0695"/>
    <w:rsid w:val="002F10EF"/>
    <w:rsid w:val="002F156F"/>
    <w:rsid w:val="002F158C"/>
    <w:rsid w:val="002F25D1"/>
    <w:rsid w:val="002F2A16"/>
    <w:rsid w:val="002F2C19"/>
    <w:rsid w:val="002F3386"/>
    <w:rsid w:val="002F3D7F"/>
    <w:rsid w:val="002F4093"/>
    <w:rsid w:val="002F48AE"/>
    <w:rsid w:val="002F4D69"/>
    <w:rsid w:val="002F54D7"/>
    <w:rsid w:val="002F5636"/>
    <w:rsid w:val="002F5D4D"/>
    <w:rsid w:val="002F65C0"/>
    <w:rsid w:val="002F6CAA"/>
    <w:rsid w:val="002F71A3"/>
    <w:rsid w:val="002F7C17"/>
    <w:rsid w:val="00300B3A"/>
    <w:rsid w:val="0030163C"/>
    <w:rsid w:val="00301AA3"/>
    <w:rsid w:val="003022A5"/>
    <w:rsid w:val="00302742"/>
    <w:rsid w:val="00304842"/>
    <w:rsid w:val="00307E51"/>
    <w:rsid w:val="00310CED"/>
    <w:rsid w:val="00311363"/>
    <w:rsid w:val="00313138"/>
    <w:rsid w:val="00315867"/>
    <w:rsid w:val="00317330"/>
    <w:rsid w:val="003178C6"/>
    <w:rsid w:val="00317B9A"/>
    <w:rsid w:val="003201D7"/>
    <w:rsid w:val="00320699"/>
    <w:rsid w:val="00320E41"/>
    <w:rsid w:val="00320F93"/>
    <w:rsid w:val="00321150"/>
    <w:rsid w:val="00322452"/>
    <w:rsid w:val="00322B04"/>
    <w:rsid w:val="00322BC6"/>
    <w:rsid w:val="00322F65"/>
    <w:rsid w:val="003233EE"/>
    <w:rsid w:val="00323AED"/>
    <w:rsid w:val="00323AF9"/>
    <w:rsid w:val="003260D7"/>
    <w:rsid w:val="0032651D"/>
    <w:rsid w:val="00326AA2"/>
    <w:rsid w:val="00327454"/>
    <w:rsid w:val="003274F5"/>
    <w:rsid w:val="0032789F"/>
    <w:rsid w:val="00327C88"/>
    <w:rsid w:val="00330492"/>
    <w:rsid w:val="003308B9"/>
    <w:rsid w:val="003313D3"/>
    <w:rsid w:val="0033168B"/>
    <w:rsid w:val="00332B20"/>
    <w:rsid w:val="00334B30"/>
    <w:rsid w:val="00335023"/>
    <w:rsid w:val="00335113"/>
    <w:rsid w:val="0033602B"/>
    <w:rsid w:val="003362AF"/>
    <w:rsid w:val="00336697"/>
    <w:rsid w:val="00336C80"/>
    <w:rsid w:val="0034057A"/>
    <w:rsid w:val="00340A46"/>
    <w:rsid w:val="00340D21"/>
    <w:rsid w:val="00340F5A"/>
    <w:rsid w:val="003418CB"/>
    <w:rsid w:val="00343ED2"/>
    <w:rsid w:val="0034538E"/>
    <w:rsid w:val="003458A5"/>
    <w:rsid w:val="003459D5"/>
    <w:rsid w:val="00346B17"/>
    <w:rsid w:val="003475B5"/>
    <w:rsid w:val="0035128D"/>
    <w:rsid w:val="00352127"/>
    <w:rsid w:val="00352718"/>
    <w:rsid w:val="00353041"/>
    <w:rsid w:val="00353D67"/>
    <w:rsid w:val="00354C7A"/>
    <w:rsid w:val="00355381"/>
    <w:rsid w:val="00355873"/>
    <w:rsid w:val="0035660F"/>
    <w:rsid w:val="00356B04"/>
    <w:rsid w:val="003605E2"/>
    <w:rsid w:val="0036077E"/>
    <w:rsid w:val="0036084C"/>
    <w:rsid w:val="00361006"/>
    <w:rsid w:val="0036118B"/>
    <w:rsid w:val="003616AC"/>
    <w:rsid w:val="003622F8"/>
    <w:rsid w:val="003628B9"/>
    <w:rsid w:val="00362CFC"/>
    <w:rsid w:val="00362D8F"/>
    <w:rsid w:val="00363036"/>
    <w:rsid w:val="003637D1"/>
    <w:rsid w:val="00364A09"/>
    <w:rsid w:val="00364F5A"/>
    <w:rsid w:val="00365A8B"/>
    <w:rsid w:val="00365E22"/>
    <w:rsid w:val="00366400"/>
    <w:rsid w:val="003669CE"/>
    <w:rsid w:val="00366B49"/>
    <w:rsid w:val="00366F56"/>
    <w:rsid w:val="003672F5"/>
    <w:rsid w:val="003675AF"/>
    <w:rsid w:val="00367724"/>
    <w:rsid w:val="0037006A"/>
    <w:rsid w:val="0037072B"/>
    <w:rsid w:val="00370D2C"/>
    <w:rsid w:val="003710BA"/>
    <w:rsid w:val="00371BA6"/>
    <w:rsid w:val="00371E2F"/>
    <w:rsid w:val="00372140"/>
    <w:rsid w:val="00372233"/>
    <w:rsid w:val="00372775"/>
    <w:rsid w:val="00372E5B"/>
    <w:rsid w:val="00374A2D"/>
    <w:rsid w:val="00374BC2"/>
    <w:rsid w:val="00375E1F"/>
    <w:rsid w:val="003766BC"/>
    <w:rsid w:val="0037683F"/>
    <w:rsid w:val="00376A8A"/>
    <w:rsid w:val="003770F6"/>
    <w:rsid w:val="003775F8"/>
    <w:rsid w:val="00383E37"/>
    <w:rsid w:val="00384819"/>
    <w:rsid w:val="003851A8"/>
    <w:rsid w:val="003851CF"/>
    <w:rsid w:val="003866F7"/>
    <w:rsid w:val="003866FA"/>
    <w:rsid w:val="003868EA"/>
    <w:rsid w:val="00387592"/>
    <w:rsid w:val="00391493"/>
    <w:rsid w:val="0039303A"/>
    <w:rsid w:val="00393042"/>
    <w:rsid w:val="003933EB"/>
    <w:rsid w:val="00393763"/>
    <w:rsid w:val="00393D58"/>
    <w:rsid w:val="00394AD5"/>
    <w:rsid w:val="00394B72"/>
    <w:rsid w:val="00394C8B"/>
    <w:rsid w:val="003955E9"/>
    <w:rsid w:val="0039642D"/>
    <w:rsid w:val="00396E0D"/>
    <w:rsid w:val="00396E2A"/>
    <w:rsid w:val="00397543"/>
    <w:rsid w:val="003A0EDD"/>
    <w:rsid w:val="003A1006"/>
    <w:rsid w:val="003A1B1C"/>
    <w:rsid w:val="003A1DDA"/>
    <w:rsid w:val="003A26BE"/>
    <w:rsid w:val="003A2E40"/>
    <w:rsid w:val="003A3327"/>
    <w:rsid w:val="003A36C1"/>
    <w:rsid w:val="003A38C0"/>
    <w:rsid w:val="003A3A58"/>
    <w:rsid w:val="003A3C3C"/>
    <w:rsid w:val="003A3C51"/>
    <w:rsid w:val="003A5E9B"/>
    <w:rsid w:val="003A631E"/>
    <w:rsid w:val="003A686A"/>
    <w:rsid w:val="003A6FDA"/>
    <w:rsid w:val="003A769D"/>
    <w:rsid w:val="003A7EEF"/>
    <w:rsid w:val="003B0158"/>
    <w:rsid w:val="003B13A1"/>
    <w:rsid w:val="003B184F"/>
    <w:rsid w:val="003B3347"/>
    <w:rsid w:val="003B40B6"/>
    <w:rsid w:val="003B4BCD"/>
    <w:rsid w:val="003B56DB"/>
    <w:rsid w:val="003B6BB8"/>
    <w:rsid w:val="003B6CCA"/>
    <w:rsid w:val="003B70E1"/>
    <w:rsid w:val="003B73E9"/>
    <w:rsid w:val="003B755E"/>
    <w:rsid w:val="003C228E"/>
    <w:rsid w:val="003C2AC7"/>
    <w:rsid w:val="003C2B95"/>
    <w:rsid w:val="003C2BB5"/>
    <w:rsid w:val="003C3317"/>
    <w:rsid w:val="003C42A6"/>
    <w:rsid w:val="003C51A1"/>
    <w:rsid w:val="003C51E7"/>
    <w:rsid w:val="003C6893"/>
    <w:rsid w:val="003C6DE2"/>
    <w:rsid w:val="003C7350"/>
    <w:rsid w:val="003C780D"/>
    <w:rsid w:val="003C79C2"/>
    <w:rsid w:val="003D1A28"/>
    <w:rsid w:val="003D1EFD"/>
    <w:rsid w:val="003D28BF"/>
    <w:rsid w:val="003D2AD4"/>
    <w:rsid w:val="003D2C82"/>
    <w:rsid w:val="003D2EB2"/>
    <w:rsid w:val="003D40BB"/>
    <w:rsid w:val="003D4215"/>
    <w:rsid w:val="003D47F7"/>
    <w:rsid w:val="003D4C47"/>
    <w:rsid w:val="003D6477"/>
    <w:rsid w:val="003D7039"/>
    <w:rsid w:val="003D7159"/>
    <w:rsid w:val="003D73DC"/>
    <w:rsid w:val="003D7719"/>
    <w:rsid w:val="003E0CE8"/>
    <w:rsid w:val="003E113C"/>
    <w:rsid w:val="003E1C0C"/>
    <w:rsid w:val="003E2CDB"/>
    <w:rsid w:val="003E40EE"/>
    <w:rsid w:val="003E44C9"/>
    <w:rsid w:val="003E454E"/>
    <w:rsid w:val="003E6607"/>
    <w:rsid w:val="003E6796"/>
    <w:rsid w:val="003E7951"/>
    <w:rsid w:val="003E7CB8"/>
    <w:rsid w:val="003F0107"/>
    <w:rsid w:val="003F0BCE"/>
    <w:rsid w:val="003F1A6F"/>
    <w:rsid w:val="003F1C1B"/>
    <w:rsid w:val="003F1F55"/>
    <w:rsid w:val="003F27C0"/>
    <w:rsid w:val="003F2939"/>
    <w:rsid w:val="003F3A2F"/>
    <w:rsid w:val="003F45B3"/>
    <w:rsid w:val="003F4630"/>
    <w:rsid w:val="003F4D9E"/>
    <w:rsid w:val="003F4F5D"/>
    <w:rsid w:val="003F508C"/>
    <w:rsid w:val="003F54CC"/>
    <w:rsid w:val="003F55FD"/>
    <w:rsid w:val="003F5BB7"/>
    <w:rsid w:val="003F6053"/>
    <w:rsid w:val="003F667E"/>
    <w:rsid w:val="003F70BD"/>
    <w:rsid w:val="003F7368"/>
    <w:rsid w:val="004008FF"/>
    <w:rsid w:val="00401144"/>
    <w:rsid w:val="00401D50"/>
    <w:rsid w:val="00402800"/>
    <w:rsid w:val="0040289E"/>
    <w:rsid w:val="004029A4"/>
    <w:rsid w:val="0040340A"/>
    <w:rsid w:val="00403515"/>
    <w:rsid w:val="00404831"/>
    <w:rsid w:val="00404F12"/>
    <w:rsid w:val="0040702C"/>
    <w:rsid w:val="00407661"/>
    <w:rsid w:val="00410314"/>
    <w:rsid w:val="00411A53"/>
    <w:rsid w:val="00412063"/>
    <w:rsid w:val="0041260B"/>
    <w:rsid w:val="0041281F"/>
    <w:rsid w:val="00412EB1"/>
    <w:rsid w:val="00413562"/>
    <w:rsid w:val="0041377E"/>
    <w:rsid w:val="00413DDE"/>
    <w:rsid w:val="00414118"/>
    <w:rsid w:val="004157BC"/>
    <w:rsid w:val="00415B0A"/>
    <w:rsid w:val="00416084"/>
    <w:rsid w:val="00416902"/>
    <w:rsid w:val="00417599"/>
    <w:rsid w:val="00420945"/>
    <w:rsid w:val="0042119C"/>
    <w:rsid w:val="00422605"/>
    <w:rsid w:val="00422DEA"/>
    <w:rsid w:val="004231B5"/>
    <w:rsid w:val="00423232"/>
    <w:rsid w:val="00424C9E"/>
    <w:rsid w:val="00424F8C"/>
    <w:rsid w:val="00425F92"/>
    <w:rsid w:val="00426275"/>
    <w:rsid w:val="004271BA"/>
    <w:rsid w:val="004273AD"/>
    <w:rsid w:val="00430497"/>
    <w:rsid w:val="004308E9"/>
    <w:rsid w:val="00430ACE"/>
    <w:rsid w:val="00430B87"/>
    <w:rsid w:val="00430EA5"/>
    <w:rsid w:val="00431111"/>
    <w:rsid w:val="0043132F"/>
    <w:rsid w:val="004320BE"/>
    <w:rsid w:val="00432888"/>
    <w:rsid w:val="00432BE1"/>
    <w:rsid w:val="00432D93"/>
    <w:rsid w:val="0043366B"/>
    <w:rsid w:val="00433672"/>
    <w:rsid w:val="00433E59"/>
    <w:rsid w:val="00433F18"/>
    <w:rsid w:val="00433F43"/>
    <w:rsid w:val="00433F63"/>
    <w:rsid w:val="00434382"/>
    <w:rsid w:val="00434DC1"/>
    <w:rsid w:val="00435031"/>
    <w:rsid w:val="004350F4"/>
    <w:rsid w:val="00435598"/>
    <w:rsid w:val="0043564B"/>
    <w:rsid w:val="00435A79"/>
    <w:rsid w:val="004362FC"/>
    <w:rsid w:val="004365DB"/>
    <w:rsid w:val="00436B4B"/>
    <w:rsid w:val="0044096C"/>
    <w:rsid w:val="00440CD0"/>
    <w:rsid w:val="004412A0"/>
    <w:rsid w:val="00441D76"/>
    <w:rsid w:val="00442337"/>
    <w:rsid w:val="004429A9"/>
    <w:rsid w:val="0044314B"/>
    <w:rsid w:val="004437DB"/>
    <w:rsid w:val="00443D62"/>
    <w:rsid w:val="00444F3A"/>
    <w:rsid w:val="004450B4"/>
    <w:rsid w:val="004450F3"/>
    <w:rsid w:val="00445C67"/>
    <w:rsid w:val="00446162"/>
    <w:rsid w:val="00446408"/>
    <w:rsid w:val="004464F5"/>
    <w:rsid w:val="00446A92"/>
    <w:rsid w:val="00450212"/>
    <w:rsid w:val="00450789"/>
    <w:rsid w:val="004509A8"/>
    <w:rsid w:val="00450AC7"/>
    <w:rsid w:val="00450D9C"/>
    <w:rsid w:val="00450F27"/>
    <w:rsid w:val="004510E5"/>
    <w:rsid w:val="00452750"/>
    <w:rsid w:val="00452F04"/>
    <w:rsid w:val="00453679"/>
    <w:rsid w:val="00454218"/>
    <w:rsid w:val="004542E7"/>
    <w:rsid w:val="00454D3E"/>
    <w:rsid w:val="004556ED"/>
    <w:rsid w:val="00455C33"/>
    <w:rsid w:val="0045634C"/>
    <w:rsid w:val="0045682F"/>
    <w:rsid w:val="00456994"/>
    <w:rsid w:val="00456A75"/>
    <w:rsid w:val="00457277"/>
    <w:rsid w:val="0046026C"/>
    <w:rsid w:val="00460A7B"/>
    <w:rsid w:val="00460F1B"/>
    <w:rsid w:val="00460FE2"/>
    <w:rsid w:val="004619DB"/>
    <w:rsid w:val="00461E39"/>
    <w:rsid w:val="00461FAC"/>
    <w:rsid w:val="00462D3A"/>
    <w:rsid w:val="0046324B"/>
    <w:rsid w:val="004634FE"/>
    <w:rsid w:val="00463521"/>
    <w:rsid w:val="0046356B"/>
    <w:rsid w:val="00463EC5"/>
    <w:rsid w:val="004642AE"/>
    <w:rsid w:val="0046490D"/>
    <w:rsid w:val="0046506B"/>
    <w:rsid w:val="00471125"/>
    <w:rsid w:val="00471BCD"/>
    <w:rsid w:val="00472268"/>
    <w:rsid w:val="00474118"/>
    <w:rsid w:val="0047437A"/>
    <w:rsid w:val="0047463B"/>
    <w:rsid w:val="00474F04"/>
    <w:rsid w:val="00475295"/>
    <w:rsid w:val="004753F2"/>
    <w:rsid w:val="00475618"/>
    <w:rsid w:val="00475BE0"/>
    <w:rsid w:val="00480E42"/>
    <w:rsid w:val="00481DD8"/>
    <w:rsid w:val="00482724"/>
    <w:rsid w:val="00482829"/>
    <w:rsid w:val="004844DC"/>
    <w:rsid w:val="00484C5D"/>
    <w:rsid w:val="00484DD1"/>
    <w:rsid w:val="00484DF0"/>
    <w:rsid w:val="00485375"/>
    <w:rsid w:val="0048543E"/>
    <w:rsid w:val="0048556F"/>
    <w:rsid w:val="004857F0"/>
    <w:rsid w:val="00485AA9"/>
    <w:rsid w:val="004868C1"/>
    <w:rsid w:val="00486A3A"/>
    <w:rsid w:val="00486C53"/>
    <w:rsid w:val="00487277"/>
    <w:rsid w:val="00487322"/>
    <w:rsid w:val="0048750F"/>
    <w:rsid w:val="00492C48"/>
    <w:rsid w:val="00493BAC"/>
    <w:rsid w:val="0049465A"/>
    <w:rsid w:val="0049474F"/>
    <w:rsid w:val="004950F9"/>
    <w:rsid w:val="004957B5"/>
    <w:rsid w:val="00495EB9"/>
    <w:rsid w:val="00496324"/>
    <w:rsid w:val="00496C2E"/>
    <w:rsid w:val="00496F03"/>
    <w:rsid w:val="004A0068"/>
    <w:rsid w:val="004A0CFF"/>
    <w:rsid w:val="004A17E9"/>
    <w:rsid w:val="004A2E4A"/>
    <w:rsid w:val="004A3061"/>
    <w:rsid w:val="004A3954"/>
    <w:rsid w:val="004A4502"/>
    <w:rsid w:val="004A495F"/>
    <w:rsid w:val="004A5373"/>
    <w:rsid w:val="004A5483"/>
    <w:rsid w:val="004A5577"/>
    <w:rsid w:val="004A5DD7"/>
    <w:rsid w:val="004A68BA"/>
    <w:rsid w:val="004A6F38"/>
    <w:rsid w:val="004A7544"/>
    <w:rsid w:val="004A79AD"/>
    <w:rsid w:val="004A7C35"/>
    <w:rsid w:val="004B015C"/>
    <w:rsid w:val="004B159A"/>
    <w:rsid w:val="004B1D71"/>
    <w:rsid w:val="004B1FEC"/>
    <w:rsid w:val="004B21FA"/>
    <w:rsid w:val="004B2820"/>
    <w:rsid w:val="004B451E"/>
    <w:rsid w:val="004B56EB"/>
    <w:rsid w:val="004B63CA"/>
    <w:rsid w:val="004B6B0F"/>
    <w:rsid w:val="004B6D00"/>
    <w:rsid w:val="004B6FC9"/>
    <w:rsid w:val="004B7DA7"/>
    <w:rsid w:val="004C00B7"/>
    <w:rsid w:val="004C13BC"/>
    <w:rsid w:val="004C15FB"/>
    <w:rsid w:val="004C187C"/>
    <w:rsid w:val="004C1F3B"/>
    <w:rsid w:val="004C327B"/>
    <w:rsid w:val="004C33AD"/>
    <w:rsid w:val="004C3C40"/>
    <w:rsid w:val="004C54E5"/>
    <w:rsid w:val="004C6186"/>
    <w:rsid w:val="004C6E66"/>
    <w:rsid w:val="004C7A13"/>
    <w:rsid w:val="004C7C58"/>
    <w:rsid w:val="004C7DC8"/>
    <w:rsid w:val="004D0079"/>
    <w:rsid w:val="004D1265"/>
    <w:rsid w:val="004D1E1D"/>
    <w:rsid w:val="004D21B0"/>
    <w:rsid w:val="004D49CC"/>
    <w:rsid w:val="004D5D14"/>
    <w:rsid w:val="004D5DDC"/>
    <w:rsid w:val="004D639A"/>
    <w:rsid w:val="004D6DAD"/>
    <w:rsid w:val="004D7274"/>
    <w:rsid w:val="004D737D"/>
    <w:rsid w:val="004D7AFB"/>
    <w:rsid w:val="004E09C2"/>
    <w:rsid w:val="004E0B28"/>
    <w:rsid w:val="004E0CFD"/>
    <w:rsid w:val="004E1CA5"/>
    <w:rsid w:val="004E1DB7"/>
    <w:rsid w:val="004E2659"/>
    <w:rsid w:val="004E39EE"/>
    <w:rsid w:val="004E475C"/>
    <w:rsid w:val="004E47E5"/>
    <w:rsid w:val="004E56E0"/>
    <w:rsid w:val="004E6370"/>
    <w:rsid w:val="004E7329"/>
    <w:rsid w:val="004E7761"/>
    <w:rsid w:val="004E7AFA"/>
    <w:rsid w:val="004F00D2"/>
    <w:rsid w:val="004F0390"/>
    <w:rsid w:val="004F0497"/>
    <w:rsid w:val="004F0A9A"/>
    <w:rsid w:val="004F0C99"/>
    <w:rsid w:val="004F138A"/>
    <w:rsid w:val="004F21C6"/>
    <w:rsid w:val="004F2CB0"/>
    <w:rsid w:val="004F3357"/>
    <w:rsid w:val="004F4918"/>
    <w:rsid w:val="004F6428"/>
    <w:rsid w:val="004F6DC3"/>
    <w:rsid w:val="004F73FB"/>
    <w:rsid w:val="004F7ABD"/>
    <w:rsid w:val="00500AC9"/>
    <w:rsid w:val="00500EE9"/>
    <w:rsid w:val="005017F7"/>
    <w:rsid w:val="00501FA7"/>
    <w:rsid w:val="005023FC"/>
    <w:rsid w:val="005027A6"/>
    <w:rsid w:val="00502D7C"/>
    <w:rsid w:val="00502FC3"/>
    <w:rsid w:val="005034DC"/>
    <w:rsid w:val="005047AB"/>
    <w:rsid w:val="005047D7"/>
    <w:rsid w:val="00504AE6"/>
    <w:rsid w:val="00504FFB"/>
    <w:rsid w:val="00505BFA"/>
    <w:rsid w:val="00506034"/>
    <w:rsid w:val="005071B4"/>
    <w:rsid w:val="005072BD"/>
    <w:rsid w:val="0050747A"/>
    <w:rsid w:val="005075EB"/>
    <w:rsid w:val="00507687"/>
    <w:rsid w:val="005101D8"/>
    <w:rsid w:val="005105E1"/>
    <w:rsid w:val="00510967"/>
    <w:rsid w:val="005117A9"/>
    <w:rsid w:val="00511C38"/>
    <w:rsid w:val="00511CE8"/>
    <w:rsid w:val="00511F57"/>
    <w:rsid w:val="005150A3"/>
    <w:rsid w:val="005159E1"/>
    <w:rsid w:val="00515BA0"/>
    <w:rsid w:val="00515CBE"/>
    <w:rsid w:val="00515E2B"/>
    <w:rsid w:val="00515F5E"/>
    <w:rsid w:val="0051602D"/>
    <w:rsid w:val="00516632"/>
    <w:rsid w:val="00516C53"/>
    <w:rsid w:val="00517C68"/>
    <w:rsid w:val="00517D69"/>
    <w:rsid w:val="005201FE"/>
    <w:rsid w:val="005216B7"/>
    <w:rsid w:val="00522294"/>
    <w:rsid w:val="00522A7E"/>
    <w:rsid w:val="00522DB9"/>
    <w:rsid w:val="00522F20"/>
    <w:rsid w:val="0052334D"/>
    <w:rsid w:val="00523AB5"/>
    <w:rsid w:val="00524B0F"/>
    <w:rsid w:val="0052521E"/>
    <w:rsid w:val="00525841"/>
    <w:rsid w:val="00526AB7"/>
    <w:rsid w:val="0052729C"/>
    <w:rsid w:val="005304EC"/>
    <w:rsid w:val="005306E8"/>
    <w:rsid w:val="005308DB"/>
    <w:rsid w:val="00530A2E"/>
    <w:rsid w:val="00530FBE"/>
    <w:rsid w:val="0053109B"/>
    <w:rsid w:val="00531537"/>
    <w:rsid w:val="00531642"/>
    <w:rsid w:val="00532BD8"/>
    <w:rsid w:val="00533159"/>
    <w:rsid w:val="005339DB"/>
    <w:rsid w:val="00534C89"/>
    <w:rsid w:val="00535134"/>
    <w:rsid w:val="00541573"/>
    <w:rsid w:val="00542AFB"/>
    <w:rsid w:val="0054348A"/>
    <w:rsid w:val="005444EF"/>
    <w:rsid w:val="0054516F"/>
    <w:rsid w:val="00545934"/>
    <w:rsid w:val="0054626D"/>
    <w:rsid w:val="00546F20"/>
    <w:rsid w:val="00547CA5"/>
    <w:rsid w:val="00550C52"/>
    <w:rsid w:val="0055137B"/>
    <w:rsid w:val="00551A35"/>
    <w:rsid w:val="00551E62"/>
    <w:rsid w:val="00552A95"/>
    <w:rsid w:val="005535B3"/>
    <w:rsid w:val="00554550"/>
    <w:rsid w:val="005548BE"/>
    <w:rsid w:val="005554B5"/>
    <w:rsid w:val="0055736F"/>
    <w:rsid w:val="00557BCE"/>
    <w:rsid w:val="005614C6"/>
    <w:rsid w:val="0056167F"/>
    <w:rsid w:val="00564D76"/>
    <w:rsid w:val="0056526A"/>
    <w:rsid w:val="005660CC"/>
    <w:rsid w:val="0056617D"/>
    <w:rsid w:val="00566235"/>
    <w:rsid w:val="005664FE"/>
    <w:rsid w:val="0057001A"/>
    <w:rsid w:val="005700AD"/>
    <w:rsid w:val="0057050F"/>
    <w:rsid w:val="00570655"/>
    <w:rsid w:val="00570700"/>
    <w:rsid w:val="005708FA"/>
    <w:rsid w:val="005709A7"/>
    <w:rsid w:val="00570B2A"/>
    <w:rsid w:val="00571245"/>
    <w:rsid w:val="00571777"/>
    <w:rsid w:val="00571B27"/>
    <w:rsid w:val="00572746"/>
    <w:rsid w:val="00573152"/>
    <w:rsid w:val="005739B0"/>
    <w:rsid w:val="00574CB5"/>
    <w:rsid w:val="00574D7F"/>
    <w:rsid w:val="00574F23"/>
    <w:rsid w:val="00575499"/>
    <w:rsid w:val="00577336"/>
    <w:rsid w:val="0057738B"/>
    <w:rsid w:val="00580FF5"/>
    <w:rsid w:val="0058165E"/>
    <w:rsid w:val="005819EF"/>
    <w:rsid w:val="005823E8"/>
    <w:rsid w:val="00583D80"/>
    <w:rsid w:val="005848F8"/>
    <w:rsid w:val="0058519C"/>
    <w:rsid w:val="00586124"/>
    <w:rsid w:val="0058682B"/>
    <w:rsid w:val="00586A24"/>
    <w:rsid w:val="00586D34"/>
    <w:rsid w:val="0058724F"/>
    <w:rsid w:val="00587612"/>
    <w:rsid w:val="005876AF"/>
    <w:rsid w:val="0059018F"/>
    <w:rsid w:val="00590A82"/>
    <w:rsid w:val="00590EC5"/>
    <w:rsid w:val="00590F61"/>
    <w:rsid w:val="0059149A"/>
    <w:rsid w:val="00591E14"/>
    <w:rsid w:val="00592B40"/>
    <w:rsid w:val="005936E2"/>
    <w:rsid w:val="005949D1"/>
    <w:rsid w:val="00594D4F"/>
    <w:rsid w:val="00594D8E"/>
    <w:rsid w:val="005956EE"/>
    <w:rsid w:val="00595833"/>
    <w:rsid w:val="005A083E"/>
    <w:rsid w:val="005A1064"/>
    <w:rsid w:val="005A1CA7"/>
    <w:rsid w:val="005A2945"/>
    <w:rsid w:val="005A3168"/>
    <w:rsid w:val="005A4929"/>
    <w:rsid w:val="005A5471"/>
    <w:rsid w:val="005A5625"/>
    <w:rsid w:val="005B025B"/>
    <w:rsid w:val="005B0DD5"/>
    <w:rsid w:val="005B2A12"/>
    <w:rsid w:val="005B362A"/>
    <w:rsid w:val="005B3F48"/>
    <w:rsid w:val="005B412D"/>
    <w:rsid w:val="005B4802"/>
    <w:rsid w:val="005B4A93"/>
    <w:rsid w:val="005B4DFE"/>
    <w:rsid w:val="005B5254"/>
    <w:rsid w:val="005B7860"/>
    <w:rsid w:val="005C111F"/>
    <w:rsid w:val="005C1EA6"/>
    <w:rsid w:val="005C282C"/>
    <w:rsid w:val="005C2F8F"/>
    <w:rsid w:val="005C3714"/>
    <w:rsid w:val="005C3ED2"/>
    <w:rsid w:val="005C42D1"/>
    <w:rsid w:val="005C4BD3"/>
    <w:rsid w:val="005C50AC"/>
    <w:rsid w:val="005C5955"/>
    <w:rsid w:val="005C6BE0"/>
    <w:rsid w:val="005C715D"/>
    <w:rsid w:val="005C7B74"/>
    <w:rsid w:val="005D0B99"/>
    <w:rsid w:val="005D1290"/>
    <w:rsid w:val="005D2310"/>
    <w:rsid w:val="005D23C4"/>
    <w:rsid w:val="005D308E"/>
    <w:rsid w:val="005D363F"/>
    <w:rsid w:val="005D3A48"/>
    <w:rsid w:val="005D4D13"/>
    <w:rsid w:val="005D4F71"/>
    <w:rsid w:val="005D505A"/>
    <w:rsid w:val="005D50B8"/>
    <w:rsid w:val="005D67FB"/>
    <w:rsid w:val="005D7648"/>
    <w:rsid w:val="005D7AF8"/>
    <w:rsid w:val="005D7EB9"/>
    <w:rsid w:val="005E17BF"/>
    <w:rsid w:val="005E228E"/>
    <w:rsid w:val="005E310E"/>
    <w:rsid w:val="005E366A"/>
    <w:rsid w:val="005E3924"/>
    <w:rsid w:val="005E39CA"/>
    <w:rsid w:val="005E5661"/>
    <w:rsid w:val="005E6183"/>
    <w:rsid w:val="005E789E"/>
    <w:rsid w:val="005F0D23"/>
    <w:rsid w:val="005F2145"/>
    <w:rsid w:val="005F2A55"/>
    <w:rsid w:val="005F2B04"/>
    <w:rsid w:val="005F3277"/>
    <w:rsid w:val="005F32AE"/>
    <w:rsid w:val="005F39C3"/>
    <w:rsid w:val="005F3F20"/>
    <w:rsid w:val="005F4382"/>
    <w:rsid w:val="005F4777"/>
    <w:rsid w:val="005F4BDE"/>
    <w:rsid w:val="005F50C5"/>
    <w:rsid w:val="005F5192"/>
    <w:rsid w:val="005F5F3D"/>
    <w:rsid w:val="00600030"/>
    <w:rsid w:val="006016E1"/>
    <w:rsid w:val="00601AF6"/>
    <w:rsid w:val="0060236E"/>
    <w:rsid w:val="00602D27"/>
    <w:rsid w:val="006033B0"/>
    <w:rsid w:val="00603938"/>
    <w:rsid w:val="00603A4A"/>
    <w:rsid w:val="00604721"/>
    <w:rsid w:val="00604AD4"/>
    <w:rsid w:val="0060569F"/>
    <w:rsid w:val="006068A5"/>
    <w:rsid w:val="006071FA"/>
    <w:rsid w:val="00610A5E"/>
    <w:rsid w:val="00611C89"/>
    <w:rsid w:val="00612C1E"/>
    <w:rsid w:val="00613343"/>
    <w:rsid w:val="006134F2"/>
    <w:rsid w:val="00613E45"/>
    <w:rsid w:val="006144A1"/>
    <w:rsid w:val="00614CF3"/>
    <w:rsid w:val="00615EBB"/>
    <w:rsid w:val="00616096"/>
    <w:rsid w:val="006160A2"/>
    <w:rsid w:val="0061681B"/>
    <w:rsid w:val="00616BD0"/>
    <w:rsid w:val="006172AF"/>
    <w:rsid w:val="00617B85"/>
    <w:rsid w:val="00621245"/>
    <w:rsid w:val="006226D7"/>
    <w:rsid w:val="006235B0"/>
    <w:rsid w:val="00623A68"/>
    <w:rsid w:val="00624A79"/>
    <w:rsid w:val="006302AA"/>
    <w:rsid w:val="006318FF"/>
    <w:rsid w:val="00632986"/>
    <w:rsid w:val="00633D7A"/>
    <w:rsid w:val="00634937"/>
    <w:rsid w:val="00634F4D"/>
    <w:rsid w:val="0063517E"/>
    <w:rsid w:val="00635734"/>
    <w:rsid w:val="006363BD"/>
    <w:rsid w:val="00636529"/>
    <w:rsid w:val="006367DF"/>
    <w:rsid w:val="00637F5C"/>
    <w:rsid w:val="006412DC"/>
    <w:rsid w:val="006418C7"/>
    <w:rsid w:val="00641EFD"/>
    <w:rsid w:val="006420FD"/>
    <w:rsid w:val="00642BC6"/>
    <w:rsid w:val="006446AB"/>
    <w:rsid w:val="00644790"/>
    <w:rsid w:val="00644EAC"/>
    <w:rsid w:val="00645062"/>
    <w:rsid w:val="00645FD4"/>
    <w:rsid w:val="006466FD"/>
    <w:rsid w:val="00646F3B"/>
    <w:rsid w:val="00647087"/>
    <w:rsid w:val="0064749B"/>
    <w:rsid w:val="006475EA"/>
    <w:rsid w:val="00647A82"/>
    <w:rsid w:val="006501AF"/>
    <w:rsid w:val="0065020E"/>
    <w:rsid w:val="00650DDE"/>
    <w:rsid w:val="00651521"/>
    <w:rsid w:val="00653BCF"/>
    <w:rsid w:val="006543BF"/>
    <w:rsid w:val="00654EF2"/>
    <w:rsid w:val="0065505B"/>
    <w:rsid w:val="006551EB"/>
    <w:rsid w:val="006554FC"/>
    <w:rsid w:val="006566E5"/>
    <w:rsid w:val="00660900"/>
    <w:rsid w:val="00660CDE"/>
    <w:rsid w:val="00661125"/>
    <w:rsid w:val="00662F0E"/>
    <w:rsid w:val="00666737"/>
    <w:rsid w:val="006670AC"/>
    <w:rsid w:val="0066769F"/>
    <w:rsid w:val="0067000B"/>
    <w:rsid w:val="00670273"/>
    <w:rsid w:val="00670E2E"/>
    <w:rsid w:val="006711F7"/>
    <w:rsid w:val="00672307"/>
    <w:rsid w:val="0067373B"/>
    <w:rsid w:val="0067424C"/>
    <w:rsid w:val="006754C0"/>
    <w:rsid w:val="00675863"/>
    <w:rsid w:val="0067603E"/>
    <w:rsid w:val="00676976"/>
    <w:rsid w:val="006769F1"/>
    <w:rsid w:val="006771FC"/>
    <w:rsid w:val="00677D4A"/>
    <w:rsid w:val="006808C6"/>
    <w:rsid w:val="00680C04"/>
    <w:rsid w:val="00681A70"/>
    <w:rsid w:val="00681E71"/>
    <w:rsid w:val="00682668"/>
    <w:rsid w:val="00682BCA"/>
    <w:rsid w:val="00682F78"/>
    <w:rsid w:val="00683917"/>
    <w:rsid w:val="00683BF1"/>
    <w:rsid w:val="0068523B"/>
    <w:rsid w:val="00685C9C"/>
    <w:rsid w:val="00685FFD"/>
    <w:rsid w:val="00686E53"/>
    <w:rsid w:val="00686EB2"/>
    <w:rsid w:val="006873C6"/>
    <w:rsid w:val="006900CF"/>
    <w:rsid w:val="00690A7E"/>
    <w:rsid w:val="0069101D"/>
    <w:rsid w:val="00691944"/>
    <w:rsid w:val="00692A68"/>
    <w:rsid w:val="00693452"/>
    <w:rsid w:val="00693D46"/>
    <w:rsid w:val="00693E0F"/>
    <w:rsid w:val="006942A8"/>
    <w:rsid w:val="00694B5A"/>
    <w:rsid w:val="00695D85"/>
    <w:rsid w:val="00695E2A"/>
    <w:rsid w:val="00696DFD"/>
    <w:rsid w:val="006977D1"/>
    <w:rsid w:val="00697893"/>
    <w:rsid w:val="006A042F"/>
    <w:rsid w:val="006A0DA6"/>
    <w:rsid w:val="006A0ECF"/>
    <w:rsid w:val="006A1A6A"/>
    <w:rsid w:val="006A2D4D"/>
    <w:rsid w:val="006A30A2"/>
    <w:rsid w:val="006A310C"/>
    <w:rsid w:val="006A48B5"/>
    <w:rsid w:val="006A5693"/>
    <w:rsid w:val="006A588C"/>
    <w:rsid w:val="006A6637"/>
    <w:rsid w:val="006A676C"/>
    <w:rsid w:val="006A6D23"/>
    <w:rsid w:val="006A7195"/>
    <w:rsid w:val="006A79C4"/>
    <w:rsid w:val="006A7A89"/>
    <w:rsid w:val="006A7E7E"/>
    <w:rsid w:val="006B12F5"/>
    <w:rsid w:val="006B1B63"/>
    <w:rsid w:val="006B25DE"/>
    <w:rsid w:val="006B5CD1"/>
    <w:rsid w:val="006B753F"/>
    <w:rsid w:val="006B7788"/>
    <w:rsid w:val="006C0B77"/>
    <w:rsid w:val="006C1C3B"/>
    <w:rsid w:val="006C2486"/>
    <w:rsid w:val="006C2979"/>
    <w:rsid w:val="006C2C9A"/>
    <w:rsid w:val="006C3101"/>
    <w:rsid w:val="006C36B7"/>
    <w:rsid w:val="006C4672"/>
    <w:rsid w:val="006C4E0B"/>
    <w:rsid w:val="006C4E43"/>
    <w:rsid w:val="006C5C91"/>
    <w:rsid w:val="006C6206"/>
    <w:rsid w:val="006C643E"/>
    <w:rsid w:val="006C7085"/>
    <w:rsid w:val="006D034F"/>
    <w:rsid w:val="006D0BAD"/>
    <w:rsid w:val="006D0DBE"/>
    <w:rsid w:val="006D1D61"/>
    <w:rsid w:val="006D2932"/>
    <w:rsid w:val="006D33C8"/>
    <w:rsid w:val="006D3671"/>
    <w:rsid w:val="006D36EA"/>
    <w:rsid w:val="006D3925"/>
    <w:rsid w:val="006D4176"/>
    <w:rsid w:val="006D62B5"/>
    <w:rsid w:val="006D75A6"/>
    <w:rsid w:val="006E066D"/>
    <w:rsid w:val="006E0A32"/>
    <w:rsid w:val="006E0A73"/>
    <w:rsid w:val="006E0FEE"/>
    <w:rsid w:val="006E1652"/>
    <w:rsid w:val="006E1E5F"/>
    <w:rsid w:val="006E2341"/>
    <w:rsid w:val="006E28C0"/>
    <w:rsid w:val="006E3B78"/>
    <w:rsid w:val="006E501E"/>
    <w:rsid w:val="006E6C11"/>
    <w:rsid w:val="006E6C91"/>
    <w:rsid w:val="006F0160"/>
    <w:rsid w:val="006F1AD4"/>
    <w:rsid w:val="006F2683"/>
    <w:rsid w:val="006F2732"/>
    <w:rsid w:val="006F372C"/>
    <w:rsid w:val="006F3CDA"/>
    <w:rsid w:val="006F580B"/>
    <w:rsid w:val="006F5AD5"/>
    <w:rsid w:val="006F5B58"/>
    <w:rsid w:val="006F5C2D"/>
    <w:rsid w:val="006F5FCF"/>
    <w:rsid w:val="006F6998"/>
    <w:rsid w:val="006F75E9"/>
    <w:rsid w:val="006F7C0C"/>
    <w:rsid w:val="00700755"/>
    <w:rsid w:val="0070076F"/>
    <w:rsid w:val="007010AD"/>
    <w:rsid w:val="00703899"/>
    <w:rsid w:val="00704ABE"/>
    <w:rsid w:val="007055D4"/>
    <w:rsid w:val="00705720"/>
    <w:rsid w:val="00705ABC"/>
    <w:rsid w:val="0070646B"/>
    <w:rsid w:val="0070692B"/>
    <w:rsid w:val="00707434"/>
    <w:rsid w:val="00710AE8"/>
    <w:rsid w:val="007114C4"/>
    <w:rsid w:val="00712220"/>
    <w:rsid w:val="007126FA"/>
    <w:rsid w:val="007130A2"/>
    <w:rsid w:val="00713173"/>
    <w:rsid w:val="00713BA9"/>
    <w:rsid w:val="00714ABC"/>
    <w:rsid w:val="00715042"/>
    <w:rsid w:val="007151D2"/>
    <w:rsid w:val="007152F4"/>
    <w:rsid w:val="00715463"/>
    <w:rsid w:val="00715F9A"/>
    <w:rsid w:val="0071634C"/>
    <w:rsid w:val="0071742C"/>
    <w:rsid w:val="00717B58"/>
    <w:rsid w:val="00721810"/>
    <w:rsid w:val="00723025"/>
    <w:rsid w:val="00723CD7"/>
    <w:rsid w:val="00725FBA"/>
    <w:rsid w:val="00726222"/>
    <w:rsid w:val="007302A1"/>
    <w:rsid w:val="00730655"/>
    <w:rsid w:val="00730852"/>
    <w:rsid w:val="00731734"/>
    <w:rsid w:val="00731D77"/>
    <w:rsid w:val="0073212D"/>
    <w:rsid w:val="00732360"/>
    <w:rsid w:val="007329D7"/>
    <w:rsid w:val="00732B99"/>
    <w:rsid w:val="0073342A"/>
    <w:rsid w:val="0073390A"/>
    <w:rsid w:val="00734BE2"/>
    <w:rsid w:val="00734E64"/>
    <w:rsid w:val="00734FC9"/>
    <w:rsid w:val="007351D6"/>
    <w:rsid w:val="00736B37"/>
    <w:rsid w:val="00736FA0"/>
    <w:rsid w:val="0073717A"/>
    <w:rsid w:val="007374A3"/>
    <w:rsid w:val="00740A35"/>
    <w:rsid w:val="00741252"/>
    <w:rsid w:val="007418B9"/>
    <w:rsid w:val="00741C19"/>
    <w:rsid w:val="00741D97"/>
    <w:rsid w:val="00743CAC"/>
    <w:rsid w:val="0074699E"/>
    <w:rsid w:val="00747809"/>
    <w:rsid w:val="00747C9C"/>
    <w:rsid w:val="00751861"/>
    <w:rsid w:val="007520B4"/>
    <w:rsid w:val="00753D16"/>
    <w:rsid w:val="00754960"/>
    <w:rsid w:val="00754CD7"/>
    <w:rsid w:val="00754D65"/>
    <w:rsid w:val="00755189"/>
    <w:rsid w:val="00755DC2"/>
    <w:rsid w:val="00756E39"/>
    <w:rsid w:val="00756EB6"/>
    <w:rsid w:val="00760249"/>
    <w:rsid w:val="0076074C"/>
    <w:rsid w:val="007609D3"/>
    <w:rsid w:val="00760BDD"/>
    <w:rsid w:val="007624F6"/>
    <w:rsid w:val="0076268A"/>
    <w:rsid w:val="007655D5"/>
    <w:rsid w:val="00765F73"/>
    <w:rsid w:val="007664B5"/>
    <w:rsid w:val="0076674A"/>
    <w:rsid w:val="00767775"/>
    <w:rsid w:val="007678CD"/>
    <w:rsid w:val="00770531"/>
    <w:rsid w:val="007713BA"/>
    <w:rsid w:val="007722D3"/>
    <w:rsid w:val="00772FEB"/>
    <w:rsid w:val="00773C9F"/>
    <w:rsid w:val="00775794"/>
    <w:rsid w:val="007763C1"/>
    <w:rsid w:val="00776D7F"/>
    <w:rsid w:val="00777656"/>
    <w:rsid w:val="00777DD7"/>
    <w:rsid w:val="00777E82"/>
    <w:rsid w:val="0078103B"/>
    <w:rsid w:val="00781119"/>
    <w:rsid w:val="00781359"/>
    <w:rsid w:val="007814A7"/>
    <w:rsid w:val="007818A0"/>
    <w:rsid w:val="00782B63"/>
    <w:rsid w:val="0078636A"/>
    <w:rsid w:val="007867CA"/>
    <w:rsid w:val="00786921"/>
    <w:rsid w:val="00786B52"/>
    <w:rsid w:val="00786CCC"/>
    <w:rsid w:val="0079069A"/>
    <w:rsid w:val="007906EC"/>
    <w:rsid w:val="00790F41"/>
    <w:rsid w:val="007910B3"/>
    <w:rsid w:val="0079141C"/>
    <w:rsid w:val="00791AB5"/>
    <w:rsid w:val="0079204C"/>
    <w:rsid w:val="007920DA"/>
    <w:rsid w:val="007925AA"/>
    <w:rsid w:val="00792ED5"/>
    <w:rsid w:val="00793292"/>
    <w:rsid w:val="00793B30"/>
    <w:rsid w:val="007947CC"/>
    <w:rsid w:val="00794A53"/>
    <w:rsid w:val="00794E4A"/>
    <w:rsid w:val="00795380"/>
    <w:rsid w:val="00795840"/>
    <w:rsid w:val="00795A4B"/>
    <w:rsid w:val="00796324"/>
    <w:rsid w:val="0079633A"/>
    <w:rsid w:val="00797080"/>
    <w:rsid w:val="00797AB3"/>
    <w:rsid w:val="007A014E"/>
    <w:rsid w:val="007A1E11"/>
    <w:rsid w:val="007A1EAA"/>
    <w:rsid w:val="007A22CF"/>
    <w:rsid w:val="007A24CC"/>
    <w:rsid w:val="007A3140"/>
    <w:rsid w:val="007A3B6D"/>
    <w:rsid w:val="007A3FDD"/>
    <w:rsid w:val="007A40FB"/>
    <w:rsid w:val="007A4C6D"/>
    <w:rsid w:val="007A5A1B"/>
    <w:rsid w:val="007A5C6D"/>
    <w:rsid w:val="007A641C"/>
    <w:rsid w:val="007A6617"/>
    <w:rsid w:val="007A79FD"/>
    <w:rsid w:val="007A7A39"/>
    <w:rsid w:val="007B0B9D"/>
    <w:rsid w:val="007B0E07"/>
    <w:rsid w:val="007B16B1"/>
    <w:rsid w:val="007B1A75"/>
    <w:rsid w:val="007B220C"/>
    <w:rsid w:val="007B26E3"/>
    <w:rsid w:val="007B3BC0"/>
    <w:rsid w:val="007B40A9"/>
    <w:rsid w:val="007B5A43"/>
    <w:rsid w:val="007B709B"/>
    <w:rsid w:val="007B7407"/>
    <w:rsid w:val="007B7444"/>
    <w:rsid w:val="007B7FCD"/>
    <w:rsid w:val="007C0135"/>
    <w:rsid w:val="007C1343"/>
    <w:rsid w:val="007C43E8"/>
    <w:rsid w:val="007C452A"/>
    <w:rsid w:val="007C4CEF"/>
    <w:rsid w:val="007C5C97"/>
    <w:rsid w:val="007C5EF1"/>
    <w:rsid w:val="007C5F24"/>
    <w:rsid w:val="007C61FC"/>
    <w:rsid w:val="007C7BF5"/>
    <w:rsid w:val="007D1169"/>
    <w:rsid w:val="007D19B7"/>
    <w:rsid w:val="007D1B61"/>
    <w:rsid w:val="007D1F43"/>
    <w:rsid w:val="007D33DB"/>
    <w:rsid w:val="007D47C3"/>
    <w:rsid w:val="007D4DE9"/>
    <w:rsid w:val="007D4FD4"/>
    <w:rsid w:val="007D61D9"/>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42BE"/>
    <w:rsid w:val="007E47FF"/>
    <w:rsid w:val="007E58DA"/>
    <w:rsid w:val="007E6739"/>
    <w:rsid w:val="007E7062"/>
    <w:rsid w:val="007E7807"/>
    <w:rsid w:val="007E7C5B"/>
    <w:rsid w:val="007F0375"/>
    <w:rsid w:val="007F04FC"/>
    <w:rsid w:val="007F0E1E"/>
    <w:rsid w:val="007F0E2B"/>
    <w:rsid w:val="007F12DE"/>
    <w:rsid w:val="007F206B"/>
    <w:rsid w:val="007F24F1"/>
    <w:rsid w:val="007F29A7"/>
    <w:rsid w:val="007F430C"/>
    <w:rsid w:val="007F4803"/>
    <w:rsid w:val="007F49F4"/>
    <w:rsid w:val="007F57EA"/>
    <w:rsid w:val="007F597B"/>
    <w:rsid w:val="007F5F9A"/>
    <w:rsid w:val="007F63AD"/>
    <w:rsid w:val="007F6C24"/>
    <w:rsid w:val="007F7D8B"/>
    <w:rsid w:val="008004B4"/>
    <w:rsid w:val="0080083E"/>
    <w:rsid w:val="0080234F"/>
    <w:rsid w:val="008031CF"/>
    <w:rsid w:val="008032A3"/>
    <w:rsid w:val="008041D5"/>
    <w:rsid w:val="00805720"/>
    <w:rsid w:val="00805BE8"/>
    <w:rsid w:val="00810715"/>
    <w:rsid w:val="00811589"/>
    <w:rsid w:val="00811BE4"/>
    <w:rsid w:val="00812E55"/>
    <w:rsid w:val="00813353"/>
    <w:rsid w:val="0081345B"/>
    <w:rsid w:val="00813650"/>
    <w:rsid w:val="008138CA"/>
    <w:rsid w:val="008148D8"/>
    <w:rsid w:val="00814A99"/>
    <w:rsid w:val="0081563B"/>
    <w:rsid w:val="00816078"/>
    <w:rsid w:val="00816C95"/>
    <w:rsid w:val="00816E97"/>
    <w:rsid w:val="008177E3"/>
    <w:rsid w:val="008177EA"/>
    <w:rsid w:val="00820C85"/>
    <w:rsid w:val="00820C89"/>
    <w:rsid w:val="00820CE9"/>
    <w:rsid w:val="00820E6E"/>
    <w:rsid w:val="008218C8"/>
    <w:rsid w:val="00821D0E"/>
    <w:rsid w:val="0082264D"/>
    <w:rsid w:val="00822BA8"/>
    <w:rsid w:val="00823AA9"/>
    <w:rsid w:val="008240E8"/>
    <w:rsid w:val="008255B9"/>
    <w:rsid w:val="00825CD8"/>
    <w:rsid w:val="008262D6"/>
    <w:rsid w:val="00827324"/>
    <w:rsid w:val="00827C40"/>
    <w:rsid w:val="00831203"/>
    <w:rsid w:val="00831319"/>
    <w:rsid w:val="008313D5"/>
    <w:rsid w:val="00831747"/>
    <w:rsid w:val="0083192C"/>
    <w:rsid w:val="00832201"/>
    <w:rsid w:val="00832B82"/>
    <w:rsid w:val="0083351C"/>
    <w:rsid w:val="008355EA"/>
    <w:rsid w:val="00837458"/>
    <w:rsid w:val="00837AAE"/>
    <w:rsid w:val="00837F66"/>
    <w:rsid w:val="00841474"/>
    <w:rsid w:val="00842153"/>
    <w:rsid w:val="008425E0"/>
    <w:rsid w:val="00842930"/>
    <w:rsid w:val="008429AD"/>
    <w:rsid w:val="008429DB"/>
    <w:rsid w:val="0084302D"/>
    <w:rsid w:val="00844A01"/>
    <w:rsid w:val="00845ED3"/>
    <w:rsid w:val="008462E4"/>
    <w:rsid w:val="008462EC"/>
    <w:rsid w:val="00846382"/>
    <w:rsid w:val="00847E6D"/>
    <w:rsid w:val="00847EA6"/>
    <w:rsid w:val="00847F67"/>
    <w:rsid w:val="00847F92"/>
    <w:rsid w:val="008509F4"/>
    <w:rsid w:val="00850B1E"/>
    <w:rsid w:val="00850C75"/>
    <w:rsid w:val="00850E39"/>
    <w:rsid w:val="00851D07"/>
    <w:rsid w:val="00852552"/>
    <w:rsid w:val="0085312B"/>
    <w:rsid w:val="00853B90"/>
    <w:rsid w:val="00854093"/>
    <w:rsid w:val="0085477A"/>
    <w:rsid w:val="00854D03"/>
    <w:rsid w:val="00854ECE"/>
    <w:rsid w:val="00855107"/>
    <w:rsid w:val="00855173"/>
    <w:rsid w:val="008557D9"/>
    <w:rsid w:val="00855BF7"/>
    <w:rsid w:val="00856214"/>
    <w:rsid w:val="00857523"/>
    <w:rsid w:val="0085753E"/>
    <w:rsid w:val="0085779F"/>
    <w:rsid w:val="00860B81"/>
    <w:rsid w:val="00860F1C"/>
    <w:rsid w:val="00861824"/>
    <w:rsid w:val="00861AEF"/>
    <w:rsid w:val="00862089"/>
    <w:rsid w:val="008625C4"/>
    <w:rsid w:val="0086298F"/>
    <w:rsid w:val="00863D3A"/>
    <w:rsid w:val="0086521F"/>
    <w:rsid w:val="008652EB"/>
    <w:rsid w:val="008657A8"/>
    <w:rsid w:val="00865D5D"/>
    <w:rsid w:val="00866D5B"/>
    <w:rsid w:val="00866FF5"/>
    <w:rsid w:val="008703F2"/>
    <w:rsid w:val="00870D72"/>
    <w:rsid w:val="0087129D"/>
    <w:rsid w:val="008713DA"/>
    <w:rsid w:val="00871689"/>
    <w:rsid w:val="00871DE6"/>
    <w:rsid w:val="00872071"/>
    <w:rsid w:val="0087214A"/>
    <w:rsid w:val="008721A4"/>
    <w:rsid w:val="008721D4"/>
    <w:rsid w:val="0087332D"/>
    <w:rsid w:val="00873E1F"/>
    <w:rsid w:val="00874C16"/>
    <w:rsid w:val="00874CA0"/>
    <w:rsid w:val="00874E7D"/>
    <w:rsid w:val="0087652E"/>
    <w:rsid w:val="00876B98"/>
    <w:rsid w:val="00876D16"/>
    <w:rsid w:val="00877BC6"/>
    <w:rsid w:val="008811C1"/>
    <w:rsid w:val="00881542"/>
    <w:rsid w:val="00881A21"/>
    <w:rsid w:val="00881D8D"/>
    <w:rsid w:val="00882982"/>
    <w:rsid w:val="008837C0"/>
    <w:rsid w:val="008846DF"/>
    <w:rsid w:val="00885114"/>
    <w:rsid w:val="008860FE"/>
    <w:rsid w:val="00886D1F"/>
    <w:rsid w:val="00887AA9"/>
    <w:rsid w:val="0089008B"/>
    <w:rsid w:val="008910C3"/>
    <w:rsid w:val="00891EE1"/>
    <w:rsid w:val="00893987"/>
    <w:rsid w:val="00893F14"/>
    <w:rsid w:val="00894CF5"/>
    <w:rsid w:val="00894E9C"/>
    <w:rsid w:val="00895C20"/>
    <w:rsid w:val="008963EF"/>
    <w:rsid w:val="0089688E"/>
    <w:rsid w:val="008A0414"/>
    <w:rsid w:val="008A05E4"/>
    <w:rsid w:val="008A0A3C"/>
    <w:rsid w:val="008A1988"/>
    <w:rsid w:val="008A1C80"/>
    <w:rsid w:val="008A1FBE"/>
    <w:rsid w:val="008A3354"/>
    <w:rsid w:val="008A3C49"/>
    <w:rsid w:val="008A401A"/>
    <w:rsid w:val="008A42D3"/>
    <w:rsid w:val="008A444B"/>
    <w:rsid w:val="008A48E2"/>
    <w:rsid w:val="008A6731"/>
    <w:rsid w:val="008A71CB"/>
    <w:rsid w:val="008A7267"/>
    <w:rsid w:val="008A7737"/>
    <w:rsid w:val="008A7806"/>
    <w:rsid w:val="008A7A79"/>
    <w:rsid w:val="008B03F2"/>
    <w:rsid w:val="008B093F"/>
    <w:rsid w:val="008B3194"/>
    <w:rsid w:val="008B446A"/>
    <w:rsid w:val="008B4506"/>
    <w:rsid w:val="008B5AE7"/>
    <w:rsid w:val="008B5E43"/>
    <w:rsid w:val="008B5EB3"/>
    <w:rsid w:val="008B618D"/>
    <w:rsid w:val="008C0330"/>
    <w:rsid w:val="008C178F"/>
    <w:rsid w:val="008C27FB"/>
    <w:rsid w:val="008C288E"/>
    <w:rsid w:val="008C3304"/>
    <w:rsid w:val="008C428D"/>
    <w:rsid w:val="008C4C14"/>
    <w:rsid w:val="008C5375"/>
    <w:rsid w:val="008C60E9"/>
    <w:rsid w:val="008C73C5"/>
    <w:rsid w:val="008C792E"/>
    <w:rsid w:val="008C7B05"/>
    <w:rsid w:val="008D0442"/>
    <w:rsid w:val="008D07C1"/>
    <w:rsid w:val="008D0C2A"/>
    <w:rsid w:val="008D0C70"/>
    <w:rsid w:val="008D141E"/>
    <w:rsid w:val="008D1B7C"/>
    <w:rsid w:val="008D2919"/>
    <w:rsid w:val="008D3035"/>
    <w:rsid w:val="008D3DF5"/>
    <w:rsid w:val="008D5922"/>
    <w:rsid w:val="008D5980"/>
    <w:rsid w:val="008D6657"/>
    <w:rsid w:val="008D70C6"/>
    <w:rsid w:val="008D79B6"/>
    <w:rsid w:val="008D7F95"/>
    <w:rsid w:val="008E1281"/>
    <w:rsid w:val="008E1F60"/>
    <w:rsid w:val="008E21A6"/>
    <w:rsid w:val="008E25B6"/>
    <w:rsid w:val="008E307E"/>
    <w:rsid w:val="008E3F58"/>
    <w:rsid w:val="008E4A66"/>
    <w:rsid w:val="008E4EE3"/>
    <w:rsid w:val="008E5A5B"/>
    <w:rsid w:val="008E6119"/>
    <w:rsid w:val="008E7AB0"/>
    <w:rsid w:val="008F0F2A"/>
    <w:rsid w:val="008F129C"/>
    <w:rsid w:val="008F1AB1"/>
    <w:rsid w:val="008F1E75"/>
    <w:rsid w:val="008F279D"/>
    <w:rsid w:val="008F4DD1"/>
    <w:rsid w:val="008F5D74"/>
    <w:rsid w:val="008F5DDB"/>
    <w:rsid w:val="008F6056"/>
    <w:rsid w:val="008F6AA2"/>
    <w:rsid w:val="008F6AD1"/>
    <w:rsid w:val="008F7F99"/>
    <w:rsid w:val="009018CB"/>
    <w:rsid w:val="00901D8E"/>
    <w:rsid w:val="00902C07"/>
    <w:rsid w:val="00903FD3"/>
    <w:rsid w:val="00905492"/>
    <w:rsid w:val="00905804"/>
    <w:rsid w:val="00905A61"/>
    <w:rsid w:val="00905A6B"/>
    <w:rsid w:val="00907628"/>
    <w:rsid w:val="009076A7"/>
    <w:rsid w:val="009101E2"/>
    <w:rsid w:val="009107A9"/>
    <w:rsid w:val="00910918"/>
    <w:rsid w:val="00910C0D"/>
    <w:rsid w:val="00911459"/>
    <w:rsid w:val="009118AB"/>
    <w:rsid w:val="00913153"/>
    <w:rsid w:val="00913787"/>
    <w:rsid w:val="00915D73"/>
    <w:rsid w:val="00915E78"/>
    <w:rsid w:val="00916077"/>
    <w:rsid w:val="009163AA"/>
    <w:rsid w:val="00916B13"/>
    <w:rsid w:val="009170A2"/>
    <w:rsid w:val="009208A6"/>
    <w:rsid w:val="0092126A"/>
    <w:rsid w:val="0092160A"/>
    <w:rsid w:val="00923B94"/>
    <w:rsid w:val="009240A0"/>
    <w:rsid w:val="00924494"/>
    <w:rsid w:val="00924514"/>
    <w:rsid w:val="00924C3C"/>
    <w:rsid w:val="00926033"/>
    <w:rsid w:val="009270EB"/>
    <w:rsid w:val="00927316"/>
    <w:rsid w:val="00930157"/>
    <w:rsid w:val="00930C48"/>
    <w:rsid w:val="00930E6B"/>
    <w:rsid w:val="0093121E"/>
    <w:rsid w:val="0093133D"/>
    <w:rsid w:val="0093139B"/>
    <w:rsid w:val="00931664"/>
    <w:rsid w:val="00931F02"/>
    <w:rsid w:val="0093276D"/>
    <w:rsid w:val="00933018"/>
    <w:rsid w:val="00933037"/>
    <w:rsid w:val="00933208"/>
    <w:rsid w:val="00933B92"/>
    <w:rsid w:val="00933D12"/>
    <w:rsid w:val="00933E0D"/>
    <w:rsid w:val="00934D96"/>
    <w:rsid w:val="0093576D"/>
    <w:rsid w:val="00935813"/>
    <w:rsid w:val="009359E7"/>
    <w:rsid w:val="00935C3A"/>
    <w:rsid w:val="00935DCF"/>
    <w:rsid w:val="00936140"/>
    <w:rsid w:val="0093638F"/>
    <w:rsid w:val="00936ED2"/>
    <w:rsid w:val="00936FE3"/>
    <w:rsid w:val="00937065"/>
    <w:rsid w:val="009370AF"/>
    <w:rsid w:val="00937553"/>
    <w:rsid w:val="00940285"/>
    <w:rsid w:val="009415B0"/>
    <w:rsid w:val="009419FD"/>
    <w:rsid w:val="0094207D"/>
    <w:rsid w:val="009420E5"/>
    <w:rsid w:val="00942C7F"/>
    <w:rsid w:val="0094330C"/>
    <w:rsid w:val="00944969"/>
    <w:rsid w:val="00944D4B"/>
    <w:rsid w:val="00945383"/>
    <w:rsid w:val="009456C4"/>
    <w:rsid w:val="009457E2"/>
    <w:rsid w:val="00947B39"/>
    <w:rsid w:val="00947E7E"/>
    <w:rsid w:val="009509AA"/>
    <w:rsid w:val="0095139A"/>
    <w:rsid w:val="009524F9"/>
    <w:rsid w:val="009530EC"/>
    <w:rsid w:val="00953E16"/>
    <w:rsid w:val="00953EF9"/>
    <w:rsid w:val="009542AC"/>
    <w:rsid w:val="00954F01"/>
    <w:rsid w:val="00956A19"/>
    <w:rsid w:val="009570F9"/>
    <w:rsid w:val="0095767C"/>
    <w:rsid w:val="009606B5"/>
    <w:rsid w:val="00960703"/>
    <w:rsid w:val="00961987"/>
    <w:rsid w:val="00961BB2"/>
    <w:rsid w:val="00962108"/>
    <w:rsid w:val="00962F19"/>
    <w:rsid w:val="009638D6"/>
    <w:rsid w:val="00964832"/>
    <w:rsid w:val="00964B7E"/>
    <w:rsid w:val="00964CE4"/>
    <w:rsid w:val="00964F31"/>
    <w:rsid w:val="0096570B"/>
    <w:rsid w:val="0096588D"/>
    <w:rsid w:val="009660D3"/>
    <w:rsid w:val="00966A2F"/>
    <w:rsid w:val="00966EFB"/>
    <w:rsid w:val="009673F4"/>
    <w:rsid w:val="0097143F"/>
    <w:rsid w:val="009716D1"/>
    <w:rsid w:val="0097185F"/>
    <w:rsid w:val="009737C7"/>
    <w:rsid w:val="0097408E"/>
    <w:rsid w:val="00974BB2"/>
    <w:rsid w:val="00974FA7"/>
    <w:rsid w:val="009756E5"/>
    <w:rsid w:val="00975E63"/>
    <w:rsid w:val="00976A72"/>
    <w:rsid w:val="00977950"/>
    <w:rsid w:val="00977A8C"/>
    <w:rsid w:val="00977C96"/>
    <w:rsid w:val="00980161"/>
    <w:rsid w:val="00980247"/>
    <w:rsid w:val="0098032C"/>
    <w:rsid w:val="0098103A"/>
    <w:rsid w:val="00981858"/>
    <w:rsid w:val="00983167"/>
    <w:rsid w:val="00983910"/>
    <w:rsid w:val="00984F60"/>
    <w:rsid w:val="00990BDD"/>
    <w:rsid w:val="009912D6"/>
    <w:rsid w:val="00991657"/>
    <w:rsid w:val="009924AD"/>
    <w:rsid w:val="00992B84"/>
    <w:rsid w:val="009932AC"/>
    <w:rsid w:val="00993820"/>
    <w:rsid w:val="00993CF0"/>
    <w:rsid w:val="00994351"/>
    <w:rsid w:val="009947FC"/>
    <w:rsid w:val="0099547A"/>
    <w:rsid w:val="009954E8"/>
    <w:rsid w:val="00996A8F"/>
    <w:rsid w:val="00996EA7"/>
    <w:rsid w:val="009A0810"/>
    <w:rsid w:val="009A128D"/>
    <w:rsid w:val="009A1DBF"/>
    <w:rsid w:val="009A2AED"/>
    <w:rsid w:val="009A2D5D"/>
    <w:rsid w:val="009A3346"/>
    <w:rsid w:val="009A4495"/>
    <w:rsid w:val="009A476F"/>
    <w:rsid w:val="009A4F59"/>
    <w:rsid w:val="009A5728"/>
    <w:rsid w:val="009A5C17"/>
    <w:rsid w:val="009A645F"/>
    <w:rsid w:val="009A68E6"/>
    <w:rsid w:val="009A6CCB"/>
    <w:rsid w:val="009A7598"/>
    <w:rsid w:val="009B0A62"/>
    <w:rsid w:val="009B0B1D"/>
    <w:rsid w:val="009B18A0"/>
    <w:rsid w:val="009B1DF8"/>
    <w:rsid w:val="009B1E2B"/>
    <w:rsid w:val="009B307B"/>
    <w:rsid w:val="009B3984"/>
    <w:rsid w:val="009B3C30"/>
    <w:rsid w:val="009B3D20"/>
    <w:rsid w:val="009B3F90"/>
    <w:rsid w:val="009B50C3"/>
    <w:rsid w:val="009B5418"/>
    <w:rsid w:val="009B5833"/>
    <w:rsid w:val="009C0727"/>
    <w:rsid w:val="009C15C7"/>
    <w:rsid w:val="009C209B"/>
    <w:rsid w:val="009C20AB"/>
    <w:rsid w:val="009C2534"/>
    <w:rsid w:val="009C29D6"/>
    <w:rsid w:val="009C2BF6"/>
    <w:rsid w:val="009C2CFE"/>
    <w:rsid w:val="009C2D1C"/>
    <w:rsid w:val="009C364F"/>
    <w:rsid w:val="009C3C80"/>
    <w:rsid w:val="009C3F80"/>
    <w:rsid w:val="009C45EC"/>
    <w:rsid w:val="009C492F"/>
    <w:rsid w:val="009C4BF0"/>
    <w:rsid w:val="009C5A80"/>
    <w:rsid w:val="009C5D77"/>
    <w:rsid w:val="009C66BD"/>
    <w:rsid w:val="009C744D"/>
    <w:rsid w:val="009D01D1"/>
    <w:rsid w:val="009D2404"/>
    <w:rsid w:val="009D286F"/>
    <w:rsid w:val="009D2FF2"/>
    <w:rsid w:val="009D3226"/>
    <w:rsid w:val="009D3385"/>
    <w:rsid w:val="009D4442"/>
    <w:rsid w:val="009D4636"/>
    <w:rsid w:val="009D46A3"/>
    <w:rsid w:val="009D4F31"/>
    <w:rsid w:val="009D536B"/>
    <w:rsid w:val="009D659F"/>
    <w:rsid w:val="009D6743"/>
    <w:rsid w:val="009D74BA"/>
    <w:rsid w:val="009D793C"/>
    <w:rsid w:val="009D7A99"/>
    <w:rsid w:val="009D7AE1"/>
    <w:rsid w:val="009E0C87"/>
    <w:rsid w:val="009E16A9"/>
    <w:rsid w:val="009E2467"/>
    <w:rsid w:val="009E2CA2"/>
    <w:rsid w:val="009E3435"/>
    <w:rsid w:val="009E375F"/>
    <w:rsid w:val="009E39D4"/>
    <w:rsid w:val="009E40A3"/>
    <w:rsid w:val="009E433B"/>
    <w:rsid w:val="009E48BF"/>
    <w:rsid w:val="009E49BC"/>
    <w:rsid w:val="009E4FDA"/>
    <w:rsid w:val="009E4FDB"/>
    <w:rsid w:val="009E5401"/>
    <w:rsid w:val="009E7BDB"/>
    <w:rsid w:val="009F0552"/>
    <w:rsid w:val="009F099E"/>
    <w:rsid w:val="009F0F9E"/>
    <w:rsid w:val="009F14E0"/>
    <w:rsid w:val="009F1E67"/>
    <w:rsid w:val="009F319D"/>
    <w:rsid w:val="009F35FA"/>
    <w:rsid w:val="009F3F02"/>
    <w:rsid w:val="009F42FA"/>
    <w:rsid w:val="009F4593"/>
    <w:rsid w:val="009F47E0"/>
    <w:rsid w:val="009F5022"/>
    <w:rsid w:val="009F6381"/>
    <w:rsid w:val="009F7DC2"/>
    <w:rsid w:val="009F7E69"/>
    <w:rsid w:val="00A00B71"/>
    <w:rsid w:val="00A01643"/>
    <w:rsid w:val="00A01793"/>
    <w:rsid w:val="00A01874"/>
    <w:rsid w:val="00A020B5"/>
    <w:rsid w:val="00A025B2"/>
    <w:rsid w:val="00A035C9"/>
    <w:rsid w:val="00A0423A"/>
    <w:rsid w:val="00A04370"/>
    <w:rsid w:val="00A04477"/>
    <w:rsid w:val="00A04C8C"/>
    <w:rsid w:val="00A05CA1"/>
    <w:rsid w:val="00A062D7"/>
    <w:rsid w:val="00A065D8"/>
    <w:rsid w:val="00A0758F"/>
    <w:rsid w:val="00A10D76"/>
    <w:rsid w:val="00A1125C"/>
    <w:rsid w:val="00A11887"/>
    <w:rsid w:val="00A11BD2"/>
    <w:rsid w:val="00A11C28"/>
    <w:rsid w:val="00A1289C"/>
    <w:rsid w:val="00A138F2"/>
    <w:rsid w:val="00A13F70"/>
    <w:rsid w:val="00A14FF6"/>
    <w:rsid w:val="00A153BF"/>
    <w:rsid w:val="00A153E5"/>
    <w:rsid w:val="00A1570A"/>
    <w:rsid w:val="00A16B9B"/>
    <w:rsid w:val="00A17866"/>
    <w:rsid w:val="00A17AE9"/>
    <w:rsid w:val="00A20127"/>
    <w:rsid w:val="00A20867"/>
    <w:rsid w:val="00A211B4"/>
    <w:rsid w:val="00A2173D"/>
    <w:rsid w:val="00A217F2"/>
    <w:rsid w:val="00A21989"/>
    <w:rsid w:val="00A219FA"/>
    <w:rsid w:val="00A21B5B"/>
    <w:rsid w:val="00A21C58"/>
    <w:rsid w:val="00A21F28"/>
    <w:rsid w:val="00A21F4D"/>
    <w:rsid w:val="00A223CF"/>
    <w:rsid w:val="00A226C6"/>
    <w:rsid w:val="00A228C1"/>
    <w:rsid w:val="00A22DC2"/>
    <w:rsid w:val="00A2406B"/>
    <w:rsid w:val="00A25484"/>
    <w:rsid w:val="00A2556F"/>
    <w:rsid w:val="00A256A9"/>
    <w:rsid w:val="00A25939"/>
    <w:rsid w:val="00A25D0F"/>
    <w:rsid w:val="00A26041"/>
    <w:rsid w:val="00A26243"/>
    <w:rsid w:val="00A271AA"/>
    <w:rsid w:val="00A272B1"/>
    <w:rsid w:val="00A2734D"/>
    <w:rsid w:val="00A278E4"/>
    <w:rsid w:val="00A27F5F"/>
    <w:rsid w:val="00A309CF"/>
    <w:rsid w:val="00A31691"/>
    <w:rsid w:val="00A32EE2"/>
    <w:rsid w:val="00A33DDF"/>
    <w:rsid w:val="00A33EB0"/>
    <w:rsid w:val="00A34547"/>
    <w:rsid w:val="00A35A92"/>
    <w:rsid w:val="00A36AFF"/>
    <w:rsid w:val="00A376B7"/>
    <w:rsid w:val="00A4011D"/>
    <w:rsid w:val="00A41A5B"/>
    <w:rsid w:val="00A41BF5"/>
    <w:rsid w:val="00A429C5"/>
    <w:rsid w:val="00A43434"/>
    <w:rsid w:val="00A44778"/>
    <w:rsid w:val="00A46759"/>
    <w:rsid w:val="00A469E7"/>
    <w:rsid w:val="00A47509"/>
    <w:rsid w:val="00A4773A"/>
    <w:rsid w:val="00A478CD"/>
    <w:rsid w:val="00A47F6F"/>
    <w:rsid w:val="00A501C4"/>
    <w:rsid w:val="00A50334"/>
    <w:rsid w:val="00A51678"/>
    <w:rsid w:val="00A52071"/>
    <w:rsid w:val="00A543EB"/>
    <w:rsid w:val="00A54B19"/>
    <w:rsid w:val="00A54FCE"/>
    <w:rsid w:val="00A551E6"/>
    <w:rsid w:val="00A55EA5"/>
    <w:rsid w:val="00A560F8"/>
    <w:rsid w:val="00A5639D"/>
    <w:rsid w:val="00A56D96"/>
    <w:rsid w:val="00A604A4"/>
    <w:rsid w:val="00A61465"/>
    <w:rsid w:val="00A614BD"/>
    <w:rsid w:val="00A61804"/>
    <w:rsid w:val="00A61B7D"/>
    <w:rsid w:val="00A62555"/>
    <w:rsid w:val="00A62ACE"/>
    <w:rsid w:val="00A6352E"/>
    <w:rsid w:val="00A63772"/>
    <w:rsid w:val="00A63A2C"/>
    <w:rsid w:val="00A64899"/>
    <w:rsid w:val="00A65821"/>
    <w:rsid w:val="00A6605B"/>
    <w:rsid w:val="00A66ADC"/>
    <w:rsid w:val="00A7147D"/>
    <w:rsid w:val="00A7216B"/>
    <w:rsid w:val="00A72E9C"/>
    <w:rsid w:val="00A73522"/>
    <w:rsid w:val="00A73542"/>
    <w:rsid w:val="00A73B3F"/>
    <w:rsid w:val="00A73DC4"/>
    <w:rsid w:val="00A7537A"/>
    <w:rsid w:val="00A75D2E"/>
    <w:rsid w:val="00A76466"/>
    <w:rsid w:val="00A771CF"/>
    <w:rsid w:val="00A80156"/>
    <w:rsid w:val="00A802FA"/>
    <w:rsid w:val="00A80715"/>
    <w:rsid w:val="00A80FE1"/>
    <w:rsid w:val="00A81B15"/>
    <w:rsid w:val="00A830C7"/>
    <w:rsid w:val="00A837FF"/>
    <w:rsid w:val="00A83FD0"/>
    <w:rsid w:val="00A84052"/>
    <w:rsid w:val="00A84DC8"/>
    <w:rsid w:val="00A84E12"/>
    <w:rsid w:val="00A852DE"/>
    <w:rsid w:val="00A85597"/>
    <w:rsid w:val="00A85634"/>
    <w:rsid w:val="00A857E1"/>
    <w:rsid w:val="00A85A0D"/>
    <w:rsid w:val="00A85DBC"/>
    <w:rsid w:val="00A8638F"/>
    <w:rsid w:val="00A8651D"/>
    <w:rsid w:val="00A86943"/>
    <w:rsid w:val="00A878F1"/>
    <w:rsid w:val="00A87FEB"/>
    <w:rsid w:val="00A92513"/>
    <w:rsid w:val="00A9371E"/>
    <w:rsid w:val="00A93F9F"/>
    <w:rsid w:val="00A9420E"/>
    <w:rsid w:val="00A95047"/>
    <w:rsid w:val="00A9505C"/>
    <w:rsid w:val="00A952B4"/>
    <w:rsid w:val="00A96639"/>
    <w:rsid w:val="00A97241"/>
    <w:rsid w:val="00A97648"/>
    <w:rsid w:val="00AA0200"/>
    <w:rsid w:val="00AA022A"/>
    <w:rsid w:val="00AA1646"/>
    <w:rsid w:val="00AA1712"/>
    <w:rsid w:val="00AA1CFD"/>
    <w:rsid w:val="00AA21E3"/>
    <w:rsid w:val="00AA2239"/>
    <w:rsid w:val="00AA33D2"/>
    <w:rsid w:val="00AA342F"/>
    <w:rsid w:val="00AA38EF"/>
    <w:rsid w:val="00AA3EFE"/>
    <w:rsid w:val="00AA40C3"/>
    <w:rsid w:val="00AA410D"/>
    <w:rsid w:val="00AA4ECC"/>
    <w:rsid w:val="00AA6315"/>
    <w:rsid w:val="00AB0525"/>
    <w:rsid w:val="00AB0C57"/>
    <w:rsid w:val="00AB1195"/>
    <w:rsid w:val="00AB1F06"/>
    <w:rsid w:val="00AB31ED"/>
    <w:rsid w:val="00AB37C0"/>
    <w:rsid w:val="00AB4182"/>
    <w:rsid w:val="00AB486E"/>
    <w:rsid w:val="00AB4B03"/>
    <w:rsid w:val="00AB55B3"/>
    <w:rsid w:val="00AB71AB"/>
    <w:rsid w:val="00AC0466"/>
    <w:rsid w:val="00AC1B8B"/>
    <w:rsid w:val="00AC20E9"/>
    <w:rsid w:val="00AC27DB"/>
    <w:rsid w:val="00AC2C1D"/>
    <w:rsid w:val="00AC32E5"/>
    <w:rsid w:val="00AC3314"/>
    <w:rsid w:val="00AC3BAA"/>
    <w:rsid w:val="00AC4633"/>
    <w:rsid w:val="00AC5258"/>
    <w:rsid w:val="00AC573A"/>
    <w:rsid w:val="00AC5FC3"/>
    <w:rsid w:val="00AC630E"/>
    <w:rsid w:val="00AC6D6B"/>
    <w:rsid w:val="00AD0E75"/>
    <w:rsid w:val="00AD1106"/>
    <w:rsid w:val="00AD2CA6"/>
    <w:rsid w:val="00AD4307"/>
    <w:rsid w:val="00AD45B8"/>
    <w:rsid w:val="00AD4638"/>
    <w:rsid w:val="00AD46F7"/>
    <w:rsid w:val="00AD56B1"/>
    <w:rsid w:val="00AD5BC4"/>
    <w:rsid w:val="00AD7400"/>
    <w:rsid w:val="00AD7736"/>
    <w:rsid w:val="00AD79A2"/>
    <w:rsid w:val="00AD7D0E"/>
    <w:rsid w:val="00AE0607"/>
    <w:rsid w:val="00AE08F8"/>
    <w:rsid w:val="00AE10CE"/>
    <w:rsid w:val="00AE172F"/>
    <w:rsid w:val="00AE192C"/>
    <w:rsid w:val="00AE2136"/>
    <w:rsid w:val="00AE32DC"/>
    <w:rsid w:val="00AE4A30"/>
    <w:rsid w:val="00AE4B1D"/>
    <w:rsid w:val="00AE4EA3"/>
    <w:rsid w:val="00AE56CE"/>
    <w:rsid w:val="00AE679F"/>
    <w:rsid w:val="00AE70D4"/>
    <w:rsid w:val="00AE748F"/>
    <w:rsid w:val="00AE751C"/>
    <w:rsid w:val="00AE7868"/>
    <w:rsid w:val="00AE7AEA"/>
    <w:rsid w:val="00AE7CAF"/>
    <w:rsid w:val="00AE7E69"/>
    <w:rsid w:val="00AE7F49"/>
    <w:rsid w:val="00AF0407"/>
    <w:rsid w:val="00AF049B"/>
    <w:rsid w:val="00AF31B3"/>
    <w:rsid w:val="00AF3240"/>
    <w:rsid w:val="00AF4B78"/>
    <w:rsid w:val="00AF4C64"/>
    <w:rsid w:val="00AF4D19"/>
    <w:rsid w:val="00AF4D8B"/>
    <w:rsid w:val="00AF4DA7"/>
    <w:rsid w:val="00AF5D80"/>
    <w:rsid w:val="00AF6A26"/>
    <w:rsid w:val="00AF7242"/>
    <w:rsid w:val="00AF78B4"/>
    <w:rsid w:val="00AF7D13"/>
    <w:rsid w:val="00B00074"/>
    <w:rsid w:val="00B00885"/>
    <w:rsid w:val="00B02E4F"/>
    <w:rsid w:val="00B03F11"/>
    <w:rsid w:val="00B0497B"/>
    <w:rsid w:val="00B05480"/>
    <w:rsid w:val="00B06467"/>
    <w:rsid w:val="00B067CA"/>
    <w:rsid w:val="00B06D2F"/>
    <w:rsid w:val="00B0714C"/>
    <w:rsid w:val="00B07B39"/>
    <w:rsid w:val="00B1165F"/>
    <w:rsid w:val="00B1181D"/>
    <w:rsid w:val="00B125DC"/>
    <w:rsid w:val="00B12B26"/>
    <w:rsid w:val="00B12C73"/>
    <w:rsid w:val="00B12D17"/>
    <w:rsid w:val="00B147ED"/>
    <w:rsid w:val="00B1487B"/>
    <w:rsid w:val="00B15386"/>
    <w:rsid w:val="00B163F8"/>
    <w:rsid w:val="00B179CD"/>
    <w:rsid w:val="00B2077A"/>
    <w:rsid w:val="00B210CD"/>
    <w:rsid w:val="00B2118E"/>
    <w:rsid w:val="00B213A9"/>
    <w:rsid w:val="00B21F3B"/>
    <w:rsid w:val="00B23667"/>
    <w:rsid w:val="00B23802"/>
    <w:rsid w:val="00B2472D"/>
    <w:rsid w:val="00B24887"/>
    <w:rsid w:val="00B24CA0"/>
    <w:rsid w:val="00B2549F"/>
    <w:rsid w:val="00B25789"/>
    <w:rsid w:val="00B262E9"/>
    <w:rsid w:val="00B26C82"/>
    <w:rsid w:val="00B2716D"/>
    <w:rsid w:val="00B278D6"/>
    <w:rsid w:val="00B30018"/>
    <w:rsid w:val="00B32869"/>
    <w:rsid w:val="00B32E6C"/>
    <w:rsid w:val="00B3350A"/>
    <w:rsid w:val="00B335AA"/>
    <w:rsid w:val="00B34272"/>
    <w:rsid w:val="00B346CF"/>
    <w:rsid w:val="00B34F37"/>
    <w:rsid w:val="00B373D1"/>
    <w:rsid w:val="00B404CB"/>
    <w:rsid w:val="00B4108D"/>
    <w:rsid w:val="00B42955"/>
    <w:rsid w:val="00B42AC9"/>
    <w:rsid w:val="00B438EE"/>
    <w:rsid w:val="00B43CED"/>
    <w:rsid w:val="00B43E4D"/>
    <w:rsid w:val="00B43EBE"/>
    <w:rsid w:val="00B43F6F"/>
    <w:rsid w:val="00B44895"/>
    <w:rsid w:val="00B45376"/>
    <w:rsid w:val="00B45DAF"/>
    <w:rsid w:val="00B46637"/>
    <w:rsid w:val="00B467BA"/>
    <w:rsid w:val="00B51799"/>
    <w:rsid w:val="00B520D2"/>
    <w:rsid w:val="00B5288F"/>
    <w:rsid w:val="00B53643"/>
    <w:rsid w:val="00B54A88"/>
    <w:rsid w:val="00B5551F"/>
    <w:rsid w:val="00B5697D"/>
    <w:rsid w:val="00B56F08"/>
    <w:rsid w:val="00B57265"/>
    <w:rsid w:val="00B6135E"/>
    <w:rsid w:val="00B633AE"/>
    <w:rsid w:val="00B64480"/>
    <w:rsid w:val="00B66067"/>
    <w:rsid w:val="00B66077"/>
    <w:rsid w:val="00B66431"/>
    <w:rsid w:val="00B665D2"/>
    <w:rsid w:val="00B66816"/>
    <w:rsid w:val="00B67031"/>
    <w:rsid w:val="00B6737C"/>
    <w:rsid w:val="00B67BB8"/>
    <w:rsid w:val="00B7214D"/>
    <w:rsid w:val="00B729D1"/>
    <w:rsid w:val="00B72ED9"/>
    <w:rsid w:val="00B72F6A"/>
    <w:rsid w:val="00B73408"/>
    <w:rsid w:val="00B739EE"/>
    <w:rsid w:val="00B73B29"/>
    <w:rsid w:val="00B73B58"/>
    <w:rsid w:val="00B741E0"/>
    <w:rsid w:val="00B74372"/>
    <w:rsid w:val="00B7495F"/>
    <w:rsid w:val="00B7545A"/>
    <w:rsid w:val="00B75525"/>
    <w:rsid w:val="00B772F4"/>
    <w:rsid w:val="00B77719"/>
    <w:rsid w:val="00B77CCF"/>
    <w:rsid w:val="00B77DA0"/>
    <w:rsid w:val="00B801EC"/>
    <w:rsid w:val="00B80283"/>
    <w:rsid w:val="00B8095F"/>
    <w:rsid w:val="00B80B0C"/>
    <w:rsid w:val="00B80B11"/>
    <w:rsid w:val="00B80FA6"/>
    <w:rsid w:val="00B81756"/>
    <w:rsid w:val="00B81847"/>
    <w:rsid w:val="00B82E8F"/>
    <w:rsid w:val="00B82FE0"/>
    <w:rsid w:val="00B831AE"/>
    <w:rsid w:val="00B83EF0"/>
    <w:rsid w:val="00B84160"/>
    <w:rsid w:val="00B8446C"/>
    <w:rsid w:val="00B87725"/>
    <w:rsid w:val="00B87A16"/>
    <w:rsid w:val="00B87CEF"/>
    <w:rsid w:val="00B90100"/>
    <w:rsid w:val="00B90BE6"/>
    <w:rsid w:val="00B91405"/>
    <w:rsid w:val="00B914B3"/>
    <w:rsid w:val="00B91687"/>
    <w:rsid w:val="00B94013"/>
    <w:rsid w:val="00B96919"/>
    <w:rsid w:val="00B969A0"/>
    <w:rsid w:val="00B96BD7"/>
    <w:rsid w:val="00B9755C"/>
    <w:rsid w:val="00BA10C0"/>
    <w:rsid w:val="00BA12A6"/>
    <w:rsid w:val="00BA1A78"/>
    <w:rsid w:val="00BA1B84"/>
    <w:rsid w:val="00BA2435"/>
    <w:rsid w:val="00BA259A"/>
    <w:rsid w:val="00BA259C"/>
    <w:rsid w:val="00BA29D3"/>
    <w:rsid w:val="00BA307F"/>
    <w:rsid w:val="00BA329D"/>
    <w:rsid w:val="00BA33DC"/>
    <w:rsid w:val="00BA3B7B"/>
    <w:rsid w:val="00BA3BB8"/>
    <w:rsid w:val="00BA40F8"/>
    <w:rsid w:val="00BA5280"/>
    <w:rsid w:val="00BA595D"/>
    <w:rsid w:val="00BA5DE6"/>
    <w:rsid w:val="00BA6865"/>
    <w:rsid w:val="00BA6955"/>
    <w:rsid w:val="00BA6F92"/>
    <w:rsid w:val="00BA77E2"/>
    <w:rsid w:val="00BA78AB"/>
    <w:rsid w:val="00BA7A16"/>
    <w:rsid w:val="00BA7E46"/>
    <w:rsid w:val="00BB0586"/>
    <w:rsid w:val="00BB104B"/>
    <w:rsid w:val="00BB14F1"/>
    <w:rsid w:val="00BB472C"/>
    <w:rsid w:val="00BB572E"/>
    <w:rsid w:val="00BB5C64"/>
    <w:rsid w:val="00BB621D"/>
    <w:rsid w:val="00BB65DE"/>
    <w:rsid w:val="00BB74FD"/>
    <w:rsid w:val="00BC040D"/>
    <w:rsid w:val="00BC04C9"/>
    <w:rsid w:val="00BC16F5"/>
    <w:rsid w:val="00BC44FE"/>
    <w:rsid w:val="00BC5982"/>
    <w:rsid w:val="00BC5EB8"/>
    <w:rsid w:val="00BC60BF"/>
    <w:rsid w:val="00BC67E3"/>
    <w:rsid w:val="00BC6878"/>
    <w:rsid w:val="00BC6FEB"/>
    <w:rsid w:val="00BC72D6"/>
    <w:rsid w:val="00BC73A0"/>
    <w:rsid w:val="00BC78B3"/>
    <w:rsid w:val="00BC7AAE"/>
    <w:rsid w:val="00BD0A73"/>
    <w:rsid w:val="00BD0AC2"/>
    <w:rsid w:val="00BD236F"/>
    <w:rsid w:val="00BD246E"/>
    <w:rsid w:val="00BD264B"/>
    <w:rsid w:val="00BD28BF"/>
    <w:rsid w:val="00BD2D12"/>
    <w:rsid w:val="00BD3806"/>
    <w:rsid w:val="00BD4556"/>
    <w:rsid w:val="00BD4D84"/>
    <w:rsid w:val="00BD508D"/>
    <w:rsid w:val="00BD6404"/>
    <w:rsid w:val="00BE0132"/>
    <w:rsid w:val="00BE17B1"/>
    <w:rsid w:val="00BE20D5"/>
    <w:rsid w:val="00BE33AE"/>
    <w:rsid w:val="00BE4180"/>
    <w:rsid w:val="00BE45E1"/>
    <w:rsid w:val="00BE4742"/>
    <w:rsid w:val="00BE59A6"/>
    <w:rsid w:val="00BE5AC3"/>
    <w:rsid w:val="00BE6A08"/>
    <w:rsid w:val="00BE6CE7"/>
    <w:rsid w:val="00BE6DB8"/>
    <w:rsid w:val="00BE759D"/>
    <w:rsid w:val="00BF0088"/>
    <w:rsid w:val="00BF046F"/>
    <w:rsid w:val="00BF056F"/>
    <w:rsid w:val="00BF0E7D"/>
    <w:rsid w:val="00BF1209"/>
    <w:rsid w:val="00BF1D81"/>
    <w:rsid w:val="00BF3F46"/>
    <w:rsid w:val="00BF418A"/>
    <w:rsid w:val="00BF47AA"/>
    <w:rsid w:val="00BF4FE9"/>
    <w:rsid w:val="00BF4FFB"/>
    <w:rsid w:val="00BF5398"/>
    <w:rsid w:val="00BF5E9C"/>
    <w:rsid w:val="00BF6280"/>
    <w:rsid w:val="00BF6EAD"/>
    <w:rsid w:val="00BF7223"/>
    <w:rsid w:val="00BF782D"/>
    <w:rsid w:val="00C01308"/>
    <w:rsid w:val="00C01D50"/>
    <w:rsid w:val="00C01D9E"/>
    <w:rsid w:val="00C0274D"/>
    <w:rsid w:val="00C0288F"/>
    <w:rsid w:val="00C0432A"/>
    <w:rsid w:val="00C047AC"/>
    <w:rsid w:val="00C056DC"/>
    <w:rsid w:val="00C06335"/>
    <w:rsid w:val="00C07076"/>
    <w:rsid w:val="00C078AC"/>
    <w:rsid w:val="00C07EFE"/>
    <w:rsid w:val="00C1195A"/>
    <w:rsid w:val="00C11F26"/>
    <w:rsid w:val="00C11FB7"/>
    <w:rsid w:val="00C120AD"/>
    <w:rsid w:val="00C1329B"/>
    <w:rsid w:val="00C13563"/>
    <w:rsid w:val="00C1572F"/>
    <w:rsid w:val="00C159B4"/>
    <w:rsid w:val="00C16ECC"/>
    <w:rsid w:val="00C17CA4"/>
    <w:rsid w:val="00C20B33"/>
    <w:rsid w:val="00C21411"/>
    <w:rsid w:val="00C21E1A"/>
    <w:rsid w:val="00C21FC3"/>
    <w:rsid w:val="00C2239A"/>
    <w:rsid w:val="00C22AE4"/>
    <w:rsid w:val="00C23869"/>
    <w:rsid w:val="00C24C05"/>
    <w:rsid w:val="00C24D18"/>
    <w:rsid w:val="00C24D2F"/>
    <w:rsid w:val="00C252FC"/>
    <w:rsid w:val="00C25E03"/>
    <w:rsid w:val="00C26222"/>
    <w:rsid w:val="00C265D2"/>
    <w:rsid w:val="00C30061"/>
    <w:rsid w:val="00C306A9"/>
    <w:rsid w:val="00C31283"/>
    <w:rsid w:val="00C31DDB"/>
    <w:rsid w:val="00C31E89"/>
    <w:rsid w:val="00C32169"/>
    <w:rsid w:val="00C330C2"/>
    <w:rsid w:val="00C33C35"/>
    <w:rsid w:val="00C33C48"/>
    <w:rsid w:val="00C340E5"/>
    <w:rsid w:val="00C3410E"/>
    <w:rsid w:val="00C34590"/>
    <w:rsid w:val="00C35AA7"/>
    <w:rsid w:val="00C36429"/>
    <w:rsid w:val="00C36765"/>
    <w:rsid w:val="00C36D31"/>
    <w:rsid w:val="00C370E0"/>
    <w:rsid w:val="00C404C3"/>
    <w:rsid w:val="00C406BE"/>
    <w:rsid w:val="00C41361"/>
    <w:rsid w:val="00C41760"/>
    <w:rsid w:val="00C41F80"/>
    <w:rsid w:val="00C421B5"/>
    <w:rsid w:val="00C43BA1"/>
    <w:rsid w:val="00C43DAB"/>
    <w:rsid w:val="00C445D7"/>
    <w:rsid w:val="00C44C99"/>
    <w:rsid w:val="00C46457"/>
    <w:rsid w:val="00C46608"/>
    <w:rsid w:val="00C46774"/>
    <w:rsid w:val="00C47E65"/>
    <w:rsid w:val="00C47F08"/>
    <w:rsid w:val="00C50362"/>
    <w:rsid w:val="00C506D4"/>
    <w:rsid w:val="00C506E3"/>
    <w:rsid w:val="00C50BB9"/>
    <w:rsid w:val="00C50C7D"/>
    <w:rsid w:val="00C50D61"/>
    <w:rsid w:val="00C514A6"/>
    <w:rsid w:val="00C521B3"/>
    <w:rsid w:val="00C533BA"/>
    <w:rsid w:val="00C536EC"/>
    <w:rsid w:val="00C54779"/>
    <w:rsid w:val="00C55C8B"/>
    <w:rsid w:val="00C561A6"/>
    <w:rsid w:val="00C5739F"/>
    <w:rsid w:val="00C57562"/>
    <w:rsid w:val="00C5770E"/>
    <w:rsid w:val="00C57A2F"/>
    <w:rsid w:val="00C57CF0"/>
    <w:rsid w:val="00C61499"/>
    <w:rsid w:val="00C61E0C"/>
    <w:rsid w:val="00C62283"/>
    <w:rsid w:val="00C63557"/>
    <w:rsid w:val="00C635A5"/>
    <w:rsid w:val="00C6434E"/>
    <w:rsid w:val="00C6481F"/>
    <w:rsid w:val="00C649BD"/>
    <w:rsid w:val="00C657A7"/>
    <w:rsid w:val="00C65891"/>
    <w:rsid w:val="00C6650A"/>
    <w:rsid w:val="00C6695F"/>
    <w:rsid w:val="00C66AC9"/>
    <w:rsid w:val="00C67512"/>
    <w:rsid w:val="00C70AF6"/>
    <w:rsid w:val="00C724D3"/>
    <w:rsid w:val="00C72878"/>
    <w:rsid w:val="00C72951"/>
    <w:rsid w:val="00C72BAC"/>
    <w:rsid w:val="00C76494"/>
    <w:rsid w:val="00C76513"/>
    <w:rsid w:val="00C76F38"/>
    <w:rsid w:val="00C76FEE"/>
    <w:rsid w:val="00C77D84"/>
    <w:rsid w:val="00C77DD9"/>
    <w:rsid w:val="00C8106B"/>
    <w:rsid w:val="00C8106F"/>
    <w:rsid w:val="00C810D1"/>
    <w:rsid w:val="00C810D9"/>
    <w:rsid w:val="00C83188"/>
    <w:rsid w:val="00C839B5"/>
    <w:rsid w:val="00C83BE6"/>
    <w:rsid w:val="00C8410C"/>
    <w:rsid w:val="00C84AC7"/>
    <w:rsid w:val="00C85314"/>
    <w:rsid w:val="00C85354"/>
    <w:rsid w:val="00C8584A"/>
    <w:rsid w:val="00C86A1F"/>
    <w:rsid w:val="00C86ABA"/>
    <w:rsid w:val="00C902B6"/>
    <w:rsid w:val="00C91701"/>
    <w:rsid w:val="00C921BD"/>
    <w:rsid w:val="00C92FC8"/>
    <w:rsid w:val="00C938CB"/>
    <w:rsid w:val="00C941AE"/>
    <w:rsid w:val="00C941CD"/>
    <w:rsid w:val="00C943F3"/>
    <w:rsid w:val="00C9520B"/>
    <w:rsid w:val="00C95AA3"/>
    <w:rsid w:val="00C962A0"/>
    <w:rsid w:val="00C976BC"/>
    <w:rsid w:val="00CA0172"/>
    <w:rsid w:val="00CA0461"/>
    <w:rsid w:val="00CA08C6"/>
    <w:rsid w:val="00CA0A77"/>
    <w:rsid w:val="00CA0BAE"/>
    <w:rsid w:val="00CA115E"/>
    <w:rsid w:val="00CA157E"/>
    <w:rsid w:val="00CA1B22"/>
    <w:rsid w:val="00CA1FF4"/>
    <w:rsid w:val="00CA24B7"/>
    <w:rsid w:val="00CA2729"/>
    <w:rsid w:val="00CA2BFD"/>
    <w:rsid w:val="00CA2EAB"/>
    <w:rsid w:val="00CA3057"/>
    <w:rsid w:val="00CA45F8"/>
    <w:rsid w:val="00CA4AA7"/>
    <w:rsid w:val="00CA5129"/>
    <w:rsid w:val="00CA52B0"/>
    <w:rsid w:val="00CA58E5"/>
    <w:rsid w:val="00CA5F6B"/>
    <w:rsid w:val="00CA6569"/>
    <w:rsid w:val="00CA74CE"/>
    <w:rsid w:val="00CA7B37"/>
    <w:rsid w:val="00CA7D89"/>
    <w:rsid w:val="00CA7F9C"/>
    <w:rsid w:val="00CB021C"/>
    <w:rsid w:val="00CB0305"/>
    <w:rsid w:val="00CB0AB3"/>
    <w:rsid w:val="00CB0ABF"/>
    <w:rsid w:val="00CB1E03"/>
    <w:rsid w:val="00CB2802"/>
    <w:rsid w:val="00CB2A1B"/>
    <w:rsid w:val="00CB33C7"/>
    <w:rsid w:val="00CB3501"/>
    <w:rsid w:val="00CB48A8"/>
    <w:rsid w:val="00CB4B9A"/>
    <w:rsid w:val="00CB5F7C"/>
    <w:rsid w:val="00CB6875"/>
    <w:rsid w:val="00CB69BC"/>
    <w:rsid w:val="00CB6DA7"/>
    <w:rsid w:val="00CB78F9"/>
    <w:rsid w:val="00CB7969"/>
    <w:rsid w:val="00CB7E4C"/>
    <w:rsid w:val="00CB7E99"/>
    <w:rsid w:val="00CC07FF"/>
    <w:rsid w:val="00CC0A25"/>
    <w:rsid w:val="00CC0A54"/>
    <w:rsid w:val="00CC0F14"/>
    <w:rsid w:val="00CC1A02"/>
    <w:rsid w:val="00CC1A30"/>
    <w:rsid w:val="00CC25B4"/>
    <w:rsid w:val="00CC2664"/>
    <w:rsid w:val="00CC30B6"/>
    <w:rsid w:val="00CC315D"/>
    <w:rsid w:val="00CC3768"/>
    <w:rsid w:val="00CC46CC"/>
    <w:rsid w:val="00CC524F"/>
    <w:rsid w:val="00CC537A"/>
    <w:rsid w:val="00CC5482"/>
    <w:rsid w:val="00CC5F88"/>
    <w:rsid w:val="00CC62AE"/>
    <w:rsid w:val="00CC63D8"/>
    <w:rsid w:val="00CC69C8"/>
    <w:rsid w:val="00CC6ECA"/>
    <w:rsid w:val="00CC7204"/>
    <w:rsid w:val="00CC7512"/>
    <w:rsid w:val="00CC77A2"/>
    <w:rsid w:val="00CC78BB"/>
    <w:rsid w:val="00CC79B8"/>
    <w:rsid w:val="00CD03B2"/>
    <w:rsid w:val="00CD0FC1"/>
    <w:rsid w:val="00CD1DA6"/>
    <w:rsid w:val="00CD307E"/>
    <w:rsid w:val="00CD31C7"/>
    <w:rsid w:val="00CD4121"/>
    <w:rsid w:val="00CD451F"/>
    <w:rsid w:val="00CD56CC"/>
    <w:rsid w:val="00CD5E18"/>
    <w:rsid w:val="00CD5E63"/>
    <w:rsid w:val="00CD629F"/>
    <w:rsid w:val="00CD6A1B"/>
    <w:rsid w:val="00CD7FD3"/>
    <w:rsid w:val="00CE07E0"/>
    <w:rsid w:val="00CE094F"/>
    <w:rsid w:val="00CE0A7F"/>
    <w:rsid w:val="00CE0B8B"/>
    <w:rsid w:val="00CE0BD4"/>
    <w:rsid w:val="00CE1718"/>
    <w:rsid w:val="00CE1D3A"/>
    <w:rsid w:val="00CE28D2"/>
    <w:rsid w:val="00CE4C51"/>
    <w:rsid w:val="00CE4E5B"/>
    <w:rsid w:val="00CE4FFD"/>
    <w:rsid w:val="00CE583B"/>
    <w:rsid w:val="00CE597A"/>
    <w:rsid w:val="00CE6191"/>
    <w:rsid w:val="00CE6C4E"/>
    <w:rsid w:val="00CE7405"/>
    <w:rsid w:val="00CE77A8"/>
    <w:rsid w:val="00CE7BD0"/>
    <w:rsid w:val="00CF0321"/>
    <w:rsid w:val="00CF0CF4"/>
    <w:rsid w:val="00CF21FF"/>
    <w:rsid w:val="00CF2802"/>
    <w:rsid w:val="00CF2D20"/>
    <w:rsid w:val="00CF3352"/>
    <w:rsid w:val="00CF4156"/>
    <w:rsid w:val="00CF4305"/>
    <w:rsid w:val="00CF5249"/>
    <w:rsid w:val="00CF528E"/>
    <w:rsid w:val="00CF6747"/>
    <w:rsid w:val="00CF7287"/>
    <w:rsid w:val="00CF74A4"/>
    <w:rsid w:val="00D0036C"/>
    <w:rsid w:val="00D013B2"/>
    <w:rsid w:val="00D01438"/>
    <w:rsid w:val="00D020A2"/>
    <w:rsid w:val="00D028E6"/>
    <w:rsid w:val="00D03A00"/>
    <w:rsid w:val="00D03D00"/>
    <w:rsid w:val="00D04746"/>
    <w:rsid w:val="00D05C30"/>
    <w:rsid w:val="00D05FB9"/>
    <w:rsid w:val="00D07BC1"/>
    <w:rsid w:val="00D10052"/>
    <w:rsid w:val="00D10DE3"/>
    <w:rsid w:val="00D11359"/>
    <w:rsid w:val="00D114F4"/>
    <w:rsid w:val="00D12E3B"/>
    <w:rsid w:val="00D12EBE"/>
    <w:rsid w:val="00D14165"/>
    <w:rsid w:val="00D14955"/>
    <w:rsid w:val="00D14C65"/>
    <w:rsid w:val="00D14EFD"/>
    <w:rsid w:val="00D15132"/>
    <w:rsid w:val="00D15F59"/>
    <w:rsid w:val="00D16A3D"/>
    <w:rsid w:val="00D17564"/>
    <w:rsid w:val="00D17D0B"/>
    <w:rsid w:val="00D201AE"/>
    <w:rsid w:val="00D22472"/>
    <w:rsid w:val="00D22DC2"/>
    <w:rsid w:val="00D22F89"/>
    <w:rsid w:val="00D2333E"/>
    <w:rsid w:val="00D23906"/>
    <w:rsid w:val="00D23DAA"/>
    <w:rsid w:val="00D23ED3"/>
    <w:rsid w:val="00D242C6"/>
    <w:rsid w:val="00D248AB"/>
    <w:rsid w:val="00D24DC3"/>
    <w:rsid w:val="00D262D8"/>
    <w:rsid w:val="00D26667"/>
    <w:rsid w:val="00D309FF"/>
    <w:rsid w:val="00D30CF6"/>
    <w:rsid w:val="00D30FA8"/>
    <w:rsid w:val="00D31054"/>
    <w:rsid w:val="00D3188C"/>
    <w:rsid w:val="00D32CC3"/>
    <w:rsid w:val="00D33290"/>
    <w:rsid w:val="00D33334"/>
    <w:rsid w:val="00D33870"/>
    <w:rsid w:val="00D3462A"/>
    <w:rsid w:val="00D35AF1"/>
    <w:rsid w:val="00D35B01"/>
    <w:rsid w:val="00D35F9B"/>
    <w:rsid w:val="00D367AD"/>
    <w:rsid w:val="00D36AEA"/>
    <w:rsid w:val="00D36B69"/>
    <w:rsid w:val="00D37065"/>
    <w:rsid w:val="00D37601"/>
    <w:rsid w:val="00D408DD"/>
    <w:rsid w:val="00D40955"/>
    <w:rsid w:val="00D414CE"/>
    <w:rsid w:val="00D416A5"/>
    <w:rsid w:val="00D439EC"/>
    <w:rsid w:val="00D45D72"/>
    <w:rsid w:val="00D462A6"/>
    <w:rsid w:val="00D468DB"/>
    <w:rsid w:val="00D471E2"/>
    <w:rsid w:val="00D50954"/>
    <w:rsid w:val="00D50B70"/>
    <w:rsid w:val="00D50EED"/>
    <w:rsid w:val="00D52048"/>
    <w:rsid w:val="00D520E4"/>
    <w:rsid w:val="00D525EE"/>
    <w:rsid w:val="00D52B77"/>
    <w:rsid w:val="00D52DE1"/>
    <w:rsid w:val="00D5388D"/>
    <w:rsid w:val="00D53A38"/>
    <w:rsid w:val="00D542F8"/>
    <w:rsid w:val="00D54854"/>
    <w:rsid w:val="00D554CC"/>
    <w:rsid w:val="00D55EA5"/>
    <w:rsid w:val="00D56341"/>
    <w:rsid w:val="00D56575"/>
    <w:rsid w:val="00D575DD"/>
    <w:rsid w:val="00D57940"/>
    <w:rsid w:val="00D57B6A"/>
    <w:rsid w:val="00D57C0E"/>
    <w:rsid w:val="00D57DFA"/>
    <w:rsid w:val="00D601F1"/>
    <w:rsid w:val="00D617B8"/>
    <w:rsid w:val="00D618CD"/>
    <w:rsid w:val="00D62E18"/>
    <w:rsid w:val="00D63596"/>
    <w:rsid w:val="00D64C5A"/>
    <w:rsid w:val="00D6519F"/>
    <w:rsid w:val="00D658DA"/>
    <w:rsid w:val="00D67295"/>
    <w:rsid w:val="00D67C2E"/>
    <w:rsid w:val="00D67DA6"/>
    <w:rsid w:val="00D67FCF"/>
    <w:rsid w:val="00D709CE"/>
    <w:rsid w:val="00D70D3F"/>
    <w:rsid w:val="00D71D51"/>
    <w:rsid w:val="00D71F73"/>
    <w:rsid w:val="00D73838"/>
    <w:rsid w:val="00D73B58"/>
    <w:rsid w:val="00D740BB"/>
    <w:rsid w:val="00D756CF"/>
    <w:rsid w:val="00D757D2"/>
    <w:rsid w:val="00D760BE"/>
    <w:rsid w:val="00D762B5"/>
    <w:rsid w:val="00D77100"/>
    <w:rsid w:val="00D803D0"/>
    <w:rsid w:val="00D80786"/>
    <w:rsid w:val="00D80945"/>
    <w:rsid w:val="00D815EA"/>
    <w:rsid w:val="00D81714"/>
    <w:rsid w:val="00D819FD"/>
    <w:rsid w:val="00D81CAB"/>
    <w:rsid w:val="00D829FC"/>
    <w:rsid w:val="00D82C78"/>
    <w:rsid w:val="00D838CC"/>
    <w:rsid w:val="00D84E4F"/>
    <w:rsid w:val="00D850DB"/>
    <w:rsid w:val="00D853E8"/>
    <w:rsid w:val="00D8576F"/>
    <w:rsid w:val="00D86449"/>
    <w:rsid w:val="00D8677F"/>
    <w:rsid w:val="00D86D8E"/>
    <w:rsid w:val="00D8722F"/>
    <w:rsid w:val="00D920F5"/>
    <w:rsid w:val="00D922AD"/>
    <w:rsid w:val="00D930CD"/>
    <w:rsid w:val="00D9335B"/>
    <w:rsid w:val="00D934AF"/>
    <w:rsid w:val="00D935A6"/>
    <w:rsid w:val="00D93759"/>
    <w:rsid w:val="00D95627"/>
    <w:rsid w:val="00D958D8"/>
    <w:rsid w:val="00D95B1C"/>
    <w:rsid w:val="00D95D25"/>
    <w:rsid w:val="00D95D36"/>
    <w:rsid w:val="00D95EBF"/>
    <w:rsid w:val="00D96E70"/>
    <w:rsid w:val="00D97633"/>
    <w:rsid w:val="00D9795A"/>
    <w:rsid w:val="00D97F0C"/>
    <w:rsid w:val="00DA085B"/>
    <w:rsid w:val="00DA1E46"/>
    <w:rsid w:val="00DA1EF7"/>
    <w:rsid w:val="00DA2606"/>
    <w:rsid w:val="00DA30F6"/>
    <w:rsid w:val="00DA3A86"/>
    <w:rsid w:val="00DA42FA"/>
    <w:rsid w:val="00DA4C1B"/>
    <w:rsid w:val="00DA5090"/>
    <w:rsid w:val="00DA5115"/>
    <w:rsid w:val="00DA6802"/>
    <w:rsid w:val="00DA6D12"/>
    <w:rsid w:val="00DA6E83"/>
    <w:rsid w:val="00DB22A6"/>
    <w:rsid w:val="00DB2821"/>
    <w:rsid w:val="00DB2AA8"/>
    <w:rsid w:val="00DB459E"/>
    <w:rsid w:val="00DB47B5"/>
    <w:rsid w:val="00DB7121"/>
    <w:rsid w:val="00DC0829"/>
    <w:rsid w:val="00DC1270"/>
    <w:rsid w:val="00DC12F5"/>
    <w:rsid w:val="00DC1E43"/>
    <w:rsid w:val="00DC2500"/>
    <w:rsid w:val="00DC2F98"/>
    <w:rsid w:val="00DC365A"/>
    <w:rsid w:val="00DC38E7"/>
    <w:rsid w:val="00DC49CD"/>
    <w:rsid w:val="00DC4ADD"/>
    <w:rsid w:val="00DC4F53"/>
    <w:rsid w:val="00DC4F72"/>
    <w:rsid w:val="00DC6D79"/>
    <w:rsid w:val="00DC7489"/>
    <w:rsid w:val="00DC77DC"/>
    <w:rsid w:val="00DC7A66"/>
    <w:rsid w:val="00DD0453"/>
    <w:rsid w:val="00DD0507"/>
    <w:rsid w:val="00DD05CC"/>
    <w:rsid w:val="00DD0C2C"/>
    <w:rsid w:val="00DD16D5"/>
    <w:rsid w:val="00DD19DE"/>
    <w:rsid w:val="00DD1C8B"/>
    <w:rsid w:val="00DD25B6"/>
    <w:rsid w:val="00DD28BC"/>
    <w:rsid w:val="00DD2DDC"/>
    <w:rsid w:val="00DD47D8"/>
    <w:rsid w:val="00DD5086"/>
    <w:rsid w:val="00DD5168"/>
    <w:rsid w:val="00DD531C"/>
    <w:rsid w:val="00DD54B8"/>
    <w:rsid w:val="00DD5B35"/>
    <w:rsid w:val="00DE01CD"/>
    <w:rsid w:val="00DE0A8A"/>
    <w:rsid w:val="00DE111D"/>
    <w:rsid w:val="00DE1619"/>
    <w:rsid w:val="00DE2883"/>
    <w:rsid w:val="00DE2B75"/>
    <w:rsid w:val="00DE3160"/>
    <w:rsid w:val="00DE31F0"/>
    <w:rsid w:val="00DE38E7"/>
    <w:rsid w:val="00DE3D1C"/>
    <w:rsid w:val="00DE45D9"/>
    <w:rsid w:val="00DE4E12"/>
    <w:rsid w:val="00DE5174"/>
    <w:rsid w:val="00DE58F6"/>
    <w:rsid w:val="00DE6A41"/>
    <w:rsid w:val="00DE701B"/>
    <w:rsid w:val="00DF063B"/>
    <w:rsid w:val="00DF1371"/>
    <w:rsid w:val="00DF1D58"/>
    <w:rsid w:val="00DF2286"/>
    <w:rsid w:val="00DF2E23"/>
    <w:rsid w:val="00DF517A"/>
    <w:rsid w:val="00DF5CB4"/>
    <w:rsid w:val="00DF64BA"/>
    <w:rsid w:val="00DF654F"/>
    <w:rsid w:val="00E0031D"/>
    <w:rsid w:val="00E00486"/>
    <w:rsid w:val="00E015B6"/>
    <w:rsid w:val="00E015C5"/>
    <w:rsid w:val="00E01C41"/>
    <w:rsid w:val="00E01D02"/>
    <w:rsid w:val="00E0227D"/>
    <w:rsid w:val="00E02ED7"/>
    <w:rsid w:val="00E04B84"/>
    <w:rsid w:val="00E06466"/>
    <w:rsid w:val="00E06835"/>
    <w:rsid w:val="00E06BB8"/>
    <w:rsid w:val="00E06FDA"/>
    <w:rsid w:val="00E07EA8"/>
    <w:rsid w:val="00E104CF"/>
    <w:rsid w:val="00E105C2"/>
    <w:rsid w:val="00E10ED7"/>
    <w:rsid w:val="00E11A49"/>
    <w:rsid w:val="00E12067"/>
    <w:rsid w:val="00E1552D"/>
    <w:rsid w:val="00E156FF"/>
    <w:rsid w:val="00E1604E"/>
    <w:rsid w:val="00E160A5"/>
    <w:rsid w:val="00E16C21"/>
    <w:rsid w:val="00E1713D"/>
    <w:rsid w:val="00E20097"/>
    <w:rsid w:val="00E20A43"/>
    <w:rsid w:val="00E21D21"/>
    <w:rsid w:val="00E228D7"/>
    <w:rsid w:val="00E22EDE"/>
    <w:rsid w:val="00E23898"/>
    <w:rsid w:val="00E240E9"/>
    <w:rsid w:val="00E242CA"/>
    <w:rsid w:val="00E25F3B"/>
    <w:rsid w:val="00E27D56"/>
    <w:rsid w:val="00E301FB"/>
    <w:rsid w:val="00E30668"/>
    <w:rsid w:val="00E30973"/>
    <w:rsid w:val="00E30B29"/>
    <w:rsid w:val="00E31273"/>
    <w:rsid w:val="00E312F8"/>
    <w:rsid w:val="00E3199D"/>
    <w:rsid w:val="00E319F1"/>
    <w:rsid w:val="00E323B8"/>
    <w:rsid w:val="00E3287E"/>
    <w:rsid w:val="00E33CD2"/>
    <w:rsid w:val="00E34CD5"/>
    <w:rsid w:val="00E34D78"/>
    <w:rsid w:val="00E35F97"/>
    <w:rsid w:val="00E3639C"/>
    <w:rsid w:val="00E363E5"/>
    <w:rsid w:val="00E3672B"/>
    <w:rsid w:val="00E3685C"/>
    <w:rsid w:val="00E368F6"/>
    <w:rsid w:val="00E37FE2"/>
    <w:rsid w:val="00E40C30"/>
    <w:rsid w:val="00E40E90"/>
    <w:rsid w:val="00E41F4F"/>
    <w:rsid w:val="00E43D2E"/>
    <w:rsid w:val="00E45C7E"/>
    <w:rsid w:val="00E45E8B"/>
    <w:rsid w:val="00E4627B"/>
    <w:rsid w:val="00E47BDC"/>
    <w:rsid w:val="00E52204"/>
    <w:rsid w:val="00E52CD5"/>
    <w:rsid w:val="00E531EB"/>
    <w:rsid w:val="00E53522"/>
    <w:rsid w:val="00E53A75"/>
    <w:rsid w:val="00E53A9D"/>
    <w:rsid w:val="00E53B15"/>
    <w:rsid w:val="00E53B33"/>
    <w:rsid w:val="00E53DC9"/>
    <w:rsid w:val="00E53EA8"/>
    <w:rsid w:val="00E54035"/>
    <w:rsid w:val="00E54874"/>
    <w:rsid w:val="00E54B6F"/>
    <w:rsid w:val="00E55ACA"/>
    <w:rsid w:val="00E55CDE"/>
    <w:rsid w:val="00E5693B"/>
    <w:rsid w:val="00E573F5"/>
    <w:rsid w:val="00E577DE"/>
    <w:rsid w:val="00E5783A"/>
    <w:rsid w:val="00E57B74"/>
    <w:rsid w:val="00E60275"/>
    <w:rsid w:val="00E6053F"/>
    <w:rsid w:val="00E61035"/>
    <w:rsid w:val="00E62078"/>
    <w:rsid w:val="00E62278"/>
    <w:rsid w:val="00E624F1"/>
    <w:rsid w:val="00E626F4"/>
    <w:rsid w:val="00E62783"/>
    <w:rsid w:val="00E63007"/>
    <w:rsid w:val="00E6499F"/>
    <w:rsid w:val="00E649D9"/>
    <w:rsid w:val="00E65234"/>
    <w:rsid w:val="00E65BC6"/>
    <w:rsid w:val="00E661FF"/>
    <w:rsid w:val="00E6667D"/>
    <w:rsid w:val="00E679D8"/>
    <w:rsid w:val="00E702B9"/>
    <w:rsid w:val="00E702DD"/>
    <w:rsid w:val="00E70F21"/>
    <w:rsid w:val="00E70F35"/>
    <w:rsid w:val="00E717A2"/>
    <w:rsid w:val="00E718F3"/>
    <w:rsid w:val="00E726EB"/>
    <w:rsid w:val="00E72CF1"/>
    <w:rsid w:val="00E73EE2"/>
    <w:rsid w:val="00E73FC3"/>
    <w:rsid w:val="00E740B8"/>
    <w:rsid w:val="00E740CF"/>
    <w:rsid w:val="00E74128"/>
    <w:rsid w:val="00E74854"/>
    <w:rsid w:val="00E74A56"/>
    <w:rsid w:val="00E7595F"/>
    <w:rsid w:val="00E773C1"/>
    <w:rsid w:val="00E77617"/>
    <w:rsid w:val="00E803ED"/>
    <w:rsid w:val="00E80B52"/>
    <w:rsid w:val="00E821A1"/>
    <w:rsid w:val="00E824C3"/>
    <w:rsid w:val="00E82840"/>
    <w:rsid w:val="00E83292"/>
    <w:rsid w:val="00E840B3"/>
    <w:rsid w:val="00E8413F"/>
    <w:rsid w:val="00E84D10"/>
    <w:rsid w:val="00E8629F"/>
    <w:rsid w:val="00E86C34"/>
    <w:rsid w:val="00E86CC8"/>
    <w:rsid w:val="00E90068"/>
    <w:rsid w:val="00E906CC"/>
    <w:rsid w:val="00E90F42"/>
    <w:rsid w:val="00E91008"/>
    <w:rsid w:val="00E92163"/>
    <w:rsid w:val="00E9291F"/>
    <w:rsid w:val="00E93125"/>
    <w:rsid w:val="00E931B1"/>
    <w:rsid w:val="00E93312"/>
    <w:rsid w:val="00E9374E"/>
    <w:rsid w:val="00E93A46"/>
    <w:rsid w:val="00E94E60"/>
    <w:rsid w:val="00E94F54"/>
    <w:rsid w:val="00E951E9"/>
    <w:rsid w:val="00E95285"/>
    <w:rsid w:val="00E95776"/>
    <w:rsid w:val="00E96291"/>
    <w:rsid w:val="00E97AD5"/>
    <w:rsid w:val="00EA0641"/>
    <w:rsid w:val="00EA0C65"/>
    <w:rsid w:val="00EA0D09"/>
    <w:rsid w:val="00EA0E3A"/>
    <w:rsid w:val="00EA1111"/>
    <w:rsid w:val="00EA21D5"/>
    <w:rsid w:val="00EA22B6"/>
    <w:rsid w:val="00EA2DB1"/>
    <w:rsid w:val="00EA3B4F"/>
    <w:rsid w:val="00EA3C24"/>
    <w:rsid w:val="00EA40FA"/>
    <w:rsid w:val="00EA42B0"/>
    <w:rsid w:val="00EA42E1"/>
    <w:rsid w:val="00EA4380"/>
    <w:rsid w:val="00EA4741"/>
    <w:rsid w:val="00EA5264"/>
    <w:rsid w:val="00EA59BD"/>
    <w:rsid w:val="00EA6C1D"/>
    <w:rsid w:val="00EA6C5A"/>
    <w:rsid w:val="00EA71E5"/>
    <w:rsid w:val="00EA73DF"/>
    <w:rsid w:val="00EA7D96"/>
    <w:rsid w:val="00EB03ED"/>
    <w:rsid w:val="00EB2FB8"/>
    <w:rsid w:val="00EB37B3"/>
    <w:rsid w:val="00EB47AE"/>
    <w:rsid w:val="00EB4854"/>
    <w:rsid w:val="00EB61AE"/>
    <w:rsid w:val="00EB7181"/>
    <w:rsid w:val="00EB79F1"/>
    <w:rsid w:val="00EB7B5A"/>
    <w:rsid w:val="00EC015F"/>
    <w:rsid w:val="00EC16C5"/>
    <w:rsid w:val="00EC2046"/>
    <w:rsid w:val="00EC2FB5"/>
    <w:rsid w:val="00EC322D"/>
    <w:rsid w:val="00EC3A2E"/>
    <w:rsid w:val="00EC4309"/>
    <w:rsid w:val="00EC43E6"/>
    <w:rsid w:val="00EC529A"/>
    <w:rsid w:val="00EC65E0"/>
    <w:rsid w:val="00EC77FC"/>
    <w:rsid w:val="00ED0AB7"/>
    <w:rsid w:val="00ED12E6"/>
    <w:rsid w:val="00ED2197"/>
    <w:rsid w:val="00ED225A"/>
    <w:rsid w:val="00ED225E"/>
    <w:rsid w:val="00ED2C81"/>
    <w:rsid w:val="00ED3067"/>
    <w:rsid w:val="00ED383A"/>
    <w:rsid w:val="00ED3F40"/>
    <w:rsid w:val="00ED4526"/>
    <w:rsid w:val="00ED4F23"/>
    <w:rsid w:val="00ED6DFF"/>
    <w:rsid w:val="00ED7F3A"/>
    <w:rsid w:val="00ED7FA2"/>
    <w:rsid w:val="00EE00BA"/>
    <w:rsid w:val="00EE052D"/>
    <w:rsid w:val="00EE06D5"/>
    <w:rsid w:val="00EE1080"/>
    <w:rsid w:val="00EE116A"/>
    <w:rsid w:val="00EE1944"/>
    <w:rsid w:val="00EE260A"/>
    <w:rsid w:val="00EE2EA6"/>
    <w:rsid w:val="00EE3A44"/>
    <w:rsid w:val="00EE3F53"/>
    <w:rsid w:val="00EE5C54"/>
    <w:rsid w:val="00EE5F9C"/>
    <w:rsid w:val="00EE6EFA"/>
    <w:rsid w:val="00EE79E9"/>
    <w:rsid w:val="00EF08EB"/>
    <w:rsid w:val="00EF0F3D"/>
    <w:rsid w:val="00EF15CD"/>
    <w:rsid w:val="00EF1EC5"/>
    <w:rsid w:val="00EF25AD"/>
    <w:rsid w:val="00EF25C8"/>
    <w:rsid w:val="00EF2F72"/>
    <w:rsid w:val="00EF4136"/>
    <w:rsid w:val="00EF4C88"/>
    <w:rsid w:val="00EF55EB"/>
    <w:rsid w:val="00EF5DF0"/>
    <w:rsid w:val="00EF73CC"/>
    <w:rsid w:val="00EF771A"/>
    <w:rsid w:val="00F00DCC"/>
    <w:rsid w:val="00F0156F"/>
    <w:rsid w:val="00F0276C"/>
    <w:rsid w:val="00F0292C"/>
    <w:rsid w:val="00F02CDE"/>
    <w:rsid w:val="00F02E77"/>
    <w:rsid w:val="00F04081"/>
    <w:rsid w:val="00F04335"/>
    <w:rsid w:val="00F05AC8"/>
    <w:rsid w:val="00F05C38"/>
    <w:rsid w:val="00F06297"/>
    <w:rsid w:val="00F06631"/>
    <w:rsid w:val="00F07167"/>
    <w:rsid w:val="00F072D8"/>
    <w:rsid w:val="00F07CE0"/>
    <w:rsid w:val="00F103BF"/>
    <w:rsid w:val="00F107D3"/>
    <w:rsid w:val="00F1123D"/>
    <w:rsid w:val="00F115F5"/>
    <w:rsid w:val="00F13D00"/>
    <w:rsid w:val="00F13D05"/>
    <w:rsid w:val="00F162CC"/>
    <w:rsid w:val="00F1679D"/>
    <w:rsid w:val="00F1682C"/>
    <w:rsid w:val="00F204CF"/>
    <w:rsid w:val="00F20B91"/>
    <w:rsid w:val="00F21139"/>
    <w:rsid w:val="00F214F9"/>
    <w:rsid w:val="00F22810"/>
    <w:rsid w:val="00F23AFC"/>
    <w:rsid w:val="00F24983"/>
    <w:rsid w:val="00F24B8B"/>
    <w:rsid w:val="00F24C55"/>
    <w:rsid w:val="00F255CB"/>
    <w:rsid w:val="00F25988"/>
    <w:rsid w:val="00F25D0F"/>
    <w:rsid w:val="00F26C62"/>
    <w:rsid w:val="00F26DCC"/>
    <w:rsid w:val="00F27636"/>
    <w:rsid w:val="00F30A26"/>
    <w:rsid w:val="00F30CCC"/>
    <w:rsid w:val="00F30D2E"/>
    <w:rsid w:val="00F311B4"/>
    <w:rsid w:val="00F335E2"/>
    <w:rsid w:val="00F33AD5"/>
    <w:rsid w:val="00F33B72"/>
    <w:rsid w:val="00F34765"/>
    <w:rsid w:val="00F34AF0"/>
    <w:rsid w:val="00F34BDE"/>
    <w:rsid w:val="00F3525D"/>
    <w:rsid w:val="00F35516"/>
    <w:rsid w:val="00F35790"/>
    <w:rsid w:val="00F3593A"/>
    <w:rsid w:val="00F35C77"/>
    <w:rsid w:val="00F373EC"/>
    <w:rsid w:val="00F37515"/>
    <w:rsid w:val="00F37BEC"/>
    <w:rsid w:val="00F37FB2"/>
    <w:rsid w:val="00F408CE"/>
    <w:rsid w:val="00F410D7"/>
    <w:rsid w:val="00F4136D"/>
    <w:rsid w:val="00F41478"/>
    <w:rsid w:val="00F41638"/>
    <w:rsid w:val="00F4212E"/>
    <w:rsid w:val="00F42C20"/>
    <w:rsid w:val="00F42FC5"/>
    <w:rsid w:val="00F43608"/>
    <w:rsid w:val="00F43E34"/>
    <w:rsid w:val="00F44A65"/>
    <w:rsid w:val="00F45358"/>
    <w:rsid w:val="00F46155"/>
    <w:rsid w:val="00F468EC"/>
    <w:rsid w:val="00F47999"/>
    <w:rsid w:val="00F51F40"/>
    <w:rsid w:val="00F52015"/>
    <w:rsid w:val="00F53053"/>
    <w:rsid w:val="00F53CB1"/>
    <w:rsid w:val="00F53EEC"/>
    <w:rsid w:val="00F53FE2"/>
    <w:rsid w:val="00F54B15"/>
    <w:rsid w:val="00F553E9"/>
    <w:rsid w:val="00F55969"/>
    <w:rsid w:val="00F55C58"/>
    <w:rsid w:val="00F55DBE"/>
    <w:rsid w:val="00F56BAD"/>
    <w:rsid w:val="00F575FF"/>
    <w:rsid w:val="00F57D43"/>
    <w:rsid w:val="00F605D1"/>
    <w:rsid w:val="00F605F8"/>
    <w:rsid w:val="00F60DE1"/>
    <w:rsid w:val="00F618EF"/>
    <w:rsid w:val="00F61BC7"/>
    <w:rsid w:val="00F621B4"/>
    <w:rsid w:val="00F62DEC"/>
    <w:rsid w:val="00F63839"/>
    <w:rsid w:val="00F649CE"/>
    <w:rsid w:val="00F6514A"/>
    <w:rsid w:val="00F65482"/>
    <w:rsid w:val="00F65582"/>
    <w:rsid w:val="00F65916"/>
    <w:rsid w:val="00F66B3E"/>
    <w:rsid w:val="00F66E75"/>
    <w:rsid w:val="00F67AE0"/>
    <w:rsid w:val="00F70548"/>
    <w:rsid w:val="00F70F2A"/>
    <w:rsid w:val="00F71B83"/>
    <w:rsid w:val="00F723F6"/>
    <w:rsid w:val="00F73479"/>
    <w:rsid w:val="00F73AC6"/>
    <w:rsid w:val="00F73ADF"/>
    <w:rsid w:val="00F74E92"/>
    <w:rsid w:val="00F75108"/>
    <w:rsid w:val="00F7544E"/>
    <w:rsid w:val="00F7554B"/>
    <w:rsid w:val="00F76187"/>
    <w:rsid w:val="00F769DD"/>
    <w:rsid w:val="00F776D0"/>
    <w:rsid w:val="00F77716"/>
    <w:rsid w:val="00F77EB0"/>
    <w:rsid w:val="00F8000C"/>
    <w:rsid w:val="00F8078F"/>
    <w:rsid w:val="00F80834"/>
    <w:rsid w:val="00F80B4D"/>
    <w:rsid w:val="00F81446"/>
    <w:rsid w:val="00F814BF"/>
    <w:rsid w:val="00F816E3"/>
    <w:rsid w:val="00F81B07"/>
    <w:rsid w:val="00F82DA6"/>
    <w:rsid w:val="00F85132"/>
    <w:rsid w:val="00F85D6C"/>
    <w:rsid w:val="00F86B1F"/>
    <w:rsid w:val="00F86B32"/>
    <w:rsid w:val="00F87705"/>
    <w:rsid w:val="00F878A7"/>
    <w:rsid w:val="00F87CDD"/>
    <w:rsid w:val="00F9159F"/>
    <w:rsid w:val="00F91A7C"/>
    <w:rsid w:val="00F92D4F"/>
    <w:rsid w:val="00F93116"/>
    <w:rsid w:val="00F933F0"/>
    <w:rsid w:val="00F937A3"/>
    <w:rsid w:val="00F93AF9"/>
    <w:rsid w:val="00F93D8B"/>
    <w:rsid w:val="00F9458B"/>
    <w:rsid w:val="00F946A7"/>
    <w:rsid w:val="00F94715"/>
    <w:rsid w:val="00F95C8E"/>
    <w:rsid w:val="00F96A3D"/>
    <w:rsid w:val="00F97D99"/>
    <w:rsid w:val="00FA132C"/>
    <w:rsid w:val="00FA1738"/>
    <w:rsid w:val="00FA1AE7"/>
    <w:rsid w:val="00FA1F4B"/>
    <w:rsid w:val="00FA2B6D"/>
    <w:rsid w:val="00FA3313"/>
    <w:rsid w:val="00FA4718"/>
    <w:rsid w:val="00FA5848"/>
    <w:rsid w:val="00FA5E88"/>
    <w:rsid w:val="00FA6899"/>
    <w:rsid w:val="00FA7F3D"/>
    <w:rsid w:val="00FB0D91"/>
    <w:rsid w:val="00FB0EB5"/>
    <w:rsid w:val="00FB22F3"/>
    <w:rsid w:val="00FB23B3"/>
    <w:rsid w:val="00FB30DD"/>
    <w:rsid w:val="00FB38D8"/>
    <w:rsid w:val="00FB45D5"/>
    <w:rsid w:val="00FB494D"/>
    <w:rsid w:val="00FB6430"/>
    <w:rsid w:val="00FB6BC5"/>
    <w:rsid w:val="00FB7170"/>
    <w:rsid w:val="00FB7291"/>
    <w:rsid w:val="00FB79DF"/>
    <w:rsid w:val="00FC051F"/>
    <w:rsid w:val="00FC06FF"/>
    <w:rsid w:val="00FC1B63"/>
    <w:rsid w:val="00FC1E06"/>
    <w:rsid w:val="00FC2BE7"/>
    <w:rsid w:val="00FC2DAD"/>
    <w:rsid w:val="00FC3B54"/>
    <w:rsid w:val="00FC3ECF"/>
    <w:rsid w:val="00FC41BB"/>
    <w:rsid w:val="00FC4300"/>
    <w:rsid w:val="00FC45F4"/>
    <w:rsid w:val="00FC48E6"/>
    <w:rsid w:val="00FC4AD8"/>
    <w:rsid w:val="00FC6247"/>
    <w:rsid w:val="00FC69B4"/>
    <w:rsid w:val="00FC6AC4"/>
    <w:rsid w:val="00FC7393"/>
    <w:rsid w:val="00FC7CD7"/>
    <w:rsid w:val="00FD03A8"/>
    <w:rsid w:val="00FD0694"/>
    <w:rsid w:val="00FD15A2"/>
    <w:rsid w:val="00FD25BE"/>
    <w:rsid w:val="00FD2769"/>
    <w:rsid w:val="00FD2BF4"/>
    <w:rsid w:val="00FD2C13"/>
    <w:rsid w:val="00FD2E70"/>
    <w:rsid w:val="00FD37A0"/>
    <w:rsid w:val="00FD3DE8"/>
    <w:rsid w:val="00FD43AD"/>
    <w:rsid w:val="00FD4642"/>
    <w:rsid w:val="00FD4C10"/>
    <w:rsid w:val="00FD57D5"/>
    <w:rsid w:val="00FD5FE9"/>
    <w:rsid w:val="00FD62C9"/>
    <w:rsid w:val="00FD6D71"/>
    <w:rsid w:val="00FD7AA7"/>
    <w:rsid w:val="00FD7B22"/>
    <w:rsid w:val="00FE01C9"/>
    <w:rsid w:val="00FE1B02"/>
    <w:rsid w:val="00FE1FD5"/>
    <w:rsid w:val="00FE2624"/>
    <w:rsid w:val="00FE3EB2"/>
    <w:rsid w:val="00FE3FA0"/>
    <w:rsid w:val="00FE420A"/>
    <w:rsid w:val="00FE45A8"/>
    <w:rsid w:val="00FE4F48"/>
    <w:rsid w:val="00FE5EA0"/>
    <w:rsid w:val="00FE681D"/>
    <w:rsid w:val="00FE72D0"/>
    <w:rsid w:val="00FE72E6"/>
    <w:rsid w:val="00FE747A"/>
    <w:rsid w:val="00FE752B"/>
    <w:rsid w:val="00FE7DF7"/>
    <w:rsid w:val="00FF0BA6"/>
    <w:rsid w:val="00FF0DA8"/>
    <w:rsid w:val="00FF11B1"/>
    <w:rsid w:val="00FF1593"/>
    <w:rsid w:val="00FF1949"/>
    <w:rsid w:val="00FF1F6A"/>
    <w:rsid w:val="00FF1FCB"/>
    <w:rsid w:val="00FF2C48"/>
    <w:rsid w:val="00FF2EF1"/>
    <w:rsid w:val="00FF4D3E"/>
    <w:rsid w:val="00FF52D4"/>
    <w:rsid w:val="00FF575F"/>
    <w:rsid w:val="00FF58B8"/>
    <w:rsid w:val="00FF5966"/>
    <w:rsid w:val="00FF61DC"/>
    <w:rsid w:val="00FF6AA4"/>
    <w:rsid w:val="00FF6B09"/>
    <w:rsid w:val="00FF7016"/>
    <w:rsid w:val="00FF71E9"/>
    <w:rsid w:val="00FF79DC"/>
    <w:rsid w:val="00FF7BE2"/>
    <w:rsid w:val="03CC18DD"/>
    <w:rsid w:val="04B9B899"/>
    <w:rsid w:val="10C4252E"/>
    <w:rsid w:val="146E219B"/>
    <w:rsid w:val="169AEFD4"/>
    <w:rsid w:val="176C804D"/>
    <w:rsid w:val="1DAA7640"/>
    <w:rsid w:val="24A73FF0"/>
    <w:rsid w:val="3FF8F595"/>
    <w:rsid w:val="403A8D00"/>
    <w:rsid w:val="41CD8D67"/>
    <w:rsid w:val="43E36C76"/>
    <w:rsid w:val="51828ACA"/>
    <w:rsid w:val="5A51B18E"/>
    <w:rsid w:val="5EB9C95C"/>
    <w:rsid w:val="5F6E3DB6"/>
    <w:rsid w:val="6399720A"/>
    <w:rsid w:val="73360E82"/>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739DD0B7-4FB5-49BD-8E0A-EF80EBE3C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1B5D"/>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265306341">
      <w:bodyDiv w:val="1"/>
      <w:marLeft w:val="0"/>
      <w:marRight w:val="0"/>
      <w:marTop w:val="0"/>
      <w:marBottom w:val="0"/>
      <w:divBdr>
        <w:top w:val="none" w:sz="0" w:space="0" w:color="auto"/>
        <w:left w:val="none" w:sz="0" w:space="0" w:color="auto"/>
        <w:bottom w:val="none" w:sz="0" w:space="0" w:color="auto"/>
        <w:right w:val="none" w:sz="0" w:space="0" w:color="auto"/>
      </w:divBdr>
      <w:divsChild>
        <w:div w:id="31460827">
          <w:marLeft w:val="0"/>
          <w:marRight w:val="0"/>
          <w:marTop w:val="0"/>
          <w:marBottom w:val="0"/>
          <w:divBdr>
            <w:top w:val="none" w:sz="0" w:space="0" w:color="auto"/>
            <w:left w:val="none" w:sz="0" w:space="0" w:color="auto"/>
            <w:bottom w:val="none" w:sz="0" w:space="0" w:color="auto"/>
            <w:right w:val="none" w:sz="0" w:space="0" w:color="auto"/>
          </w:divBdr>
        </w:div>
      </w:divsChild>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53726192">
      <w:bodyDiv w:val="1"/>
      <w:marLeft w:val="0"/>
      <w:marRight w:val="0"/>
      <w:marTop w:val="0"/>
      <w:marBottom w:val="0"/>
      <w:divBdr>
        <w:top w:val="none" w:sz="0" w:space="0" w:color="auto"/>
        <w:left w:val="none" w:sz="0" w:space="0" w:color="auto"/>
        <w:bottom w:val="none" w:sz="0" w:space="0" w:color="auto"/>
        <w:right w:val="none" w:sz="0" w:space="0" w:color="auto"/>
      </w:divBdr>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850022754">
      <w:bodyDiv w:val="1"/>
      <w:marLeft w:val="0"/>
      <w:marRight w:val="0"/>
      <w:marTop w:val="0"/>
      <w:marBottom w:val="0"/>
      <w:divBdr>
        <w:top w:val="none" w:sz="0" w:space="0" w:color="auto"/>
        <w:left w:val="none" w:sz="0" w:space="0" w:color="auto"/>
        <w:bottom w:val="none" w:sz="0" w:space="0" w:color="auto"/>
        <w:right w:val="none" w:sz="0" w:space="0" w:color="auto"/>
      </w:divBdr>
      <w:divsChild>
        <w:div w:id="344672229">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318535234">
      <w:bodyDiv w:val="1"/>
      <w:marLeft w:val="0"/>
      <w:marRight w:val="0"/>
      <w:marTop w:val="0"/>
      <w:marBottom w:val="0"/>
      <w:divBdr>
        <w:top w:val="none" w:sz="0" w:space="0" w:color="auto"/>
        <w:left w:val="none" w:sz="0" w:space="0" w:color="auto"/>
        <w:bottom w:val="none" w:sz="0" w:space="0" w:color="auto"/>
        <w:right w:val="none" w:sz="0" w:space="0" w:color="auto"/>
      </w:divBdr>
      <w:divsChild>
        <w:div w:id="1596859957">
          <w:marLeft w:val="0"/>
          <w:marRight w:val="0"/>
          <w:marTop w:val="0"/>
          <w:marBottom w:val="0"/>
          <w:divBdr>
            <w:top w:val="none" w:sz="0" w:space="0" w:color="auto"/>
            <w:left w:val="none" w:sz="0" w:space="0" w:color="auto"/>
            <w:bottom w:val="none" w:sz="0" w:space="0" w:color="auto"/>
            <w:right w:val="none" w:sz="0" w:space="0" w:color="auto"/>
          </w:divBdr>
        </w:div>
      </w:divsChild>
    </w:div>
    <w:div w:id="1517573379">
      <w:bodyDiv w:val="1"/>
      <w:marLeft w:val="0"/>
      <w:marRight w:val="0"/>
      <w:marTop w:val="0"/>
      <w:marBottom w:val="0"/>
      <w:divBdr>
        <w:top w:val="none" w:sz="0" w:space="0" w:color="auto"/>
        <w:left w:val="none" w:sz="0" w:space="0" w:color="auto"/>
        <w:bottom w:val="none" w:sz="0" w:space="0" w:color="auto"/>
        <w:right w:val="none" w:sz="0" w:space="0" w:color="auto"/>
      </w:divBdr>
      <w:divsChild>
        <w:div w:id="2058431333">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F04A2D-8FD6-41D4-8CAB-B7B62B6505C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5.xml><?xml version="1.0" encoding="utf-8"?>
<ds:datastoreItem xmlns:ds="http://schemas.openxmlformats.org/officeDocument/2006/customXml" ds:itemID="{67F01652-EBC3-4A93-85A4-C21BC9675B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2163</TotalTime>
  <Pages>3</Pages>
  <Words>819</Words>
  <Characters>4673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5482</CharactersWithSpaces>
  <SharedDoc>false</SharedDoc>
  <HLinks>
    <vt:vector size="48" baseType="variant">
      <vt:variant>
        <vt:i4>1835058</vt:i4>
      </vt:variant>
      <vt:variant>
        <vt:i4>32</vt:i4>
      </vt:variant>
      <vt:variant>
        <vt:i4>0</vt:i4>
      </vt:variant>
      <vt:variant>
        <vt:i4>5</vt:i4>
      </vt:variant>
      <vt:variant>
        <vt:lpwstr/>
      </vt:variant>
      <vt:variant>
        <vt:lpwstr>_Toc163481880</vt:lpwstr>
      </vt:variant>
      <vt:variant>
        <vt:i4>1245234</vt:i4>
      </vt:variant>
      <vt:variant>
        <vt:i4>29</vt:i4>
      </vt:variant>
      <vt:variant>
        <vt:i4>0</vt:i4>
      </vt:variant>
      <vt:variant>
        <vt:i4>5</vt:i4>
      </vt:variant>
      <vt:variant>
        <vt:lpwstr/>
      </vt:variant>
      <vt:variant>
        <vt:lpwstr>_Toc163481879</vt:lpwstr>
      </vt:variant>
      <vt:variant>
        <vt:i4>1245234</vt:i4>
      </vt:variant>
      <vt:variant>
        <vt:i4>26</vt:i4>
      </vt:variant>
      <vt:variant>
        <vt:i4>0</vt:i4>
      </vt:variant>
      <vt:variant>
        <vt:i4>5</vt:i4>
      </vt:variant>
      <vt:variant>
        <vt:lpwstr/>
      </vt:variant>
      <vt:variant>
        <vt:lpwstr>_Toc163481878</vt:lpwstr>
      </vt:variant>
      <vt:variant>
        <vt:i4>1245234</vt:i4>
      </vt:variant>
      <vt:variant>
        <vt:i4>23</vt:i4>
      </vt:variant>
      <vt:variant>
        <vt:i4>0</vt:i4>
      </vt:variant>
      <vt:variant>
        <vt:i4>5</vt:i4>
      </vt:variant>
      <vt:variant>
        <vt:lpwstr/>
      </vt:variant>
      <vt:variant>
        <vt:lpwstr>_Toc163481877</vt:lpwstr>
      </vt:variant>
      <vt:variant>
        <vt:i4>1310771</vt:i4>
      </vt:variant>
      <vt:variant>
        <vt:i4>17</vt:i4>
      </vt:variant>
      <vt:variant>
        <vt:i4>0</vt:i4>
      </vt:variant>
      <vt:variant>
        <vt:i4>5</vt:i4>
      </vt:variant>
      <vt:variant>
        <vt:lpwstr/>
      </vt:variant>
      <vt:variant>
        <vt:lpwstr>_Toc163481902</vt:lpwstr>
      </vt:variant>
      <vt:variant>
        <vt:i4>1310771</vt:i4>
      </vt:variant>
      <vt:variant>
        <vt:i4>14</vt:i4>
      </vt:variant>
      <vt:variant>
        <vt:i4>0</vt:i4>
      </vt:variant>
      <vt:variant>
        <vt:i4>5</vt:i4>
      </vt:variant>
      <vt:variant>
        <vt:lpwstr/>
      </vt:variant>
      <vt:variant>
        <vt:lpwstr>_Toc163481901</vt:lpwstr>
      </vt:variant>
      <vt:variant>
        <vt:i4>1310771</vt:i4>
      </vt:variant>
      <vt:variant>
        <vt:i4>11</vt:i4>
      </vt:variant>
      <vt:variant>
        <vt:i4>0</vt:i4>
      </vt:variant>
      <vt:variant>
        <vt:i4>5</vt:i4>
      </vt:variant>
      <vt:variant>
        <vt:lpwstr/>
      </vt:variant>
      <vt:variant>
        <vt:lpwstr>_Toc163481900</vt:lpwstr>
      </vt:variant>
      <vt:variant>
        <vt:i4>1900594</vt:i4>
      </vt:variant>
      <vt:variant>
        <vt:i4>8</vt:i4>
      </vt:variant>
      <vt:variant>
        <vt:i4>0</vt:i4>
      </vt:variant>
      <vt:variant>
        <vt:i4>5</vt:i4>
      </vt:variant>
      <vt:variant>
        <vt:lpwstr/>
      </vt:variant>
      <vt:variant>
        <vt:lpwstr>_Toc163481899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Ericsson</cp:lastModifiedBy>
  <cp:revision>141</cp:revision>
  <cp:lastPrinted>2022-08-19T16:29:00Z</cp:lastPrinted>
  <dcterms:created xsi:type="dcterms:W3CDTF">2024-04-08T15:06:00Z</dcterms:created>
  <dcterms:modified xsi:type="dcterms:W3CDTF">2025-05-09T21:45:00Z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