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15</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1" w:name="_GoBack"/>
      <w:r>
        <w:rPr>
          <w:rFonts w:hint="eastAsia" w:ascii="Arial" w:hAnsi="Arial" w:cs="Arial"/>
          <w:b/>
          <w:sz w:val="24"/>
          <w:szCs w:val="24"/>
        </w:rPr>
        <w:t>R4-</w:t>
      </w:r>
      <w:r>
        <w:rPr>
          <w:rFonts w:hint="eastAsia" w:ascii="Arial" w:hAnsi="Arial" w:cs="Arial"/>
          <w:b/>
          <w:sz w:val="24"/>
          <w:szCs w:val="24"/>
          <w:lang w:val="en-US" w:eastAsia="zh-CN"/>
        </w:rPr>
        <w:t>2506569</w:t>
      </w:r>
      <w:bookmarkEnd w:id="1"/>
      <w:r>
        <w:rPr>
          <w:rFonts w:hint="eastAsia" w:ascii="Arial" w:hAnsi="Arial" w:cs="Arial"/>
          <w:b/>
          <w:sz w:val="24"/>
          <w:szCs w:val="24"/>
        </w:rPr>
        <w:t xml:space="preserve">                         </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Malta, MT, 19th – 23rd May, 2025</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7.29.3.1</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Discussion on</w:t>
      </w:r>
      <w:r>
        <w:rPr>
          <w:rFonts w:hint="eastAsia" w:ascii="Arial" w:hAnsi="Arial" w:cs="Arial"/>
          <w:b/>
          <w:sz w:val="24"/>
          <w:szCs w:val="24"/>
          <w:lang w:val="en-US" w:eastAsia="zh-CN"/>
        </w:rPr>
        <w:t xml:space="preserve"> Event triggered L1 measurement reporting</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5"/>
        <w:tabs>
          <w:tab w:val="left" w:pos="567"/>
          <w:tab w:val="clear" w:pos="1985"/>
        </w:tabs>
        <w:adjustRightInd w:val="0"/>
        <w:spacing w:before="0" w:beforeLines="0" w:after="0" w:afterLines="0"/>
        <w:ind w:left="510" w:hanging="510"/>
      </w:pPr>
      <w:r>
        <w:t>Introduction</w:t>
      </w:r>
    </w:p>
    <w:p>
      <w:pPr>
        <w:spacing w:before="0" w:beforeLines="0" w:afterLines="0"/>
        <w:rPr>
          <w:rFonts w:hint="eastAsia"/>
          <w:lang w:val="en-US" w:eastAsia="zh-CN"/>
        </w:rPr>
      </w:pPr>
      <w:r>
        <w:rPr>
          <w:rFonts w:hint="eastAsia"/>
          <w:lang w:val="en-US" w:eastAsia="zh-CN"/>
        </w:rPr>
        <w:t>In Rel-18, LTM was introduced to reduce handover delay and interruption time compared to layer3 based mobility. As mentioned in WID [1], LTM as introduced in Rel-18 has a number of limitations compared to L3 mobility. In Rel-19, these limitations should be removed as much as possible.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4" w:hRule="atLeast"/>
        </w:trPr>
        <w:tc>
          <w:tcPr>
            <w:tcW w:w="9629" w:type="dxa"/>
          </w:tcPr>
          <w:p>
            <w:pPr>
              <w:rPr>
                <w:highlight w:val="cyan"/>
              </w:rPr>
            </w:pPr>
          </w:p>
          <w:p>
            <w:pPr>
              <w:numPr>
                <w:ilvl w:val="0"/>
                <w:numId w:val="4"/>
              </w:numPr>
              <w:spacing w:after="0"/>
              <w:rPr>
                <w:bCs/>
              </w:rPr>
            </w:pPr>
            <w:r>
              <w:rPr>
                <w:bCs/>
              </w:rPr>
              <w:t>Measurements related enhancements for purpose of supporting LTM: [RAN2, RAN1]</w:t>
            </w:r>
          </w:p>
          <w:p>
            <w:pPr>
              <w:numPr>
                <w:ilvl w:val="1"/>
                <w:numId w:val="4"/>
              </w:numPr>
              <w:spacing w:after="0"/>
              <w:rPr>
                <w:bCs/>
              </w:rPr>
            </w:pPr>
            <w:r>
              <w:rPr>
                <w:bCs/>
              </w:rPr>
              <w:t>Measurement related enhancements are applicable to Intra-CU MCG/SCG LTM and Inter-CU MCG/SCG LTM</w:t>
            </w:r>
          </w:p>
          <w:p>
            <w:pPr>
              <w:numPr>
                <w:ilvl w:val="1"/>
                <w:numId w:val="4"/>
              </w:numPr>
              <w:spacing w:after="0"/>
              <w:rPr>
                <w:bCs/>
              </w:rPr>
            </w:pPr>
            <w:r>
              <w:rPr>
                <w:bCs/>
              </w:rPr>
              <w:t>Specify necessary components to support event triggered L1 measurement reporting [RAN2, RAN1]</w:t>
            </w:r>
          </w:p>
          <w:p/>
          <w:p>
            <w:pPr>
              <w:numPr>
                <w:ilvl w:val="1"/>
                <w:numId w:val="4"/>
              </w:numPr>
              <w:spacing w:after="0"/>
              <w:rPr>
                <w:bCs/>
              </w:rPr>
            </w:pPr>
            <w:r>
              <w:rPr>
                <w:bCs/>
              </w:rPr>
              <w:t>Specify support for CSI-RS measurements for LTM procedures and enable CSI-RS based beam management [RAN1]</w:t>
            </w:r>
          </w:p>
          <w:p>
            <w:pPr>
              <w:numPr>
                <w:ilvl w:val="1"/>
                <w:numId w:val="4"/>
              </w:numPr>
              <w:spacing w:after="0"/>
              <w:ind w:left="360"/>
            </w:pPr>
            <w:r>
              <w:rPr>
                <w:bCs/>
              </w:rPr>
              <w:t>Specify CSI acquisition on candidate cell(s) based on CSI-RS before or during LTM cell switch [RAN1]</w:t>
            </w:r>
          </w:p>
          <w:p>
            <w:pPr>
              <w:pStyle w:val="41"/>
              <w:ind w:left="360" w:firstLine="360"/>
            </w:pPr>
            <w:r>
              <w:t xml:space="preserve">NOTE: </w:t>
            </w:r>
            <w:r>
              <w:tab/>
            </w:r>
            <w:r>
              <w:t>RAN1 WG to decide on whether to support CSI report before or during the LTM cell switch, as part of the CSI acquisition procedure.</w:t>
            </w:r>
          </w:p>
          <w:p>
            <w:pPr>
              <w:numPr>
                <w:ilvl w:val="0"/>
                <w:numId w:val="4"/>
              </w:numPr>
              <w:spacing w:after="0"/>
              <w:rPr>
                <w:bCs/>
              </w:rPr>
            </w:pPr>
            <w:r>
              <w:rPr>
                <w:bCs/>
              </w:rPr>
              <w:t>Specify RRM requirements related to the above objectives as necessary [RAN4]</w:t>
            </w:r>
          </w:p>
          <w:p>
            <w:pPr>
              <w:pStyle w:val="93"/>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spacing w:before="0" w:beforeLines="0" w:afterLines="0"/>
        <w:rPr>
          <w:rFonts w:hint="default"/>
          <w:lang w:val="en-US" w:eastAsia="zh-CN"/>
        </w:rPr>
      </w:pPr>
      <w:r>
        <w:rPr>
          <w:rFonts w:hint="eastAsia"/>
          <w:lang w:val="en-US" w:eastAsia="zh-CN"/>
        </w:rPr>
        <w:t xml:space="preserve">In this contribution, we will propose our views on </w:t>
      </w:r>
      <w:r>
        <w:rPr>
          <w:bCs/>
        </w:rPr>
        <w:t>RRM requirement for</w:t>
      </w:r>
      <w:r>
        <w:rPr>
          <w:rFonts w:hint="eastAsia"/>
          <w:bCs/>
          <w:lang w:val="en-US" w:eastAsia="zh-CN"/>
        </w:rPr>
        <w:t xml:space="preserve"> event triggered L1 reporting.</w:t>
      </w:r>
    </w:p>
    <w:p>
      <w:pPr>
        <w:pStyle w:val="55"/>
        <w:tabs>
          <w:tab w:val="left" w:pos="567"/>
          <w:tab w:val="clear" w:pos="1985"/>
        </w:tabs>
        <w:adjustRightInd w:val="0"/>
        <w:spacing w:before="0" w:beforeLines="0" w:after="0" w:afterLines="0"/>
        <w:ind w:left="510" w:hanging="510"/>
        <w:rPr>
          <w:rFonts w:hint="eastAsia"/>
          <w:lang w:val="en-US" w:eastAsia="zh-CN"/>
        </w:rPr>
      </w:pPr>
      <w:r>
        <w:rPr>
          <w:rFonts w:hint="eastAsia"/>
        </w:rPr>
        <w:t>Discussion</w:t>
      </w:r>
    </w:p>
    <w:p>
      <w:pPr>
        <w:spacing w:before="0" w:beforeLines="0" w:afterLines="0"/>
        <w:rPr>
          <w:rFonts w:hint="eastAsia"/>
          <w:lang w:val="en-US" w:eastAsia="zh-CN"/>
        </w:rPr>
      </w:pPr>
      <w:r>
        <w:rPr>
          <w:rFonts w:hint="eastAsia"/>
          <w:lang w:val="en-US" w:eastAsia="zh-CN"/>
        </w:rPr>
        <w:t xml:space="preserve">According to the WID, RAN4 should discuss the impact on RRM requirements </w:t>
      </w:r>
      <w:r>
        <w:rPr>
          <w:rFonts w:ascii="Times" w:hAnsi="Times" w:eastAsia="Batang" w:cs="Times"/>
          <w:color w:val="000000"/>
          <w:sz w:val="22"/>
          <w:szCs w:val="28"/>
        </w:rPr>
        <w:t>depends on the RAN</w:t>
      </w:r>
      <w:r>
        <w:rPr>
          <w:rFonts w:hint="eastAsia" w:ascii="Times" w:hAnsi="Times" w:eastAsia="宋体" w:cs="Times"/>
          <w:color w:val="000000"/>
          <w:sz w:val="22"/>
          <w:szCs w:val="28"/>
          <w:lang w:val="en-US" w:eastAsia="zh-CN"/>
        </w:rPr>
        <w:t>1/2</w:t>
      </w:r>
      <w:r>
        <w:rPr>
          <w:rFonts w:ascii="Times" w:hAnsi="Times" w:eastAsia="Batang" w:cs="Times"/>
          <w:color w:val="000000"/>
          <w:sz w:val="22"/>
          <w:szCs w:val="28"/>
        </w:rPr>
        <w:t xml:space="preserve"> specification introduced for </w:t>
      </w:r>
      <w:r>
        <w:rPr>
          <w:lang w:val="en-US"/>
        </w:rPr>
        <w:t>Event triggered L1 measurement reporting</w:t>
      </w:r>
      <w:r>
        <w:rPr>
          <w:rFonts w:hint="eastAsia"/>
          <w:lang w:val="en-US" w:eastAsia="zh-CN"/>
        </w:rPr>
        <w:t xml:space="preserve">. In the pervious meetings, we have reached consensus on Event-triggered L1 reporting delay requirement and accuracy requirement from high level and detail should be discussed. </w:t>
      </w:r>
    </w:p>
    <w:p>
      <w:pPr>
        <w:spacing w:before="157" w:beforeLines="50"/>
        <w:rPr>
          <w:rFonts w:eastAsiaTheme="minorEastAsia"/>
          <w:sz w:val="21"/>
          <w:szCs w:val="21"/>
          <w:lang w:eastAsia="zh-CN"/>
        </w:rPr>
      </w:pPr>
      <w:r>
        <w:rPr>
          <w:rFonts w:hint="eastAsia" w:eastAsiaTheme="minorEastAsia"/>
          <w:sz w:val="21"/>
          <w:szCs w:val="21"/>
          <w:lang w:eastAsia="zh-CN"/>
        </w:rPr>
        <w:t>T</w:t>
      </w:r>
      <w:r>
        <w:rPr>
          <w:rFonts w:eastAsiaTheme="minorEastAsia"/>
          <w:sz w:val="21"/>
          <w:szCs w:val="21"/>
          <w:lang w:eastAsia="zh-CN"/>
        </w:rPr>
        <w:t>h</w:t>
      </w:r>
      <w:r>
        <w:rPr>
          <w:rFonts w:hint="eastAsia" w:eastAsiaTheme="minorEastAsia"/>
          <w:sz w:val="21"/>
          <w:szCs w:val="21"/>
          <w:lang w:eastAsia="zh-CN"/>
        </w:rPr>
        <w:t>e</w:t>
      </w:r>
      <w:r>
        <w:rPr>
          <w:rFonts w:eastAsiaTheme="minorEastAsia"/>
          <w:sz w:val="21"/>
          <w:szCs w:val="21"/>
          <w:lang w:eastAsia="zh-CN"/>
        </w:rPr>
        <w:t xml:space="preserve"> RRM impact due to event triggered L1 measurement reporting could include the followings:</w:t>
      </w:r>
    </w:p>
    <w:p>
      <w:pPr>
        <w:pStyle w:val="34"/>
        <w:numPr>
          <w:ilvl w:val="0"/>
          <w:numId w:val="5"/>
        </w:numPr>
        <w:spacing w:before="120" w:beforeLines="50" w:after="120" w:afterLines="50"/>
        <w:jc w:val="both"/>
        <w:rPr>
          <w:rFonts w:eastAsiaTheme="minorEastAsia"/>
          <w:sz w:val="21"/>
          <w:szCs w:val="21"/>
          <w:lang w:eastAsia="zh-CN"/>
        </w:rPr>
      </w:pPr>
      <w:r>
        <w:rPr>
          <w:rFonts w:eastAsiaTheme="minorEastAsia"/>
          <w:sz w:val="21"/>
          <w:szCs w:val="21"/>
          <w:lang w:eastAsia="zh-CN"/>
        </w:rPr>
        <w:t>Capabilities for Support of Event Triggering and Reporting Criteria</w:t>
      </w:r>
    </w:p>
    <w:p>
      <w:pPr>
        <w:pStyle w:val="34"/>
        <w:numPr>
          <w:ilvl w:val="0"/>
          <w:numId w:val="5"/>
        </w:numPr>
        <w:spacing w:before="120" w:beforeLines="50" w:after="120" w:afterLines="50"/>
        <w:rPr>
          <w:rFonts w:hint="eastAsia" w:eastAsiaTheme="minorEastAsia"/>
          <w:sz w:val="21"/>
          <w:szCs w:val="21"/>
          <w:lang w:val="en-US" w:eastAsia="zh-CN"/>
        </w:rPr>
      </w:pPr>
      <w:r>
        <w:rPr>
          <w:rFonts w:hint="eastAsia" w:eastAsiaTheme="minorEastAsia"/>
          <w:sz w:val="21"/>
          <w:szCs w:val="21"/>
          <w:lang w:eastAsia="zh-CN"/>
        </w:rPr>
        <w:t>Other</w:t>
      </w:r>
      <w:r>
        <w:rPr>
          <w:rFonts w:eastAsiaTheme="minorEastAsia"/>
          <w:sz w:val="21"/>
          <w:szCs w:val="21"/>
          <w:lang w:eastAsia="zh-CN"/>
        </w:rPr>
        <w:t xml:space="preserve"> potential impact of event-triggered L1 reporting </w:t>
      </w:r>
    </w:p>
    <w:p>
      <w:pPr>
        <w:pStyle w:val="34"/>
        <w:numPr>
          <w:ilvl w:val="-1"/>
          <w:numId w:val="0"/>
        </w:numPr>
        <w:spacing w:before="120" w:beforeLines="50" w:after="120" w:afterLines="50"/>
        <w:ind w:left="0" w:leftChars="0" w:firstLine="0" w:firstLineChars="0"/>
        <w:rPr>
          <w:rFonts w:hint="eastAsia" w:eastAsiaTheme="minorEastAsia"/>
          <w:sz w:val="21"/>
          <w:szCs w:val="21"/>
          <w:lang w:val="en-US" w:eastAsia="zh-CN"/>
        </w:rPr>
      </w:pPr>
      <w:r>
        <w:rPr>
          <w:rFonts w:hint="eastAsia" w:eastAsiaTheme="minorEastAsia"/>
          <w:sz w:val="21"/>
          <w:szCs w:val="21"/>
          <w:lang w:val="en-US" w:eastAsia="zh-CN"/>
        </w:rPr>
        <w:t>Below, we will express our views on the above issues.</w:t>
      </w:r>
    </w:p>
    <w:p>
      <w:pPr>
        <w:pStyle w:val="34"/>
        <w:numPr>
          <w:ilvl w:val="-1"/>
          <w:numId w:val="0"/>
        </w:numPr>
        <w:spacing w:before="120" w:beforeLines="50" w:after="120" w:afterLines="50"/>
        <w:ind w:left="0" w:leftChars="0" w:firstLine="0" w:firstLineChars="0"/>
        <w:rPr>
          <w:rFonts w:hint="eastAsia" w:eastAsiaTheme="minorEastAsia"/>
          <w:sz w:val="21"/>
          <w:szCs w:val="21"/>
          <w:lang w:val="en-US" w:eastAsia="zh-CN"/>
        </w:rPr>
      </w:pPr>
    </w:p>
    <w:p>
      <w:pPr>
        <w:pStyle w:val="34"/>
        <w:numPr>
          <w:ilvl w:val="-1"/>
          <w:numId w:val="0"/>
        </w:numPr>
        <w:spacing w:before="120" w:beforeLines="50" w:after="120" w:afterLines="50"/>
        <w:ind w:left="0" w:leftChars="0" w:firstLine="0" w:firstLineChars="0"/>
        <w:rPr>
          <w:rFonts w:hint="default" w:eastAsiaTheme="minorEastAsia"/>
          <w:sz w:val="21"/>
          <w:szCs w:val="21"/>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84" w:hRule="atLeast"/>
        </w:trPr>
        <w:tc>
          <w:tcPr>
            <w:tcW w:w="9629" w:type="dxa"/>
          </w:tcPr>
          <w:p>
            <w:pPr>
              <w:pStyle w:val="5"/>
              <w:numPr>
                <w:ilvl w:val="0"/>
                <w:numId w:val="0"/>
              </w:numPr>
              <w:rPr>
                <w:lang w:val="en-US"/>
              </w:rPr>
            </w:pPr>
            <w:r>
              <w:rPr>
                <w:lang w:val="en-US"/>
              </w:rPr>
              <w:t>Issue 2-3: whether to introduce/update requirements for reporting criteria per measurement category</w:t>
            </w:r>
          </w:p>
          <w:p>
            <w:pPr>
              <w:spacing w:after="120"/>
              <w:rPr>
                <w:b/>
                <w:bCs/>
                <w:color w:val="000000" w:themeColor="text1"/>
                <w14:textFill>
                  <w14:solidFill>
                    <w14:schemeClr w14:val="tx1"/>
                  </w14:solidFill>
                </w14:textFill>
              </w:rPr>
            </w:pPr>
            <w:r>
              <w:rPr>
                <w:b/>
                <w:bCs/>
                <w:color w:val="000000" w:themeColor="text1"/>
                <w14:textFill>
                  <w14:solidFill>
                    <w14:schemeClr w14:val="tx1"/>
                  </w14:solidFill>
                </w14:textFill>
              </w:rPr>
              <w:t>Candidate options:</w:t>
            </w:r>
          </w:p>
          <w:p>
            <w:pPr>
              <w:pStyle w:val="34"/>
              <w:numPr>
                <w:ilvl w:val="0"/>
                <w:numId w:val="6"/>
              </w:numPr>
              <w:spacing w:after="120"/>
              <w:ind w:firstLineChars="0"/>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Option 1: Yes (Xiaomi, CMCC, ZTE, CTC, vivo)</w:t>
            </w:r>
          </w:p>
          <w:p>
            <w:pPr>
              <w:pStyle w:val="34"/>
              <w:numPr>
                <w:ilvl w:val="0"/>
                <w:numId w:val="6"/>
              </w:numPr>
              <w:spacing w:after="120"/>
              <w:ind w:firstLineChars="0"/>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Option 2: assuming new UE capabilities regarding support of event triggering needs to be introduced, RAN4 shall discuss whether it is still necessary to update/introduce new Event Triggering and Reporting Criteria for LTM. (Apple)</w:t>
            </w:r>
          </w:p>
          <w:p>
            <w:pPr>
              <w:pStyle w:val="5"/>
              <w:numPr>
                <w:ilvl w:val="0"/>
                <w:numId w:val="0"/>
              </w:numPr>
              <w:rPr>
                <w:lang w:val="en-US"/>
              </w:rPr>
            </w:pPr>
            <w:r>
              <w:rPr>
                <w:lang w:val="en-US"/>
              </w:rPr>
              <w:t xml:space="preserve">Issue 2-4: whether to define a </w:t>
            </w:r>
            <w:r>
              <w:rPr>
                <w:bCs/>
                <w:color w:val="000000" w:themeColor="text1"/>
                <w:lang w:val="en-US"/>
                <w14:textFill>
                  <w14:solidFill>
                    <w14:schemeClr w14:val="tx1"/>
                  </w14:solidFill>
                </w14:textFill>
              </w:rPr>
              <w:t>separate capability for supported number of events triggered L1 measurement reporting</w:t>
            </w:r>
          </w:p>
          <w:p>
            <w:pPr>
              <w:spacing w:after="120"/>
              <w:rPr>
                <w:b/>
                <w:bCs/>
                <w:color w:val="000000" w:themeColor="text1"/>
                <w14:textFill>
                  <w14:solidFill>
                    <w14:schemeClr w14:val="tx1"/>
                  </w14:solidFill>
                </w14:textFill>
              </w:rPr>
            </w:pPr>
            <w:r>
              <w:rPr>
                <w:b/>
                <w:bCs/>
                <w:color w:val="000000" w:themeColor="text1"/>
                <w14:textFill>
                  <w14:solidFill>
                    <w14:schemeClr w14:val="tx1"/>
                  </w14:solidFill>
                </w14:textFill>
              </w:rPr>
              <w:t>Candidate options:</w:t>
            </w:r>
          </w:p>
          <w:p>
            <w:pPr>
              <w:pStyle w:val="34"/>
              <w:numPr>
                <w:ilvl w:val="0"/>
                <w:numId w:val="6"/>
              </w:numPr>
              <w:spacing w:after="120"/>
              <w:ind w:firstLineChars="0"/>
              <w:rPr>
                <w:rFonts w:eastAsia="宋体"/>
                <w:bCs/>
                <w:color w:val="000000" w:themeColor="text1"/>
                <w14:textFill>
                  <w14:solidFill>
                    <w14:schemeClr w14:val="tx1"/>
                  </w14:solidFill>
                </w14:textFill>
              </w:rPr>
            </w:pPr>
            <w:r>
              <w:rPr>
                <w:rFonts w:eastAsia="宋体"/>
                <w:bCs/>
                <w:color w:val="000000" w:themeColor="text1"/>
                <w14:textFill>
                  <w14:solidFill>
                    <w14:schemeClr w14:val="tx1"/>
                  </w14:solidFill>
                </w14:textFill>
              </w:rPr>
              <w:t xml:space="preserve">Option 1: </w:t>
            </w:r>
            <w:r>
              <w:rPr>
                <w:rFonts w:eastAsia="宋体"/>
                <w:color w:val="000000" w:themeColor="text1"/>
                <w14:textFill>
                  <w14:solidFill>
                    <w14:schemeClr w14:val="tx1"/>
                  </w14:solidFill>
                </w14:textFill>
              </w:rPr>
              <w:t xml:space="preserve">RAN4 to define a new UE capability for Event Triggering and Reporting Criteria for LTM. </w:t>
            </w:r>
            <w:r>
              <w:rPr>
                <w:rFonts w:eastAsia="宋体"/>
                <w:bCs/>
                <w:color w:val="000000" w:themeColor="text1"/>
                <w14:textFill>
                  <w14:solidFill>
                    <w14:schemeClr w14:val="tx1"/>
                  </w14:solidFill>
                </w14:textFill>
              </w:rPr>
              <w:t>(Xiaomi, CMCC, ZTE, E///, CTC)</w:t>
            </w:r>
          </w:p>
          <w:p>
            <w:pPr>
              <w:pStyle w:val="34"/>
              <w:numPr>
                <w:ilvl w:val="0"/>
                <w:numId w:val="6"/>
              </w:numPr>
              <w:spacing w:after="120"/>
              <w:ind w:firstLineChars="0"/>
              <w:rPr>
                <w:rFonts w:eastAsia="宋体"/>
                <w:bCs/>
                <w:color w:val="000000" w:themeColor="text1"/>
                <w14:textFill>
                  <w14:solidFill>
                    <w14:schemeClr w14:val="tx1"/>
                  </w14:solidFill>
                </w14:textFill>
              </w:rPr>
            </w:pPr>
            <w:r>
              <w:rPr>
                <w:rFonts w:eastAsia="宋体"/>
                <w:bCs/>
                <w:color w:val="000000" w:themeColor="text1"/>
                <w14:textFill>
                  <w14:solidFill>
                    <w14:schemeClr w14:val="tx1"/>
                  </w14:solidFill>
                </w14:textFill>
              </w:rPr>
              <w:t>Option 1a: Yes. RAN4 to support a common LTM Ecat capability to be shared between intra- and inter-frequency candidate cells. Ecat capability for LTM L1 measurements includes both PCell event, and candidate cells’ events. The detail number of Ecat is FFS. (E///)</w:t>
            </w:r>
          </w:p>
          <w:p>
            <w:pPr>
              <w:pStyle w:val="34"/>
              <w:numPr>
                <w:ilvl w:val="0"/>
                <w:numId w:val="6"/>
              </w:numPr>
              <w:spacing w:after="120"/>
              <w:ind w:firstLineChars="0"/>
              <w:rPr>
                <w:rFonts w:eastAsia="宋体"/>
                <w:bCs/>
                <w:color w:val="000000" w:themeColor="text1"/>
                <w14:textFill>
                  <w14:solidFill>
                    <w14:schemeClr w14:val="tx1"/>
                  </w14:solidFill>
                </w14:textFill>
              </w:rPr>
            </w:pPr>
            <w:r>
              <w:rPr>
                <w:rFonts w:eastAsia="宋体"/>
                <w:bCs/>
                <w:color w:val="000000" w:themeColor="text1"/>
                <w14:textFill>
                  <w14:solidFill>
                    <w14:schemeClr w14:val="tx1"/>
                  </w14:solidFill>
                </w14:textFill>
              </w:rPr>
              <w:t>Option 2: RAN4 to update intra-frequency and inter-frequency measurement reporting criteria requirements for SSB and CSI-RS based L1-RSRP with the same E</w:t>
            </w:r>
            <w:r>
              <w:rPr>
                <w:rFonts w:eastAsia="宋体"/>
                <w:bCs/>
                <w:color w:val="000000" w:themeColor="text1"/>
                <w:vertAlign w:val="subscript"/>
                <w14:textFill>
                  <w14:solidFill>
                    <w14:schemeClr w14:val="tx1"/>
                  </w14:solidFill>
                </w14:textFill>
              </w:rPr>
              <w:t>cat.</w:t>
            </w:r>
            <w:r>
              <w:rPr>
                <w:rFonts w:eastAsia="宋体"/>
                <w:bCs/>
                <w:color w:val="000000" w:themeColor="text1"/>
                <w14:textFill>
                  <w14:solidFill>
                    <w14:schemeClr w14:val="tx1"/>
                  </w14:solidFill>
                </w14:textFill>
              </w:rPr>
              <w:t xml:space="preserve"> (OPPO)</w:t>
            </w:r>
          </w:p>
          <w:p>
            <w:pPr>
              <w:pStyle w:val="93"/>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cs="Times New Roman"/>
          <w:sz w:val="21"/>
          <w:szCs w:val="21"/>
          <w:lang w:val="en-US" w:eastAsia="zh-CN"/>
        </w:rPr>
      </w:pPr>
      <w:r>
        <w:rPr>
          <w:rFonts w:hint="eastAsia"/>
          <w:b w:val="0"/>
          <w:bCs w:val="0"/>
          <w:lang w:val="en-US" w:eastAsia="zh-CN"/>
        </w:rPr>
        <w:t xml:space="preserve">For the first bullet, some companies proposed that </w:t>
      </w:r>
      <w:r>
        <w:rPr>
          <w:rFonts w:eastAsia="宋体"/>
          <w:bCs/>
          <w:color w:val="auto"/>
          <w:lang w:val="en-US"/>
        </w:rPr>
        <w:t>requirements for reporting criteria per measurement category needs to be updated to cover L1-RSRP measurement on neighbor cell</w:t>
      </w:r>
      <w:r>
        <w:rPr>
          <w:rFonts w:hint="eastAsia"/>
          <w:b w:val="0"/>
          <w:bCs w:val="0"/>
          <w:color w:val="auto"/>
          <w:lang w:val="en-US" w:eastAsia="zh-CN"/>
        </w:rPr>
        <w:t xml:space="preserve"> in pervious meeting</w:t>
      </w:r>
      <w:r>
        <w:rPr>
          <w:rFonts w:eastAsia="宋体"/>
          <w:bCs/>
          <w:color w:val="auto"/>
          <w:lang w:val="en-US"/>
        </w:rPr>
        <w:t>.</w:t>
      </w:r>
      <w:r>
        <w:rPr>
          <w:rFonts w:hint="eastAsia"/>
          <w:bCs/>
          <w:color w:val="auto"/>
          <w:lang w:val="en-US" w:eastAsia="zh-CN"/>
        </w:rPr>
        <w:t xml:space="preserve"> In our understanding, </w:t>
      </w:r>
      <w:r>
        <w:rPr>
          <w:lang w:val="en-GB"/>
        </w:rPr>
        <w:t xml:space="preserve">it is necessary to </w:t>
      </w:r>
      <w:r>
        <w:rPr>
          <w:rFonts w:hint="eastAsia"/>
          <w:lang w:val="en-US" w:eastAsia="zh-CN"/>
        </w:rPr>
        <w:t>introduce or update</w:t>
      </w:r>
      <w:r>
        <w:rPr>
          <w:lang w:val="en-GB"/>
        </w:rPr>
        <w:t xml:space="preserve"> the </w:t>
      </w:r>
      <w:r>
        <w:t xml:space="preserve">requirements of </w:t>
      </w:r>
      <w:r>
        <w:rPr>
          <w:rFonts w:hint="eastAsia"/>
          <w:lang w:val="en-US" w:eastAsia="zh-CN"/>
        </w:rPr>
        <w:t>C</w:t>
      </w:r>
      <w:r>
        <w:t>apabilities for Support of Event Triggering</w:t>
      </w:r>
      <w:r>
        <w:rPr>
          <w:rFonts w:eastAsia="宋体"/>
          <w:color w:val="000000" w:themeColor="text1"/>
          <w:sz w:val="21"/>
          <w:szCs w:val="21"/>
          <w:lang w:val="en-US"/>
          <w14:textFill>
            <w14:solidFill>
              <w14:schemeClr w14:val="tx1"/>
            </w14:solidFill>
          </w14:textFill>
        </w:rPr>
        <w:t xml:space="preserve"> and Reporting Criteria specified in TS38.133</w:t>
      </w:r>
      <w:r>
        <w:rPr>
          <w:rFonts w:hint="eastAsia"/>
          <w:color w:val="000000" w:themeColor="text1"/>
          <w:sz w:val="21"/>
          <w:szCs w:val="21"/>
          <w:lang w:val="en-US" w:eastAsia="zh-CN"/>
          <w14:textFill>
            <w14:solidFill>
              <w14:schemeClr w14:val="tx1"/>
            </w14:solidFill>
          </w14:textFill>
        </w:rPr>
        <w:t>, which is similar as</w:t>
      </w:r>
      <w:r>
        <w:rPr>
          <w:rFonts w:hint="eastAsia" w:ascii="Times New Roman" w:hAnsi="Times New Roman" w:cs="Times New Roman"/>
          <w:sz w:val="21"/>
          <w:szCs w:val="21"/>
          <w:lang w:val="en-US" w:eastAsia="zh-CN"/>
        </w:rPr>
        <w:t xml:space="preserve"> legacy event triggered L3 measurement reporting</w:t>
      </w:r>
      <w:r>
        <w:rPr>
          <w:rFonts w:hint="eastAsia" w:cs="Times New Roman"/>
          <w:sz w:val="21"/>
          <w:szCs w:val="21"/>
          <w:lang w:val="en-US" w:eastAsia="zh-CN"/>
        </w:rPr>
        <w:t xml:space="preserve">. </w:t>
      </w:r>
      <w:r>
        <w:rPr>
          <w:rFonts w:hint="eastAsia" w:cs="Times New Roman"/>
          <w:sz w:val="21"/>
          <w:szCs w:val="21"/>
          <w:lang w:val="en-US" w:eastAsia="zh-CN"/>
        </w:rPr>
        <w:t>It</w:t>
      </w:r>
      <w:r>
        <w:rPr>
          <w:rFonts w:hint="default" w:cs="Times New Roman"/>
          <w:sz w:val="21"/>
          <w:szCs w:val="21"/>
          <w:lang w:val="en-US" w:eastAsia="zh-CN"/>
        </w:rPr>
        <w:t>’</w:t>
      </w:r>
      <w:r>
        <w:rPr>
          <w:rFonts w:hint="eastAsia" w:cs="Times New Roman"/>
          <w:sz w:val="21"/>
          <w:szCs w:val="21"/>
          <w:lang w:val="en-US" w:eastAsia="zh-CN"/>
        </w:rPr>
        <w:t xml:space="preserve">s commom understanding that the existing number of reporting criteria per category is defined for L3 measurement and reporting only. Event triggering L1 reporting for LTM maybe not support if there is no </w:t>
      </w:r>
      <w:r>
        <w:rPr>
          <w:lang w:val="en-US"/>
        </w:rPr>
        <w:t>requirements for reporting criteria per measurement category</w:t>
      </w:r>
      <w:r>
        <w:rPr>
          <w:rFonts w:hint="eastAsia"/>
          <w:lang w:val="en-US" w:eastAsia="zh-CN"/>
        </w:rPr>
        <w:t>. In addition, the number of events to be supported by UE for LTM shall be discussed in RAN1 first.</w:t>
      </w:r>
    </w:p>
    <w:p>
      <w:pPr>
        <w:keepNext w:val="0"/>
        <w:keepLines w:val="0"/>
        <w:pageBreakBefore w:val="0"/>
        <w:widowControl/>
        <w:kinsoku/>
        <w:wordWrap/>
        <w:overflowPunct/>
        <w:topLinePunct w:val="0"/>
        <w:autoSpaceDE/>
        <w:autoSpaceDN/>
        <w:bidi w:val="0"/>
        <w:adjustRightInd/>
        <w:snapToGrid/>
        <w:spacing w:after="157" w:afterLines="50"/>
        <w:ind w:left="0"/>
        <w:textAlignment w:val="auto"/>
        <w:rPr>
          <w:rFonts w:hint="eastAsia" w:cs="Times New Roman"/>
          <w:sz w:val="20"/>
          <w:szCs w:val="20"/>
          <w:lang w:val="en-US" w:eastAsia="zh-CN"/>
        </w:rPr>
      </w:pPr>
      <w:r>
        <w:rPr>
          <w:rFonts w:hint="eastAsia"/>
          <w:b/>
          <w:bCs w:val="0"/>
          <w:lang w:val="en-US" w:eastAsia="zh-CN"/>
        </w:rPr>
        <w:t xml:space="preserve">Proposal 1: </w:t>
      </w:r>
      <w:r>
        <w:rPr>
          <w:rFonts w:hint="eastAsia" w:eastAsia="宋体"/>
          <w:b/>
          <w:color w:val="000000" w:themeColor="text1"/>
          <w:sz w:val="21"/>
          <w:szCs w:val="21"/>
          <w:lang w:val="en-US" w:eastAsia="zh-CN"/>
          <w14:textFill>
            <w14:solidFill>
              <w14:schemeClr w14:val="tx1"/>
            </w14:solidFill>
          </w14:textFill>
        </w:rPr>
        <w:t>T</w:t>
      </w:r>
      <w:r>
        <w:rPr>
          <w:rFonts w:eastAsia="宋体"/>
          <w:b/>
          <w:color w:val="000000" w:themeColor="text1"/>
          <w:sz w:val="21"/>
          <w:szCs w:val="21"/>
          <w:lang w:val="en-US"/>
          <w14:textFill>
            <w14:solidFill>
              <w14:schemeClr w14:val="tx1"/>
            </w14:solidFill>
          </w14:textFill>
        </w:rPr>
        <w:t>he requirements of “Capabilities for Support of Event Triggering and Reporting Criteria” specified in TS</w:t>
      </w:r>
      <w:r>
        <w:rPr>
          <w:rFonts w:hint="eastAsia"/>
          <w:b/>
          <w:color w:val="000000" w:themeColor="text1"/>
          <w:sz w:val="21"/>
          <w:szCs w:val="21"/>
          <w:lang w:val="en-US" w:eastAsia="zh-CN"/>
          <w14:textFill>
            <w14:solidFill>
              <w14:schemeClr w14:val="tx1"/>
            </w14:solidFill>
          </w14:textFill>
        </w:rPr>
        <w:t xml:space="preserve"> </w:t>
      </w:r>
      <w:r>
        <w:rPr>
          <w:rFonts w:eastAsia="宋体"/>
          <w:b/>
          <w:color w:val="000000" w:themeColor="text1"/>
          <w:sz w:val="21"/>
          <w:szCs w:val="21"/>
          <w:lang w:val="en-US"/>
          <w14:textFill>
            <w14:solidFill>
              <w14:schemeClr w14:val="tx1"/>
            </w14:solidFill>
          </w14:textFill>
        </w:rPr>
        <w:t xml:space="preserve">38.133 need to be updated to cover </w:t>
      </w:r>
      <w:r>
        <w:rPr>
          <w:rFonts w:eastAsia="宋体"/>
          <w:b/>
          <w:bCs w:val="0"/>
          <w:color w:val="000000" w:themeColor="text1"/>
          <w:sz w:val="21"/>
          <w:szCs w:val="21"/>
          <w:lang w:val="en-US"/>
          <w14:textFill>
            <w14:solidFill>
              <w14:schemeClr w14:val="tx1"/>
            </w14:solidFill>
          </w14:textFill>
        </w:rPr>
        <w:t>event triggered L1 measurement reporting.</w:t>
      </w:r>
    </w:p>
    <w:p>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cs="Times New Roman"/>
          <w:sz w:val="21"/>
          <w:szCs w:val="21"/>
          <w:lang w:val="en-US" w:eastAsia="zh-CN"/>
        </w:rPr>
      </w:pPr>
      <w:r>
        <w:rPr>
          <w:rFonts w:hint="eastAsia" w:cs="Times New Roman"/>
          <w:sz w:val="21"/>
          <w:szCs w:val="21"/>
          <w:lang w:val="en-US" w:eastAsia="zh-CN"/>
        </w:rPr>
        <w:t>As for how to define relevant capabilities</w:t>
      </w:r>
      <w:r>
        <w:rPr>
          <w:rFonts w:hint="eastAsia" w:ascii="Times New Roman" w:hAnsi="Times New Roman" w:cs="Times New Roman"/>
          <w:sz w:val="21"/>
          <w:szCs w:val="21"/>
          <w:lang w:val="en-US" w:eastAsia="zh-CN"/>
        </w:rPr>
        <w:t xml:space="preserve"> </w:t>
      </w:r>
      <w:r>
        <w:rPr>
          <w:rFonts w:hint="eastAsia" w:cs="Times New Roman"/>
          <w:sz w:val="21"/>
          <w:szCs w:val="21"/>
          <w:lang w:val="en-US" w:eastAsia="zh-CN"/>
        </w:rPr>
        <w:t>to</w:t>
      </w:r>
      <w:r>
        <w:rPr>
          <w:rFonts w:hint="eastAsia" w:ascii="Times New Roman" w:hAnsi="Times New Roman" w:cs="Times New Roman"/>
          <w:sz w:val="21"/>
          <w:szCs w:val="21"/>
          <w:lang w:val="en-US" w:eastAsia="zh-CN"/>
        </w:rPr>
        <w:t xml:space="preserve"> support of event triggering L1 measurement reporting</w:t>
      </w:r>
      <w:r>
        <w:rPr>
          <w:rFonts w:hint="eastAsia" w:cs="Times New Roman"/>
          <w:sz w:val="21"/>
          <w:szCs w:val="21"/>
          <w:lang w:val="en-US" w:eastAsia="zh-CN"/>
        </w:rPr>
        <w:t xml:space="preserve">, </w:t>
      </w:r>
      <w:r>
        <w:rPr>
          <w:rFonts w:hint="eastAsia" w:cs="Times New Roman"/>
          <w:sz w:val="21"/>
          <w:szCs w:val="21"/>
          <w:lang w:val="en-US" w:eastAsia="zh-CN"/>
        </w:rPr>
        <w:t xml:space="preserve">there are two intuitive methods. As mentioned in last meeting by some companies, compare to leagcy capability for events triggered measurement reporting, same or separate capability can be considered for supported number of events triggered L1 measurement reporting. If using same capability as legacy, </w:t>
      </w:r>
      <w:r>
        <w:rPr>
          <w:rFonts w:eastAsia="宋体"/>
          <w:bCs/>
          <w:color w:val="000000" w:themeColor="text1"/>
          <w14:textFill>
            <w14:solidFill>
              <w14:schemeClr w14:val="tx1"/>
            </w14:solidFill>
          </w14:textFill>
        </w:rPr>
        <w:t>E</w:t>
      </w:r>
      <w:r>
        <w:rPr>
          <w:rFonts w:eastAsia="宋体"/>
          <w:bCs/>
          <w:color w:val="000000" w:themeColor="text1"/>
          <w:vertAlign w:val="subscript"/>
          <w14:textFill>
            <w14:solidFill>
              <w14:schemeClr w14:val="tx1"/>
            </w14:solidFill>
          </w14:textFill>
        </w:rPr>
        <w:t>cat.</w:t>
      </w:r>
      <w:r>
        <w:rPr>
          <w:rFonts w:hint="eastAsia"/>
          <w:bCs/>
          <w:color w:val="000000" w:themeColor="text1"/>
          <w:vertAlign w:val="subscript"/>
          <w:lang w:val="en-US" w:eastAsia="zh-CN"/>
          <w14:textFill>
            <w14:solidFill>
              <w14:schemeClr w14:val="tx1"/>
            </w14:solidFill>
          </w14:textFill>
        </w:rPr>
        <w:t xml:space="preserve"> </w:t>
      </w:r>
      <w:r>
        <w:rPr>
          <w:rFonts w:hint="eastAsia"/>
          <w:bCs/>
          <w:color w:val="000000" w:themeColor="text1"/>
          <w:vertAlign w:val="baseline"/>
          <w:lang w:val="en-US" w:eastAsia="zh-CN"/>
          <w14:textFill>
            <w14:solidFill>
              <w14:schemeClr w14:val="tx1"/>
            </w14:solidFill>
          </w14:textFill>
        </w:rPr>
        <w:t>should be updated to cove L3 and L1 events due to the number of events is too limited.</w:t>
      </w:r>
      <w:r>
        <w:rPr>
          <w:rFonts w:hint="eastAsia"/>
          <w:bCs/>
          <w:color w:val="000000" w:themeColor="text1"/>
          <w:vertAlign w:val="subscript"/>
          <w:lang w:val="en-US" w:eastAsia="zh-CN"/>
          <w14:textFill>
            <w14:solidFill>
              <w14:schemeClr w14:val="tx1"/>
            </w14:solidFill>
          </w14:textFill>
        </w:rPr>
        <w:t xml:space="preserve"> </w:t>
      </w:r>
      <w:r>
        <w:rPr>
          <w:rFonts w:hint="eastAsia"/>
          <w:lang w:val="en-US" w:eastAsia="zh-CN"/>
        </w:rPr>
        <w:t xml:space="preserve">In addition, </w:t>
      </w:r>
      <w:r>
        <w:rPr>
          <w:rFonts w:hint="eastAsia"/>
          <w:bCs/>
          <w:color w:val="000000" w:themeColor="text1"/>
          <w:vertAlign w:val="baseline"/>
          <w:lang w:val="en-US" w:eastAsia="zh-CN"/>
          <w14:textFill>
            <w14:solidFill>
              <w14:schemeClr w14:val="tx1"/>
            </w14:solidFill>
          </w14:textFill>
        </w:rPr>
        <w:t xml:space="preserve">the number </w:t>
      </w:r>
      <w:r>
        <w:rPr>
          <w:rFonts w:hint="eastAsia"/>
          <w:lang w:val="en-US" w:eastAsia="zh-CN"/>
        </w:rPr>
        <w:t>of events to be supported by UE for LTM shall be discussed in RAN1 first.</w:t>
      </w:r>
      <w:r>
        <w:rPr>
          <w:rFonts w:hint="eastAsia" w:cs="Times New Roman"/>
          <w:sz w:val="21"/>
          <w:szCs w:val="21"/>
          <w:lang w:val="en-US" w:eastAsia="zh-CN"/>
        </w:rPr>
        <w:t xml:space="preserve"> To avoid affecting L3 measurement reports,</w:t>
      </w:r>
      <w:r>
        <w:rPr>
          <w:rFonts w:hint="eastAsia"/>
          <w:lang w:val="en-US" w:eastAsia="zh-CN"/>
        </w:rPr>
        <w:t xml:space="preserve"> </w:t>
      </w:r>
      <w:r>
        <w:rPr>
          <w:rFonts w:hint="eastAsia" w:cs="Times New Roman"/>
          <w:sz w:val="21"/>
          <w:szCs w:val="21"/>
          <w:lang w:val="en-US" w:eastAsia="zh-CN"/>
        </w:rPr>
        <w:t xml:space="preserve">we prefer to define a separate </w:t>
      </w:r>
      <w:r>
        <w:rPr>
          <w:rFonts w:hint="eastAsia" w:ascii="Times New Roman" w:hAnsi="Times New Roman" w:cs="Times New Roman"/>
          <w:sz w:val="21"/>
          <w:szCs w:val="21"/>
          <w:lang w:val="en-US" w:eastAsia="zh-CN"/>
        </w:rPr>
        <w:t>capability</w:t>
      </w:r>
      <w:r>
        <w:rPr>
          <w:rFonts w:hint="eastAsia" w:cs="Times New Roman"/>
          <w:sz w:val="21"/>
          <w:szCs w:val="21"/>
          <w:lang w:val="en-US" w:eastAsia="zh-CN"/>
        </w:rPr>
        <w:t xml:space="preserve"> for the number of L1 measurement reports triggered by supported events.</w:t>
      </w:r>
    </w:p>
    <w:p>
      <w:pPr>
        <w:spacing w:after="157" w:afterLines="50"/>
        <w:rPr>
          <w:rFonts w:hint="eastAsia"/>
          <w:b/>
          <w:bCs w:val="0"/>
          <w:color w:val="000000" w:themeColor="text1"/>
          <w:sz w:val="21"/>
          <w:szCs w:val="21"/>
          <w:lang w:val="en-US" w:eastAsia="zh-CN"/>
          <w14:textFill>
            <w14:solidFill>
              <w14:schemeClr w14:val="tx1"/>
            </w14:solidFill>
          </w14:textFill>
        </w:rPr>
      </w:pPr>
      <w:r>
        <w:rPr>
          <w:rFonts w:hint="eastAsia"/>
          <w:b/>
          <w:bCs w:val="0"/>
          <w:lang w:val="en-US" w:eastAsia="zh-CN"/>
        </w:rPr>
        <w:t xml:space="preserve">proposal 2: </w:t>
      </w:r>
      <w:r>
        <w:rPr>
          <w:rFonts w:hint="eastAsia"/>
          <w:b/>
          <w:bCs w:val="0"/>
          <w:color w:val="000000" w:themeColor="text1"/>
          <w:sz w:val="21"/>
          <w:szCs w:val="21"/>
          <w:lang w:val="en-US" w:eastAsia="zh-CN"/>
          <w14:textFill>
            <w14:solidFill>
              <w14:schemeClr w14:val="tx1"/>
            </w14:solidFill>
          </w14:textFill>
        </w:rPr>
        <w:t>RAN4 should define a separate capability for supported number of events triggered L1 measurement reporting.</w:t>
      </w:r>
    </w:p>
    <w:p>
      <w:pPr>
        <w:spacing w:after="157" w:afterLines="50"/>
        <w:rPr>
          <w:rFonts w:hint="eastAsia"/>
          <w:b/>
          <w:bCs w:val="0"/>
          <w:color w:val="000000" w:themeColor="text1"/>
          <w:sz w:val="21"/>
          <w:szCs w:val="21"/>
          <w:lang w:val="en-US" w:eastAsia="zh-CN"/>
          <w14:textFill>
            <w14:solidFill>
              <w14:schemeClr w14:val="tx1"/>
            </w14:solidFill>
          </w14:textFill>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4" w:hRule="atLeast"/>
        </w:trPr>
        <w:tc>
          <w:tcPr>
            <w:tcW w:w="9629" w:type="dxa"/>
          </w:tcPr>
          <w:p>
            <w:pPr>
              <w:pStyle w:val="5"/>
              <w:numPr>
                <w:ilvl w:val="0"/>
                <w:numId w:val="0"/>
              </w:numPr>
              <w:rPr>
                <w:lang w:val="en-US"/>
              </w:rPr>
            </w:pPr>
            <w:r>
              <w:rPr>
                <w:lang w:val="en-US"/>
              </w:rPr>
              <w:t>Issue 2-7: Impact on other LTM requirements</w:t>
            </w:r>
          </w:p>
          <w:p>
            <w:pPr>
              <w:spacing w:after="120"/>
              <w:rPr>
                <w:b/>
                <w:bCs/>
                <w:color w:val="000000" w:themeColor="text1"/>
                <w14:textFill>
                  <w14:solidFill>
                    <w14:schemeClr w14:val="tx1"/>
                  </w14:solidFill>
                </w14:textFill>
              </w:rPr>
            </w:pPr>
            <w:r>
              <w:rPr>
                <w:b/>
                <w:bCs/>
                <w:color w:val="000000" w:themeColor="text1"/>
                <w14:textFill>
                  <w14:solidFill>
                    <w14:schemeClr w14:val="tx1"/>
                  </w14:solidFill>
                </w14:textFill>
              </w:rPr>
              <w:t>Agreement:</w:t>
            </w:r>
          </w:p>
          <w:p>
            <w:pPr>
              <w:numPr>
                <w:ilvl w:val="0"/>
                <w:numId w:val="6"/>
              </w:numPr>
              <w:spacing w:after="120"/>
              <w:rPr>
                <w:bCs/>
                <w:color w:val="000000" w:themeColor="text1"/>
                <w:lang w:val="zh-CN"/>
                <w14:textFill>
                  <w14:solidFill>
                    <w14:schemeClr w14:val="tx1"/>
                  </w14:solidFill>
                </w14:textFill>
              </w:rPr>
            </w:pPr>
            <w:r>
              <w:rPr>
                <w:bCs/>
                <w:color w:val="000000" w:themeColor="text1"/>
                <w:lang w:val="zh-CN"/>
                <w14:textFill>
                  <w14:solidFill>
                    <w14:schemeClr w14:val="tx1"/>
                  </w14:solidFill>
                </w14:textFill>
              </w:rPr>
              <w:t xml:space="preserve">For FR1: </w:t>
            </w:r>
          </w:p>
          <w:p>
            <w:pPr>
              <w:numPr>
                <w:ilvl w:val="1"/>
                <w:numId w:val="6"/>
              </w:numPr>
              <w:spacing w:after="120"/>
              <w:rPr>
                <w:bCs/>
                <w:color w:val="auto"/>
                <w:highlight w:val="none"/>
                <w:lang w:val="zh-CN"/>
              </w:rPr>
            </w:pPr>
            <w:r>
              <w:rPr>
                <w:bCs/>
                <w:color w:val="auto"/>
                <w:highlight w:val="none"/>
                <w:lang w:val="zh-CN"/>
              </w:rPr>
              <w:t xml:space="preserve">UE has sent an event-triggered L1 report and the reporting condition continues to be met at the time of receiving the cell switch command or TCI state activation command, </w:t>
            </w:r>
          </w:p>
          <w:p>
            <w:pPr>
              <w:numPr>
                <w:ilvl w:val="2"/>
                <w:numId w:val="6"/>
              </w:numPr>
              <w:spacing w:after="120"/>
              <w:rPr>
                <w:bCs/>
                <w:color w:val="auto"/>
                <w:highlight w:val="none"/>
                <w:lang w:val="zh-CN"/>
              </w:rPr>
            </w:pPr>
            <w:r>
              <w:rPr>
                <w:bCs/>
                <w:color w:val="auto"/>
                <w:highlight w:val="none"/>
                <w:lang w:val="zh-CN"/>
              </w:rPr>
              <w:t>Case 1: leaving condition of the event is configured and corresponding condition is not met,</w:t>
            </w:r>
          </w:p>
          <w:p>
            <w:pPr>
              <w:numPr>
                <w:ilvl w:val="3"/>
                <w:numId w:val="6"/>
              </w:numPr>
              <w:spacing w:after="120"/>
              <w:rPr>
                <w:bCs/>
                <w:color w:val="auto"/>
                <w:highlight w:val="none"/>
                <w:lang w:val="zh-CN"/>
              </w:rPr>
            </w:pPr>
            <w:r>
              <w:rPr>
                <w:bCs/>
                <w:color w:val="auto"/>
                <w:highlight w:val="none"/>
                <w:lang w:val="zh-CN"/>
              </w:rPr>
              <w:t>the related cell switch delay and TCI state activation requirements are applicable</w:t>
            </w:r>
          </w:p>
          <w:p>
            <w:pPr>
              <w:numPr>
                <w:ilvl w:val="2"/>
                <w:numId w:val="6"/>
              </w:numPr>
              <w:spacing w:after="120"/>
              <w:rPr>
                <w:bCs/>
                <w:color w:val="000000" w:themeColor="text1"/>
                <w:lang w:val="zh-CN"/>
                <w14:textFill>
                  <w14:solidFill>
                    <w14:schemeClr w14:val="tx1"/>
                  </w14:solidFill>
                </w14:textFill>
              </w:rPr>
            </w:pPr>
            <w:r>
              <w:rPr>
                <w:bCs/>
                <w:color w:val="000000" w:themeColor="text1"/>
                <w:lang w:val="zh-CN"/>
                <w14:textFill>
                  <w14:solidFill>
                    <w14:schemeClr w14:val="tx1"/>
                  </w14:solidFill>
                </w14:textFill>
              </w:rPr>
              <w:t>Case 2: leaving condition of the event is NOT configured, FFS</w:t>
            </w:r>
          </w:p>
          <w:p>
            <w:pPr>
              <w:numPr>
                <w:ilvl w:val="0"/>
                <w:numId w:val="6"/>
              </w:numPr>
              <w:spacing w:after="120"/>
              <w:rPr>
                <w:bCs/>
                <w:color w:val="000000" w:themeColor="text1"/>
                <w:lang w:val="zh-CN"/>
                <w14:textFill>
                  <w14:solidFill>
                    <w14:schemeClr w14:val="tx1"/>
                  </w14:solidFill>
                </w14:textFill>
              </w:rPr>
            </w:pPr>
            <w:r>
              <w:rPr>
                <w:bCs/>
                <w:color w:val="000000" w:themeColor="text1"/>
                <w:lang w:val="zh-CN"/>
                <w14:textFill>
                  <w14:solidFill>
                    <w14:schemeClr w14:val="tx1"/>
                  </w14:solidFill>
                </w14:textFill>
              </w:rPr>
              <w:t>For FR2: FFS</w:t>
            </w:r>
          </w:p>
          <w:p>
            <w:pPr>
              <w:pStyle w:val="93"/>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spacing w:after="157" w:afterLines="50"/>
        <w:rPr>
          <w:rFonts w:hint="eastAsia"/>
          <w:b w:val="0"/>
          <w:bCs/>
          <w:color w:val="000000" w:themeColor="text1"/>
          <w:sz w:val="21"/>
          <w:szCs w:val="21"/>
          <w:lang w:val="en-US" w:eastAsia="zh-CN"/>
          <w14:textFill>
            <w14:solidFill>
              <w14:schemeClr w14:val="tx1"/>
            </w14:solidFill>
          </w14:textFill>
        </w:rPr>
      </w:pPr>
      <w:r>
        <w:rPr>
          <w:rFonts w:hint="eastAsia"/>
          <w:b w:val="0"/>
          <w:bCs/>
          <w:color w:val="000000" w:themeColor="text1"/>
          <w:sz w:val="21"/>
          <w:szCs w:val="21"/>
          <w:lang w:val="en-US" w:eastAsia="zh-CN"/>
          <w14:textFill>
            <w14:solidFill>
              <w14:schemeClr w14:val="tx1"/>
            </w14:solidFill>
          </w14:textFill>
        </w:rPr>
        <w:t>In this issue, event-triggered L1 report is considered to reduce the cell switch delay or TCI state activation delay. It</w:t>
      </w:r>
      <w:r>
        <w:rPr>
          <w:rFonts w:hint="default"/>
          <w:b w:val="0"/>
          <w:bCs/>
          <w:color w:val="000000" w:themeColor="text1"/>
          <w:sz w:val="21"/>
          <w:szCs w:val="21"/>
          <w:lang w:val="en-US" w:eastAsia="zh-CN"/>
          <w14:textFill>
            <w14:solidFill>
              <w14:schemeClr w14:val="tx1"/>
            </w14:solidFill>
          </w14:textFill>
        </w:rPr>
        <w:t>’</w:t>
      </w:r>
      <w:r>
        <w:rPr>
          <w:rFonts w:hint="eastAsia"/>
          <w:b w:val="0"/>
          <w:bCs/>
          <w:color w:val="000000" w:themeColor="text1"/>
          <w:sz w:val="21"/>
          <w:szCs w:val="21"/>
          <w:lang w:val="en-US" w:eastAsia="zh-CN"/>
          <w14:textFill>
            <w14:solidFill>
              <w14:schemeClr w14:val="tx1"/>
            </w14:solidFill>
          </w14:textFill>
        </w:rPr>
        <w:t xml:space="preserve">s benefical to extend the cell switch delay and TCI state activation requirements to more reasonable scenarios. For FR1, UE has sent an event-triggered L1 report and the reporting condition continues to be met at the time of receiving the cell switch command or TCI state activation command, if leaving condition of the event is configured and corresponding condition is not met, it means the measurement is not stopped utill receiving command and the reported TCI state is known. Meanwhile, if the leaving condition of the event is NOT configured, there maybe no measurement after event-triggered L1 report. However, according to the known conditions for TCI state, the TCI state is considered as known during 1280ms after event-triggered L1 report. </w:t>
      </w:r>
    </w:p>
    <w:p>
      <w:pPr>
        <w:spacing w:after="157" w:afterLines="50"/>
        <w:rPr>
          <w:rFonts w:hint="eastAsia"/>
          <w:b w:val="0"/>
          <w:bCs/>
          <w:color w:val="000000" w:themeColor="text1"/>
          <w:sz w:val="21"/>
          <w:szCs w:val="21"/>
          <w:lang w:val="en-US" w:eastAsia="zh-CN"/>
          <w14:textFill>
            <w14:solidFill>
              <w14:schemeClr w14:val="tx1"/>
            </w14:solidFill>
          </w14:textFill>
        </w:rPr>
      </w:pPr>
      <w:r>
        <w:rPr>
          <w:rFonts w:hint="eastAsia"/>
          <w:b w:val="0"/>
          <w:bCs/>
          <w:color w:val="000000" w:themeColor="text1"/>
          <w:sz w:val="21"/>
          <w:szCs w:val="21"/>
          <w:lang w:val="en-US" w:eastAsia="zh-CN"/>
          <w14:textFill>
            <w14:solidFill>
              <w14:schemeClr w14:val="tx1"/>
            </w14:solidFill>
          </w14:textFill>
        </w:rPr>
        <w:t xml:space="preserve">For FR2, some company mentioned in the last meeting that </w:t>
      </w:r>
      <w:r>
        <w:rPr>
          <w:rFonts w:hint="eastAsia"/>
          <w:bCs/>
          <w:color w:val="000000" w:themeColor="text1"/>
          <w:sz w:val="21"/>
          <w:szCs w:val="21"/>
          <w:highlight w:val="none"/>
          <w:lang w:val="en-US"/>
          <w14:textFill>
            <w14:solidFill>
              <w14:schemeClr w14:val="tx1"/>
            </w14:solidFill>
          </w14:textFill>
        </w:rPr>
        <w:t>UE will prioritize L1-RSRP measurement on those TCI state(s) and may never measure the beam which is not activated</w:t>
      </w:r>
      <w:r>
        <w:rPr>
          <w:rFonts w:hint="eastAsia"/>
          <w:bCs/>
          <w:color w:val="000000" w:themeColor="text1"/>
          <w:sz w:val="21"/>
          <w:szCs w:val="21"/>
          <w:highlight w:val="none"/>
          <w:lang w:val="en-US" w:eastAsia="zh-CN"/>
          <w14:textFill>
            <w14:solidFill>
              <w14:schemeClr w14:val="tx1"/>
            </w14:solidFill>
          </w14:textFill>
        </w:rPr>
        <w:t xml:space="preserve"> if </w:t>
      </w:r>
      <w:r>
        <w:rPr>
          <w:rFonts w:hint="eastAsia"/>
          <w:bCs/>
          <w:color w:val="000000" w:themeColor="text1"/>
          <w:sz w:val="21"/>
          <w:szCs w:val="21"/>
          <w:highlight w:val="none"/>
          <w:lang w:val="en-US"/>
          <w14:textFill>
            <w14:solidFill>
              <w14:schemeClr w14:val="tx1"/>
            </w14:solidFill>
          </w14:textFill>
        </w:rPr>
        <w:t xml:space="preserve">NW activates some TCI state(s). So UE may stop measuring the beam if NW activates some other TCI state(s) after event-triggered L1 report. In this case, the </w:t>
      </w:r>
      <w:r>
        <w:rPr>
          <w:rFonts w:hint="eastAsia"/>
          <w:bCs/>
          <w:color w:val="000000" w:themeColor="text1"/>
          <w:sz w:val="21"/>
          <w:szCs w:val="21"/>
          <w:highlight w:val="none"/>
          <w:lang w:val="en-US" w:eastAsia="zh-CN"/>
          <w14:textFill>
            <w14:solidFill>
              <w14:schemeClr w14:val="tx1"/>
            </w14:solidFill>
          </w14:textFill>
        </w:rPr>
        <w:t>report TCI state maybe unknown and the related cell switch delay and TCI state activation requirements can not applicable</w:t>
      </w:r>
      <w:r>
        <w:rPr>
          <w:rFonts w:hint="eastAsia"/>
          <w:bCs/>
          <w:color w:val="000000" w:themeColor="text1"/>
          <w:sz w:val="21"/>
          <w:szCs w:val="21"/>
          <w:lang w:val="en-US" w:eastAsia="zh-CN"/>
          <w14:textFill>
            <w14:solidFill>
              <w14:schemeClr w14:val="tx1"/>
            </w14:solidFill>
          </w14:textFill>
        </w:rPr>
        <w:t xml:space="preserve">. Therefore, same as the </w:t>
      </w:r>
      <w:r>
        <w:rPr>
          <w:bCs/>
          <w:color w:val="000000" w:themeColor="text1"/>
          <w:lang w:val="zh-CN"/>
          <w14:textFill>
            <w14:solidFill>
              <w14:schemeClr w14:val="tx1"/>
            </w14:solidFill>
          </w14:textFill>
        </w:rPr>
        <w:t>leaving condition of event is NOT configured</w:t>
      </w:r>
      <w:r>
        <w:rPr>
          <w:rFonts w:hint="eastAsia"/>
          <w:bCs/>
          <w:color w:val="000000" w:themeColor="text1"/>
          <w:lang w:val="en-US" w:eastAsia="zh-CN"/>
          <w14:textFill>
            <w14:solidFill>
              <w14:schemeClr w14:val="tx1"/>
            </w14:solidFill>
          </w14:textFill>
        </w:rPr>
        <w:t xml:space="preserve"> in FR1, </w:t>
      </w:r>
      <w:r>
        <w:rPr>
          <w:rFonts w:hint="eastAsia"/>
          <w:b w:val="0"/>
          <w:bCs/>
          <w:color w:val="000000" w:themeColor="text1"/>
          <w:sz w:val="21"/>
          <w:szCs w:val="21"/>
          <w:lang w:val="en-US" w:eastAsia="zh-CN"/>
          <w14:textFill>
            <w14:solidFill>
              <w14:schemeClr w14:val="tx1"/>
            </w14:solidFill>
          </w14:textFill>
        </w:rPr>
        <w:t xml:space="preserve">the TCI state is considered as known during 1280ms after event-triggered L1 report. </w:t>
      </w:r>
    </w:p>
    <w:p>
      <w:pPr>
        <w:widowControl/>
        <w:overflowPunct/>
        <w:autoSpaceDE/>
        <w:autoSpaceDN/>
        <w:adjustRightInd/>
        <w:snapToGrid/>
        <w:spacing w:after="157" w:afterLines="50"/>
        <w:jc w:val="left"/>
        <w:rPr>
          <w:rFonts w:hint="default"/>
          <w:b/>
          <w:bCs w:val="0"/>
          <w:color w:val="000000" w:themeColor="text1"/>
          <w:sz w:val="21"/>
          <w:szCs w:val="21"/>
          <w:lang w:val="en-US" w:eastAsia="zh-CN"/>
          <w14:textFill>
            <w14:solidFill>
              <w14:schemeClr w14:val="tx1"/>
            </w14:solidFill>
          </w14:textFill>
        </w:rPr>
      </w:pPr>
      <w:r>
        <w:rPr>
          <w:rFonts w:hint="eastAsia"/>
          <w:b/>
          <w:bCs w:val="0"/>
          <w:color w:val="000000" w:themeColor="text1"/>
          <w:sz w:val="21"/>
          <w:szCs w:val="21"/>
          <w:lang w:val="en-US" w:eastAsia="zh-CN"/>
          <w14:textFill>
            <w14:solidFill>
              <w14:schemeClr w14:val="tx1"/>
            </w14:solidFill>
          </w14:textFill>
        </w:rPr>
        <w:t>Proposal 3: For both FR1 and FR2, the TCI state is considered as known during 1280ms after event-triggered L1 report. And the related cell switch delay and TCI state activation requirements are applicable.</w:t>
      </w:r>
    </w:p>
    <w:p>
      <w:pPr>
        <w:pStyle w:val="55"/>
        <w:tabs>
          <w:tab w:val="left" w:pos="567"/>
          <w:tab w:val="clear" w:pos="1985"/>
        </w:tabs>
        <w:adjustRightInd w:val="0"/>
        <w:spacing w:before="0" w:beforeLines="0" w:after="0" w:afterLines="0"/>
        <w:ind w:left="510" w:hanging="510"/>
      </w:pPr>
      <w:r>
        <w:t>Conclusions</w:t>
      </w:r>
    </w:p>
    <w:p>
      <w:pPr>
        <w:numPr>
          <w:ilvl w:val="-1"/>
          <w:numId w:val="0"/>
        </w:numPr>
        <w:spacing w:before="157" w:beforeLines="50" w:afterLines="0"/>
        <w:ind w:left="0" w:firstLine="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proposals on</w:t>
      </w:r>
      <w:r>
        <w:rPr>
          <w:rFonts w:hint="default" w:ascii="Times New Roman" w:hAnsi="Times New Roman" w:cs="Times New Roman"/>
          <w:b w:val="0"/>
          <w:bCs w:val="0"/>
          <w:sz w:val="21"/>
          <w:szCs w:val="21"/>
          <w:lang w:val="en-US" w:eastAsia="en-US"/>
        </w:rPr>
        <w:t xml:space="preserve"> </w:t>
      </w:r>
      <w:r>
        <w:rPr>
          <w:rFonts w:hint="eastAsia" w:cs="Times New Roman"/>
          <w:b w:val="0"/>
          <w:bCs w:val="0"/>
          <w:sz w:val="21"/>
          <w:szCs w:val="21"/>
          <w:lang w:val="en-US" w:eastAsia="zh-CN"/>
        </w:rPr>
        <w:t xml:space="preserve">R19 </w:t>
      </w:r>
      <w:r>
        <w:rPr>
          <w:rFonts w:hint="default" w:ascii="Times New Roman" w:hAnsi="Times New Roman" w:cs="Times New Roman"/>
          <w:b w:val="0"/>
          <w:bCs w:val="0"/>
          <w:sz w:val="21"/>
          <w:szCs w:val="21"/>
          <w:lang w:val="en-US" w:eastAsia="en-US"/>
        </w:rPr>
        <w:t>L1/L2 triggered mobility</w:t>
      </w:r>
      <w:r>
        <w:rPr>
          <w:rFonts w:hint="eastAsia" w:cs="Times New Roman"/>
          <w:b w:val="0"/>
          <w:bCs w:val="0"/>
          <w:sz w:val="21"/>
          <w:szCs w:val="21"/>
          <w:lang w:val="en-US" w:eastAsia="zh-CN"/>
        </w:rPr>
        <w:t>.</w:t>
      </w:r>
    </w:p>
    <w:p>
      <w:pPr>
        <w:keepNext w:val="0"/>
        <w:keepLines w:val="0"/>
        <w:pageBreakBefore w:val="0"/>
        <w:widowControl/>
        <w:kinsoku/>
        <w:wordWrap/>
        <w:overflowPunct/>
        <w:topLinePunct w:val="0"/>
        <w:autoSpaceDE/>
        <w:autoSpaceDN/>
        <w:bidi w:val="0"/>
        <w:adjustRightInd/>
        <w:snapToGrid/>
        <w:spacing w:after="157" w:afterLines="50"/>
        <w:ind w:left="0"/>
        <w:textAlignment w:val="auto"/>
        <w:rPr>
          <w:rFonts w:hint="eastAsia" w:cs="Times New Roman"/>
          <w:sz w:val="20"/>
          <w:szCs w:val="20"/>
          <w:lang w:val="en-US" w:eastAsia="zh-CN"/>
        </w:rPr>
      </w:pPr>
      <w:r>
        <w:rPr>
          <w:rFonts w:hint="eastAsia"/>
          <w:b/>
          <w:bCs w:val="0"/>
          <w:lang w:val="en-US" w:eastAsia="zh-CN"/>
        </w:rPr>
        <w:t xml:space="preserve">Proposal 1: </w:t>
      </w:r>
      <w:r>
        <w:rPr>
          <w:rFonts w:hint="eastAsia" w:eastAsia="宋体"/>
          <w:b/>
          <w:color w:val="000000" w:themeColor="text1"/>
          <w:sz w:val="21"/>
          <w:szCs w:val="21"/>
          <w:lang w:val="en-US" w:eastAsia="zh-CN"/>
          <w14:textFill>
            <w14:solidFill>
              <w14:schemeClr w14:val="tx1"/>
            </w14:solidFill>
          </w14:textFill>
        </w:rPr>
        <w:t>T</w:t>
      </w:r>
      <w:r>
        <w:rPr>
          <w:rFonts w:eastAsia="宋体"/>
          <w:b/>
          <w:color w:val="000000" w:themeColor="text1"/>
          <w:sz w:val="21"/>
          <w:szCs w:val="21"/>
          <w:lang w:val="en-US"/>
          <w14:textFill>
            <w14:solidFill>
              <w14:schemeClr w14:val="tx1"/>
            </w14:solidFill>
          </w14:textFill>
        </w:rPr>
        <w:t xml:space="preserve">he requirements of “Capabilities for Support of Event Triggering and Reporting Criteria” specified in TS38.133 need to be updated to cover </w:t>
      </w:r>
      <w:r>
        <w:rPr>
          <w:rFonts w:eastAsia="宋体"/>
          <w:b/>
          <w:bCs w:val="0"/>
          <w:color w:val="000000" w:themeColor="text1"/>
          <w:sz w:val="21"/>
          <w:szCs w:val="21"/>
          <w:lang w:val="en-US"/>
          <w14:textFill>
            <w14:solidFill>
              <w14:schemeClr w14:val="tx1"/>
            </w14:solidFill>
          </w14:textFill>
        </w:rPr>
        <w:t>event triggered L1 measurement reporting.</w:t>
      </w:r>
    </w:p>
    <w:p>
      <w:pPr>
        <w:spacing w:after="157" w:afterLines="50"/>
        <w:rPr>
          <w:rFonts w:hint="eastAsia"/>
          <w:b/>
          <w:bCs w:val="0"/>
          <w:color w:val="000000" w:themeColor="text1"/>
          <w:sz w:val="21"/>
          <w:szCs w:val="21"/>
          <w:lang w:val="en-US" w:eastAsia="zh-CN"/>
          <w14:textFill>
            <w14:solidFill>
              <w14:schemeClr w14:val="tx1"/>
            </w14:solidFill>
          </w14:textFill>
        </w:rPr>
      </w:pPr>
      <w:r>
        <w:rPr>
          <w:rFonts w:hint="eastAsia"/>
          <w:b/>
          <w:bCs w:val="0"/>
          <w:lang w:val="en-US" w:eastAsia="zh-CN"/>
        </w:rPr>
        <w:t xml:space="preserve">proposal 2: </w:t>
      </w:r>
      <w:r>
        <w:rPr>
          <w:rFonts w:hint="eastAsia"/>
          <w:b/>
          <w:bCs w:val="0"/>
          <w:color w:val="000000" w:themeColor="text1"/>
          <w:sz w:val="21"/>
          <w:szCs w:val="21"/>
          <w:lang w:val="en-US" w:eastAsia="zh-CN"/>
          <w14:textFill>
            <w14:solidFill>
              <w14:schemeClr w14:val="tx1"/>
            </w14:solidFill>
          </w14:textFill>
        </w:rPr>
        <w:t>RAN4 should define a separate capability for supported number of events triggered L1 measurement reporting.</w:t>
      </w:r>
    </w:p>
    <w:p>
      <w:pPr>
        <w:widowControl/>
        <w:overflowPunct/>
        <w:autoSpaceDE/>
        <w:autoSpaceDN/>
        <w:adjustRightInd/>
        <w:snapToGrid/>
        <w:spacing w:after="157" w:afterLines="50"/>
        <w:jc w:val="left"/>
        <w:rPr>
          <w:rFonts w:hint="default"/>
          <w:b/>
          <w:bCs w:val="0"/>
          <w:color w:val="000000" w:themeColor="text1"/>
          <w:sz w:val="21"/>
          <w:szCs w:val="21"/>
          <w:lang w:val="en-US" w:eastAsia="zh-CN"/>
          <w14:textFill>
            <w14:solidFill>
              <w14:schemeClr w14:val="tx1"/>
            </w14:solidFill>
          </w14:textFill>
        </w:rPr>
      </w:pPr>
      <w:r>
        <w:rPr>
          <w:rFonts w:hint="eastAsia"/>
          <w:b/>
          <w:bCs w:val="0"/>
          <w:color w:val="000000" w:themeColor="text1"/>
          <w:sz w:val="21"/>
          <w:szCs w:val="21"/>
          <w:lang w:val="en-US" w:eastAsia="zh-CN"/>
          <w14:textFill>
            <w14:solidFill>
              <w14:schemeClr w14:val="tx1"/>
            </w14:solidFill>
          </w14:textFill>
        </w:rPr>
        <w:t>Proposal 3: For both FR1 and FR2, the TCI state is considered as known during 1280ms after event-triggered L1 report. And the related cell switch delay and TCI state activation requirements are applicable.</w:t>
      </w:r>
    </w:p>
    <w:p>
      <w:pPr>
        <w:pStyle w:val="55"/>
        <w:tabs>
          <w:tab w:val="left" w:pos="567"/>
          <w:tab w:val="clear" w:pos="1985"/>
        </w:tabs>
        <w:adjustRightInd w:val="0"/>
        <w:spacing w:before="0" w:beforeLines="0" w:after="0" w:afterLines="0"/>
        <w:ind w:left="510" w:hanging="510"/>
      </w:pPr>
      <w:r>
        <w:t>References</w:t>
      </w:r>
    </w:p>
    <w:p>
      <w:pPr>
        <w:pStyle w:val="53"/>
        <w:widowControl/>
        <w:numPr>
          <w:ilvl w:val="0"/>
          <w:numId w:val="7"/>
        </w:numPr>
        <w:spacing w:before="0" w:beforeLines="0" w:afterLines="0"/>
        <w:jc w:val="left"/>
        <w:rPr>
          <w:rFonts w:hint="default"/>
          <w:sz w:val="21"/>
          <w:szCs w:val="21"/>
          <w:lang w:val="en-US" w:eastAsia="zh-CN"/>
        </w:rPr>
      </w:pPr>
      <w:r>
        <w:rPr>
          <w:rFonts w:hint="default"/>
          <w:sz w:val="21"/>
          <w:szCs w:val="21"/>
          <w:lang w:val="en-US" w:eastAsia="zh-CN"/>
        </w:rPr>
        <w:t>RP-242356, Revised Work Item: NR mobility enhancements Phase 4, Apple Inc, China Telecom</w:t>
      </w:r>
    </w:p>
    <w:p>
      <w:pPr>
        <w:pStyle w:val="98"/>
        <w:numPr>
          <w:ilvl w:val="0"/>
          <w:numId w:val="7"/>
        </w:numPr>
        <w:snapToGrid w:val="0"/>
        <w:rPr>
          <w:bCs/>
          <w:sz w:val="21"/>
          <w:szCs w:val="21"/>
        </w:rPr>
      </w:pPr>
      <w:r>
        <w:rPr>
          <w:rFonts w:hint="eastAsia"/>
          <w:bCs/>
          <w:sz w:val="21"/>
          <w:szCs w:val="21"/>
        </w:rPr>
        <w:fldChar w:fldCharType="begin"/>
      </w:r>
      <w:r>
        <w:rPr>
          <w:rFonts w:hint="eastAsia"/>
          <w:bCs/>
          <w:sz w:val="21"/>
          <w:szCs w:val="21"/>
        </w:rPr>
        <w:instrText xml:space="preserve"> HYPERLINK "ftp://10.10.10.10/ftp/tsg_ran/WG4_Radio/TSGR4_112/Inbox/R4-2414060.zip" </w:instrText>
      </w:r>
      <w:r>
        <w:rPr>
          <w:rFonts w:hint="eastAsia"/>
          <w:bCs/>
          <w:sz w:val="21"/>
          <w:szCs w:val="21"/>
        </w:rPr>
        <w:fldChar w:fldCharType="separate"/>
      </w:r>
      <w:r>
        <w:rPr>
          <w:rFonts w:hint="eastAsia"/>
          <w:bCs/>
          <w:sz w:val="21"/>
          <w:szCs w:val="21"/>
        </w:rPr>
        <w:t>R4-2</w:t>
      </w:r>
      <w:r>
        <w:rPr>
          <w:rFonts w:hint="eastAsia"/>
          <w:bCs/>
          <w:sz w:val="21"/>
          <w:szCs w:val="21"/>
        </w:rPr>
        <w:fldChar w:fldCharType="end"/>
      </w:r>
      <w:r>
        <w:rPr>
          <w:rFonts w:hint="eastAsia"/>
          <w:bCs/>
          <w:sz w:val="21"/>
          <w:szCs w:val="21"/>
          <w:lang w:val="en-US" w:eastAsia="zh-CN"/>
        </w:rPr>
        <w:t>504965</w:t>
      </w:r>
      <w:r>
        <w:rPr>
          <w:rFonts w:hint="eastAsia"/>
          <w:bCs/>
          <w:sz w:val="21"/>
          <w:szCs w:val="21"/>
        </w:rPr>
        <w:t>, WF on RRM requirements for NR_Mob_Ph4_Part1, Apple</w:t>
      </w:r>
    </w:p>
    <w:p>
      <w:pPr>
        <w:pStyle w:val="19"/>
        <w:shd w:val="clear" w:color="auto" w:fill="FFFFFF"/>
        <w:spacing w:before="0" w:beforeLines="0" w:beforeAutospacing="0" w:after="0" w:afterLines="0" w:afterAutospacing="0" w:line="300" w:lineRule="atLeast"/>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5D03097"/>
    <w:multiLevelType w:val="multilevel"/>
    <w:tmpl w:val="05D03097"/>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4D6E3167"/>
    <w:multiLevelType w:val="multilevel"/>
    <w:tmpl w:val="4D6E3167"/>
    <w:lvl w:ilvl="0" w:tentative="0">
      <w:start w:val="1"/>
      <w:numFmt w:val="decimal"/>
      <w:pStyle w:val="96"/>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240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5"/>
  </w:num>
  <w:num w:numId="3">
    <w:abstractNumId w:val="3"/>
  </w:num>
  <w:num w:numId="4">
    <w:abstractNumId w:val="2"/>
  </w:num>
  <w:num w:numId="5">
    <w:abstractNumId w:val="1"/>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4E3F"/>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70426"/>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2FD0794"/>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024"/>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54B11"/>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523EE"/>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3A14C7"/>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40783"/>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0B6F1F"/>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624D8"/>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BA2435"/>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5965E2"/>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491C71"/>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A4C54"/>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C26AB"/>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9643E"/>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C3D0E"/>
    <w:rsid w:val="189C6826"/>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B4BE5"/>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CC153A"/>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130EB"/>
    <w:rsid w:val="1C561E66"/>
    <w:rsid w:val="1C5E3742"/>
    <w:rsid w:val="1C5F23B1"/>
    <w:rsid w:val="1C656C23"/>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CB0287"/>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7E5682"/>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2436"/>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933D3"/>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9A0635"/>
    <w:rsid w:val="29A4634A"/>
    <w:rsid w:val="29A84DD1"/>
    <w:rsid w:val="29AA2390"/>
    <w:rsid w:val="29B85AFC"/>
    <w:rsid w:val="29BB74AF"/>
    <w:rsid w:val="29BC2AA4"/>
    <w:rsid w:val="29C56816"/>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AC21CF"/>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B71515"/>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E4009"/>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67B89"/>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9007B"/>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729BC"/>
    <w:rsid w:val="3B7B1D0B"/>
    <w:rsid w:val="3B873119"/>
    <w:rsid w:val="3B9271C8"/>
    <w:rsid w:val="3B9C2663"/>
    <w:rsid w:val="3BA17E84"/>
    <w:rsid w:val="3BA35FC1"/>
    <w:rsid w:val="3BA566FD"/>
    <w:rsid w:val="3BA7008A"/>
    <w:rsid w:val="3BB47D9F"/>
    <w:rsid w:val="3BD039A1"/>
    <w:rsid w:val="3BDE5F43"/>
    <w:rsid w:val="3BE61119"/>
    <w:rsid w:val="3BE63406"/>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33ED1"/>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86B87"/>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0A7AE5"/>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62787"/>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ED131B"/>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295D29"/>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D4176"/>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50BA0"/>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867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C61C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51658"/>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93E65"/>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1E47"/>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B700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44EAD"/>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13700"/>
    <w:rsid w:val="63A85CD1"/>
    <w:rsid w:val="63AB2A39"/>
    <w:rsid w:val="63B02C42"/>
    <w:rsid w:val="63B17518"/>
    <w:rsid w:val="63C51AD9"/>
    <w:rsid w:val="63C54411"/>
    <w:rsid w:val="63C733FE"/>
    <w:rsid w:val="63CD27C8"/>
    <w:rsid w:val="63CF2629"/>
    <w:rsid w:val="63D40E51"/>
    <w:rsid w:val="63D85FCA"/>
    <w:rsid w:val="63E044E9"/>
    <w:rsid w:val="63E263F4"/>
    <w:rsid w:val="63E418C9"/>
    <w:rsid w:val="63F81AB3"/>
    <w:rsid w:val="63FD7654"/>
    <w:rsid w:val="640C2BB6"/>
    <w:rsid w:val="6411454E"/>
    <w:rsid w:val="64225DD5"/>
    <w:rsid w:val="643D1B94"/>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9D427C"/>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C293F"/>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267D5"/>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37F9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CB040E"/>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5C7CED"/>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9728C7"/>
    <w:rsid w:val="79A15149"/>
    <w:rsid w:val="79A37CCA"/>
    <w:rsid w:val="79A71C2E"/>
    <w:rsid w:val="79A74BCA"/>
    <w:rsid w:val="79AE39E9"/>
    <w:rsid w:val="79BD3E41"/>
    <w:rsid w:val="79BF2784"/>
    <w:rsid w:val="79C0597A"/>
    <w:rsid w:val="79C065A4"/>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8F3E74"/>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1"/>
    <w:unhideWhenUsed/>
    <w:qFormat/>
    <w:uiPriority w:val="99"/>
    <w:rPr>
      <w:sz w:val="18"/>
      <w:szCs w:val="18"/>
    </w:rPr>
  </w:style>
  <w:style w:type="paragraph" w:styleId="16">
    <w:name w:val="footer"/>
    <w:basedOn w:val="1"/>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5"/>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8"/>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7"/>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6"/>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6">
    <w:name w:val="RAN4 proposal"/>
    <w:basedOn w:val="11"/>
    <w:next w:val="1"/>
    <w:qFormat/>
    <w:uiPriority w:val="0"/>
    <w:pPr>
      <w:numPr>
        <w:ilvl w:val="0"/>
        <w:numId w:val="3"/>
      </w:numPr>
      <w:jc w:val="left"/>
    </w:pPr>
    <w:rPr>
      <w:rFonts w:ascii="Times New Roman" w:hAnsi="Times New Roman"/>
      <w:sz w:val="20"/>
    </w:rPr>
  </w:style>
  <w:style w:type="character" w:customStyle="1" w:styleId="97">
    <w:name w:val="ui-provider"/>
    <w:basedOn w:val="24"/>
    <w:qFormat/>
    <w:uiPriority w:val="0"/>
  </w:style>
  <w:style w:type="paragraph" w:customStyle="1" w:styleId="98">
    <w:name w:val="No Spacing1"/>
    <w:qFormat/>
    <w:uiPriority w:val="1"/>
    <w:pPr>
      <w:spacing w:after="160" w:line="259" w:lineRule="auto"/>
    </w:pPr>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31</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2025-05-09T08:13:25Z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150B846A3B9A43C1A34B1D46AD22493A</vt:lpwstr>
  </property>
</Properties>
</file>