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F11D7" w14:textId="2DD166A6" w:rsidR="008033E6" w:rsidRPr="00323D5F" w:rsidRDefault="008033E6" w:rsidP="008033E6">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D67961" w:rsidRPr="00D67961">
        <w:rPr>
          <w:rFonts w:ascii="Arial" w:hAnsi="Arial" w:cs="Arial"/>
          <w:b/>
          <w:sz w:val="24"/>
          <w:szCs w:val="28"/>
          <w:lang w:val="en-US"/>
        </w:rPr>
        <w:t>R4-2506550</w:t>
      </w:r>
      <w:bookmarkStart w:id="4" w:name="_GoBack"/>
      <w:bookmarkEnd w:id="4"/>
    </w:p>
    <w:p w14:paraId="61AC478F" w14:textId="77777777" w:rsidR="008033E6" w:rsidRDefault="008033E6" w:rsidP="008033E6">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5D9543D1"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F4CA6" w:rsidRPr="00D22145">
        <w:rPr>
          <w:rFonts w:ascii="Arial" w:hAnsi="Arial" w:cs="Arial"/>
          <w:sz w:val="22"/>
        </w:rPr>
        <w:t>7</w:t>
      </w:r>
      <w:r w:rsidR="0085081A" w:rsidRPr="00D22145">
        <w:rPr>
          <w:rFonts w:ascii="Arial" w:hAnsi="Arial" w:cs="Arial"/>
          <w:sz w:val="22"/>
        </w:rPr>
        <w:t>.</w:t>
      </w:r>
      <w:r w:rsidR="00836307" w:rsidRPr="00D22145">
        <w:rPr>
          <w:rFonts w:ascii="Arial" w:hAnsi="Arial" w:cs="Arial"/>
          <w:sz w:val="22"/>
        </w:rPr>
        <w:t>2</w:t>
      </w:r>
      <w:r w:rsidR="00D22145" w:rsidRPr="00D22145">
        <w:rPr>
          <w:rFonts w:ascii="Arial" w:hAnsi="Arial" w:cs="Arial"/>
          <w:sz w:val="22"/>
        </w:rPr>
        <w:t>3</w:t>
      </w:r>
      <w:r w:rsidR="00836307" w:rsidRPr="00D22145">
        <w:rPr>
          <w:rFonts w:ascii="Arial" w:hAnsi="Arial" w:cs="Arial"/>
          <w:sz w:val="22"/>
        </w:rPr>
        <w:t>.</w:t>
      </w:r>
      <w:r w:rsidR="00D22145" w:rsidRPr="00D22145">
        <w:rPr>
          <w:rFonts w:ascii="Arial" w:hAnsi="Arial" w:cs="Arial"/>
          <w:sz w:val="22"/>
        </w:rPr>
        <w:t>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414B09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004F3F">
        <w:rPr>
          <w:rFonts w:ascii="Arial" w:hAnsi="Arial" w:cs="Arial"/>
          <w:sz w:val="22"/>
        </w:rPr>
        <w:t xml:space="preserve"> </w:t>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5"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6" w:name="_Hlk153472406"/>
            <w:r w:rsidRPr="00683DF0">
              <w:rPr>
                <w:rFonts w:ascii="Times New Roman" w:hAnsi="Times New Roman"/>
                <w:bCs/>
                <w:lang w:eastAsia="zh-CN"/>
              </w:rPr>
              <w:t>Evaluate testability, interoperability,</w:t>
            </w:r>
            <w:bookmarkEnd w:id="6"/>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5"/>
    <w:p w14:paraId="75B4233D" w14:textId="3D8332FC" w:rsidR="007F721E" w:rsidRPr="00DF39FE" w:rsidRDefault="00D64AA7" w:rsidP="00910292">
      <w:pPr>
        <w:spacing w:before="120" w:after="160"/>
        <w:jc w:val="both"/>
      </w:pPr>
      <w:r w:rsidRPr="007C26C6">
        <w:t xml:space="preserve">In this </w:t>
      </w:r>
      <w:r w:rsidR="00704A45" w:rsidRPr="007C26C6">
        <w:t>contribution</w:t>
      </w:r>
      <w:r w:rsidRPr="007C26C6">
        <w:t>, we</w:t>
      </w:r>
      <w:r w:rsidR="001448E5" w:rsidRPr="007C26C6">
        <w:t xml:space="preserve"> </w:t>
      </w:r>
      <w:r w:rsidR="008B549A">
        <w:t xml:space="preserve">will further </w:t>
      </w:r>
      <w:r w:rsidRPr="007C26C6">
        <w:t xml:space="preserve">provide our views on </w:t>
      </w:r>
      <w:r w:rsidR="00E8682A" w:rsidRPr="00E8682A">
        <w:t>testability and interoperability issues</w:t>
      </w:r>
      <w:r w:rsidR="00331377" w:rsidRPr="007C26C6">
        <w:t xml:space="preserve"> for </w:t>
      </w:r>
      <w:r w:rsidR="00552A87">
        <w:t>AI/ML mobility</w:t>
      </w:r>
      <w:r w:rsidR="00A9794E">
        <w:t xml:space="preserve"> based on the latest WF[2]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8" w:name="OLE_LINK1"/>
      <w:bookmarkStart w:id="9" w:name="OLE_LINK2"/>
      <w:r w:rsidR="000B7D40">
        <w:t>Testability issues in AI/ML based beam management</w:t>
      </w:r>
      <w:bookmarkEnd w:id="8"/>
      <w:bookmarkEnd w:id="9"/>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41B7BAF3" w14:textId="4EE4C6CA" w:rsidR="005D7566" w:rsidRPr="00B85A01" w:rsidRDefault="000B7D40" w:rsidP="00FB2D04">
      <w:pPr>
        <w:spacing w:before="240" w:after="160"/>
        <w:jc w:val="both"/>
        <w:rPr>
          <w:b/>
          <w:lang w:val="en-US"/>
        </w:rPr>
      </w:pPr>
      <w:r w:rsidRPr="00B85A01">
        <w:rPr>
          <w:b/>
          <w:lang w:val="en-US"/>
        </w:rPr>
        <w:t>Observation</w:t>
      </w:r>
      <w:r w:rsidR="002A7A7F" w:rsidRPr="00B85A01">
        <w:rPr>
          <w:b/>
          <w:lang w:val="en-US"/>
        </w:rPr>
        <w:t xml:space="preserve"> 1</w:t>
      </w:r>
      <w:r w:rsidRPr="00B85A01">
        <w:rPr>
          <w:b/>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4A2D91A9" w14:textId="41BAEE44" w:rsidR="00117993" w:rsidRPr="0096194A" w:rsidRDefault="0096194A" w:rsidP="0096194A">
      <w:pPr>
        <w:pStyle w:val="18"/>
        <w:rPr>
          <w:rFonts w:ascii="Arial" w:hAnsi="Arial"/>
        </w:rPr>
      </w:pPr>
      <w:r>
        <w:rPr>
          <w:rFonts w:ascii="Arial" w:hAnsi="Arial"/>
        </w:rPr>
        <w:t xml:space="preserve">2.2.1 </w:t>
      </w:r>
      <w:r w:rsidR="00117993" w:rsidRPr="0096194A">
        <w:rPr>
          <w:rFonts w:ascii="Arial" w:hAnsi="Arial"/>
        </w:rPr>
        <w:t>Channel model</w:t>
      </w:r>
    </w:p>
    <w:p w14:paraId="23A61870" w14:textId="77777777" w:rsidR="0096194A" w:rsidRDefault="0096194A" w:rsidP="0096194A">
      <w:pPr>
        <w:spacing w:before="240" w:after="160"/>
        <w:jc w:val="both"/>
        <w:rPr>
          <w:lang w:val="en-US"/>
        </w:rPr>
      </w:pPr>
      <w:r>
        <w:rPr>
          <w:lang w:val="en-US"/>
        </w:rPr>
        <w:t xml:space="preserve">According to Fig.1 depicted in TS38.300, A and A1 points are all </w:t>
      </w:r>
      <w:r w:rsidRPr="00FC5086">
        <w:rPr>
          <w:lang w:val="en-US"/>
        </w:rPr>
        <w:t>applicable</w:t>
      </w:r>
      <w:r>
        <w:rPr>
          <w:lang w:val="en-US"/>
        </w:rPr>
        <w:t xml:space="preserve"> in the current stage.</w:t>
      </w:r>
    </w:p>
    <w:p w14:paraId="36044E50" w14:textId="77777777" w:rsidR="0096194A" w:rsidRDefault="0096194A" w:rsidP="0096194A">
      <w:pPr>
        <w:keepNext/>
        <w:spacing w:before="240" w:after="160"/>
        <w:jc w:val="center"/>
      </w:pPr>
      <w:r w:rsidRPr="00296CF8">
        <w:rPr>
          <w:noProof/>
        </w:rPr>
        <w:object w:dxaOrig="11984" w:dyaOrig="5887" w14:anchorId="3A532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2.65pt" o:ole="">
            <v:imagedata r:id="rId11" o:title=""/>
          </v:shape>
          <o:OLEObject Type="Embed" ProgID="Visio.Drawing.11" ShapeID="_x0000_i1025" DrawAspect="Content" ObjectID="_1808329728" r:id="rId12"/>
        </w:object>
      </w:r>
    </w:p>
    <w:p w14:paraId="5E3D33CB" w14:textId="24530CAD" w:rsidR="0096194A" w:rsidRPr="00BC1759" w:rsidRDefault="0096194A" w:rsidP="0096194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500BB4">
        <w:rPr>
          <w:i w:val="0"/>
          <w:noProof/>
          <w:sz w:val="20"/>
          <w:szCs w:val="20"/>
        </w:rPr>
        <w:t>1</w:t>
      </w:r>
      <w:r w:rsidRPr="00BC1759">
        <w:rPr>
          <w:i w:val="0"/>
          <w:sz w:val="20"/>
          <w:szCs w:val="20"/>
        </w:rPr>
        <w:fldChar w:fldCharType="end"/>
      </w:r>
      <w:r w:rsidRPr="00BC1759">
        <w:rPr>
          <w:i w:val="0"/>
          <w:sz w:val="20"/>
          <w:szCs w:val="20"/>
        </w:rPr>
        <w:t xml:space="preserve"> Measurement Model</w:t>
      </w:r>
    </w:p>
    <w:p w14:paraId="6CF8DFB0" w14:textId="3B0C7938" w:rsidR="0096194A" w:rsidRDefault="0096194A" w:rsidP="0096194A">
      <w:pPr>
        <w:spacing w:before="240" w:after="160"/>
        <w:jc w:val="both"/>
        <w:rPr>
          <w:lang w:val="en-US"/>
        </w:rPr>
      </w:pPr>
      <w:r>
        <w:rPr>
          <w:lang w:val="en-US"/>
        </w:rPr>
        <w:t>However, both processes are beam-level results based, and testability issues against cost and complexity should also be noticed. In AI/ML based beam management case 1, Top K beams are predicted in spatial domain and multi-probe anechoic chamber test system are needed to emulate the spatial channel environment. If one-probe setup or flat channel model is used, the real performance of AI model could not be reflected. In AI mobility, time and frequency domain prediction is performed and AI model performance can be verified in a test system without any spatial characteristics. For example, the AI model uses the measurement results of beam i, beam j and beam k during the observation window in t1 and predicts the corresponding results based on beam i, beam j and beam k during the prediction window in t2. The spatial characteristics in t1 and t2 are the same and no other beam-level results are needed to derive the eventual performance. Based on this understanding, 1 probe could emulate different Tx beams by changing the power weight of reference signal in FR2 for one cell.</w:t>
      </w:r>
    </w:p>
    <w:p w14:paraId="27643172" w14:textId="6A25A36F" w:rsidR="00117993" w:rsidRDefault="0096194A" w:rsidP="00FB2D04">
      <w:pPr>
        <w:spacing w:before="240" w:after="160"/>
        <w:jc w:val="both"/>
        <w:rPr>
          <w:lang w:val="en-US"/>
        </w:rPr>
      </w:pPr>
      <w:r>
        <w:rPr>
          <w:lang w:val="en-US"/>
        </w:rPr>
        <w:t>Thus, t</w:t>
      </w:r>
      <w:r w:rsidR="00117993">
        <w:rPr>
          <w:lang w:val="en-US"/>
        </w:rPr>
        <w:t xml:space="preserve">here is no need to considered the CDL channel since there no spatial characteristics needs to be reconstruced in the chamber. The AI prediction can also operate normally without spatial characterists since all scenarios are </w:t>
      </w:r>
      <w:r w:rsidR="00287BAA">
        <w:rPr>
          <w:lang w:val="en-US"/>
        </w:rPr>
        <w:t xml:space="preserve">in </w:t>
      </w:r>
      <w:r w:rsidR="00117993">
        <w:rPr>
          <w:lang w:val="en-US"/>
        </w:rPr>
        <w:t>temporal/frequency domain</w:t>
      </w:r>
      <w:r w:rsidR="002E501D">
        <w:rPr>
          <w:lang w:val="en-US"/>
        </w:rPr>
        <w:t xml:space="preserve"> and</w:t>
      </w:r>
      <w:r w:rsidR="00117993">
        <w:rPr>
          <w:lang w:val="en-US"/>
        </w:rPr>
        <w:t xml:space="preserve"> AWGN/TDL channels are </w:t>
      </w:r>
      <w:r w:rsidR="00117993">
        <w:rPr>
          <w:rFonts w:hint="eastAsia"/>
          <w:lang w:val="en-US"/>
        </w:rPr>
        <w:t>enough</w:t>
      </w:r>
      <w:r w:rsidR="00117993">
        <w:rPr>
          <w:lang w:val="en-US"/>
        </w:rPr>
        <w:t xml:space="preserve"> for OTA testing.</w:t>
      </w:r>
    </w:p>
    <w:p w14:paraId="5A8D690A" w14:textId="7F1A6897" w:rsidR="0096194A" w:rsidRPr="00B85A01" w:rsidRDefault="0096194A" w:rsidP="0096194A">
      <w:pPr>
        <w:spacing w:before="240" w:after="160"/>
        <w:jc w:val="both"/>
        <w:rPr>
          <w:b/>
          <w:lang w:val="en-US"/>
        </w:rPr>
      </w:pPr>
      <w:r w:rsidRPr="00B85A01">
        <w:rPr>
          <w:b/>
          <w:lang w:val="en-US"/>
        </w:rPr>
        <w:t xml:space="preserve">Observation </w:t>
      </w:r>
      <w:r w:rsidR="00077166">
        <w:rPr>
          <w:b/>
          <w:lang w:val="en-US"/>
        </w:rPr>
        <w:t>2</w:t>
      </w:r>
      <w:r w:rsidRPr="00B85A01">
        <w:rPr>
          <w:b/>
          <w:lang w:val="en-US"/>
        </w:rPr>
        <w:t>: In AI/ML based BM case 1, all the Tx beams with spatial domain characteristics need to be emulated in OTA chamber, while the spatial characteristics are not necessarily needed in AI mobility test system.</w:t>
      </w:r>
    </w:p>
    <w:p w14:paraId="7E0380CB" w14:textId="245439AD" w:rsidR="0096194A" w:rsidRPr="00B85A01" w:rsidRDefault="0096194A" w:rsidP="0096194A">
      <w:pPr>
        <w:spacing w:before="240" w:after="0"/>
        <w:jc w:val="both"/>
        <w:rPr>
          <w:b/>
        </w:rPr>
      </w:pPr>
      <w:r w:rsidRPr="00B85A01">
        <w:rPr>
          <w:b/>
        </w:rPr>
        <w:t xml:space="preserve">Proposal 1: </w:t>
      </w:r>
      <w:r w:rsidR="002E501D"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4E35613D" w14:textId="3AB00B8C" w:rsidR="002E501D" w:rsidRPr="00B85A01" w:rsidRDefault="002E501D" w:rsidP="002E501D">
      <w:pPr>
        <w:spacing w:before="240" w:after="160"/>
        <w:jc w:val="both"/>
        <w:rPr>
          <w:b/>
          <w:lang w:val="en-US"/>
        </w:rPr>
      </w:pPr>
      <w:r w:rsidRPr="00B85A01">
        <w:rPr>
          <w:b/>
          <w:lang w:val="en-US"/>
        </w:rPr>
        <w:t>Proposal 2: RAN4 to consider us</w:t>
      </w:r>
      <w:r w:rsidR="00062DDB">
        <w:rPr>
          <w:b/>
          <w:lang w:val="en-US"/>
        </w:rPr>
        <w:t>ing</w:t>
      </w:r>
      <w:r w:rsidRPr="00B85A01">
        <w:rPr>
          <w:b/>
          <w:lang w:val="en-US"/>
        </w:rPr>
        <w:t xml:space="preserve"> AWGN/TDL channel model as the baseline for testing.</w:t>
      </w:r>
    </w:p>
    <w:p w14:paraId="6954E3D8" w14:textId="0B8FE502" w:rsidR="00117993" w:rsidRPr="0096194A" w:rsidRDefault="0096194A" w:rsidP="0096194A">
      <w:pPr>
        <w:pStyle w:val="18"/>
        <w:rPr>
          <w:rFonts w:ascii="Arial" w:hAnsi="Arial"/>
        </w:rPr>
      </w:pPr>
      <w:r>
        <w:rPr>
          <w:rFonts w:ascii="Arial" w:hAnsi="Arial"/>
        </w:rPr>
        <w:t xml:space="preserve">2.2.2 </w:t>
      </w:r>
      <w:r w:rsidR="00117993" w:rsidRPr="0096194A">
        <w:rPr>
          <w:rFonts w:ascii="Arial" w:hAnsi="Arial"/>
        </w:rPr>
        <w:t>UE trajectory</w:t>
      </w:r>
    </w:p>
    <w:p w14:paraId="7322D0B0" w14:textId="091455F6" w:rsidR="00117993" w:rsidRDefault="00794FFE" w:rsidP="00FB2D04">
      <w:pPr>
        <w:spacing w:before="240" w:after="160"/>
        <w:jc w:val="both"/>
        <w:rPr>
          <w:lang w:val="en-US"/>
        </w:rPr>
      </w:pPr>
      <w:r>
        <w:rPr>
          <w:lang w:val="en-US"/>
        </w:rPr>
        <w:t xml:space="preserve">In legacy test, the dynamic characteristic are only reflected by changing the doppler for generating the channel </w:t>
      </w:r>
      <w:r>
        <w:rPr>
          <w:rFonts w:hint="eastAsia"/>
          <w:lang w:val="en-US"/>
        </w:rPr>
        <w:t>coefficients</w:t>
      </w:r>
      <w:r>
        <w:rPr>
          <w:lang w:val="en-US"/>
        </w:rPr>
        <w:t xml:space="preserve"> and </w:t>
      </w:r>
      <w:r w:rsidR="00287BAA">
        <w:rPr>
          <w:lang w:val="en-US"/>
        </w:rPr>
        <w:t xml:space="preserve">changing the </w:t>
      </w:r>
      <w:r>
        <w:rPr>
          <w:lang w:val="en-US"/>
        </w:rPr>
        <w:t xml:space="preserve">SNR. However, the AI model may be trained under field data/UMa data in a </w:t>
      </w:r>
      <w:r>
        <w:rPr>
          <w:rFonts w:hint="eastAsia"/>
          <w:lang w:val="en-US"/>
        </w:rPr>
        <w:t>continues</w:t>
      </w:r>
      <w:r>
        <w:rPr>
          <w:lang w:val="en-US"/>
        </w:rPr>
        <w:t xml:space="preserve"> time with temporal/spatial consistency and correlations considering UE is moving and rotating. If only change the dopper and SNR, the </w:t>
      </w:r>
      <w:r w:rsidR="00C44E50">
        <w:rPr>
          <w:lang w:val="en-US"/>
        </w:rPr>
        <w:t>test environment may be looks random</w:t>
      </w:r>
      <w:r w:rsidR="00287BAA">
        <w:rPr>
          <w:lang w:val="en-US"/>
        </w:rPr>
        <w:t>ly</w:t>
      </w:r>
      <w:r w:rsidR="00C44E50">
        <w:rPr>
          <w:lang w:val="en-US"/>
        </w:rPr>
        <w:t xml:space="preserve"> from UE-sided AI model perspective and mismatch may be occurred. Therefore, we proposal to study a new method to model UE trajectory, method in TR 38.762 for dynamic OTA testing can be referred to, e.g., modelling a UE trajectory with some waypoints and generate channel model in every waypoint, as shown in Fig. </w:t>
      </w:r>
      <w:r w:rsidR="00500BB4">
        <w:rPr>
          <w:lang w:val="en-US"/>
        </w:rPr>
        <w:t>2</w:t>
      </w:r>
      <w:r w:rsidR="00C44E50">
        <w:rPr>
          <w:lang w:val="en-US"/>
        </w:rPr>
        <w:t>. UE could be ratoted in a 3D turnable with the reference LOS AoA direction and change the probe power weight to emulated the dynamic environment.</w:t>
      </w:r>
    </w:p>
    <w:p w14:paraId="37C438C0" w14:textId="77777777" w:rsidR="00C44E50" w:rsidRDefault="00C44E50" w:rsidP="00C44E50">
      <w:pPr>
        <w:keepNext/>
        <w:spacing w:before="240" w:after="160"/>
        <w:jc w:val="center"/>
      </w:pPr>
      <w:r w:rsidRPr="009F24EE">
        <w:rPr>
          <w:noProof/>
        </w:rPr>
        <w:lastRenderedPageBreak/>
        <w:drawing>
          <wp:inline distT="0" distB="0" distL="0" distR="0" wp14:anchorId="5E7802B7" wp14:editId="186D8C70">
            <wp:extent cx="4844304" cy="261112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3"/>
                    <a:srcRect t="16775" b="10129"/>
                    <a:stretch/>
                  </pic:blipFill>
                  <pic:spPr bwMode="auto">
                    <a:xfrm>
                      <a:off x="0" y="0"/>
                      <a:ext cx="4888578" cy="2634984"/>
                    </a:xfrm>
                    <a:prstGeom prst="rect">
                      <a:avLst/>
                    </a:prstGeom>
                    <a:ln>
                      <a:noFill/>
                    </a:ln>
                    <a:extLst>
                      <a:ext uri="{53640926-AAD7-44D8-BBD7-CCE9431645EC}">
                        <a14:shadowObscured xmlns:a14="http://schemas.microsoft.com/office/drawing/2010/main"/>
                      </a:ext>
                    </a:extLst>
                  </pic:spPr>
                </pic:pic>
              </a:graphicData>
            </a:graphic>
          </wp:inline>
        </w:drawing>
      </w:r>
    </w:p>
    <w:p w14:paraId="1FF150AC" w14:textId="5E8AC47C" w:rsidR="00C44E50" w:rsidRPr="00C44E50" w:rsidRDefault="00C44E50" w:rsidP="00C44E50">
      <w:pPr>
        <w:pStyle w:val="aff"/>
        <w:jc w:val="center"/>
        <w:rPr>
          <w:i w:val="0"/>
          <w:sz w:val="20"/>
          <w:szCs w:val="20"/>
          <w:lang w:val="en-US"/>
        </w:rPr>
      </w:pPr>
      <w:r w:rsidRPr="00C44E50">
        <w:rPr>
          <w:i w:val="0"/>
          <w:sz w:val="20"/>
          <w:szCs w:val="20"/>
        </w:rPr>
        <w:t xml:space="preserve">Fig. </w:t>
      </w:r>
      <w:r w:rsidRPr="00C44E50">
        <w:rPr>
          <w:i w:val="0"/>
          <w:sz w:val="20"/>
          <w:szCs w:val="20"/>
        </w:rPr>
        <w:fldChar w:fldCharType="begin"/>
      </w:r>
      <w:r w:rsidRPr="00C44E50">
        <w:rPr>
          <w:i w:val="0"/>
          <w:sz w:val="20"/>
          <w:szCs w:val="20"/>
        </w:rPr>
        <w:instrText xml:space="preserve"> SEQ Fig._ \* ARABIC </w:instrText>
      </w:r>
      <w:r w:rsidRPr="00C44E50">
        <w:rPr>
          <w:i w:val="0"/>
          <w:sz w:val="20"/>
          <w:szCs w:val="20"/>
        </w:rPr>
        <w:fldChar w:fldCharType="separate"/>
      </w:r>
      <w:r w:rsidR="00500BB4">
        <w:rPr>
          <w:i w:val="0"/>
          <w:noProof/>
          <w:sz w:val="20"/>
          <w:szCs w:val="20"/>
        </w:rPr>
        <w:t>2</w:t>
      </w:r>
      <w:r w:rsidRPr="00C44E50">
        <w:rPr>
          <w:i w:val="0"/>
          <w:sz w:val="20"/>
          <w:szCs w:val="20"/>
        </w:rPr>
        <w:fldChar w:fldCharType="end"/>
      </w:r>
      <w:r w:rsidRPr="00C44E50">
        <w:rPr>
          <w:i w:val="0"/>
          <w:sz w:val="20"/>
          <w:szCs w:val="20"/>
        </w:rPr>
        <w:t xml:space="preserve"> Base station and the UE route in the TR 38.762 [3].</w:t>
      </w:r>
    </w:p>
    <w:p w14:paraId="1AC4B1B7" w14:textId="07715168" w:rsidR="0096194A" w:rsidRDefault="00B15112" w:rsidP="00794FFE">
      <w:pPr>
        <w:spacing w:before="240" w:after="160"/>
        <w:jc w:val="both"/>
        <w:rPr>
          <w:b/>
          <w:lang w:val="en-US"/>
        </w:rPr>
      </w:pPr>
      <w:r w:rsidRPr="00B85A01">
        <w:rPr>
          <w:b/>
          <w:lang w:val="en-US"/>
        </w:rPr>
        <w:t>Proposal 3: RAN4 to consider modelling reference UE trajectory for OTA testing and to emulate the dynamic channel by changing the doppler, changing the SNR, rotate UE in turnable, and change probe power.</w:t>
      </w:r>
    </w:p>
    <w:tbl>
      <w:tblPr>
        <w:tblStyle w:val="afff5"/>
        <w:tblW w:w="0" w:type="auto"/>
        <w:tblInd w:w="0" w:type="dxa"/>
        <w:tblLook w:val="04A0" w:firstRow="1" w:lastRow="0" w:firstColumn="1" w:lastColumn="0" w:noHBand="0" w:noVBand="1"/>
      </w:tblPr>
      <w:tblGrid>
        <w:gridCol w:w="9630"/>
      </w:tblGrid>
      <w:tr w:rsidR="007F4C16" w14:paraId="644D1640" w14:textId="77777777" w:rsidTr="007F4C16">
        <w:tc>
          <w:tcPr>
            <w:tcW w:w="9630" w:type="dxa"/>
          </w:tcPr>
          <w:p w14:paraId="510E4B5A" w14:textId="77777777" w:rsidR="007F4C16" w:rsidRPr="007F4C16" w:rsidRDefault="007F4C16" w:rsidP="007F4C16">
            <w:pPr>
              <w:rPr>
                <w:rFonts w:ascii="Times New Roman" w:eastAsia="MS Mincho" w:hAnsi="Times New Roman"/>
                <w:b/>
                <w:bCs/>
                <w:sz w:val="22"/>
                <w:szCs w:val="24"/>
                <w:u w:val="single"/>
                <w:lang w:eastAsia="zh-CN"/>
              </w:rPr>
            </w:pPr>
            <w:r w:rsidRPr="007F4C16">
              <w:rPr>
                <w:rFonts w:ascii="Times New Roman" w:eastAsia="MS Mincho" w:hAnsi="Times New Roman"/>
                <w:b/>
                <w:bCs/>
                <w:sz w:val="22"/>
                <w:szCs w:val="24"/>
                <w:u w:val="single"/>
                <w:lang w:eastAsia="zh-CN"/>
              </w:rPr>
              <w:t>Issue 4-1-2: Prediction consistency in time domain</w:t>
            </w:r>
          </w:p>
          <w:p w14:paraId="2C6D8B92" w14:textId="77777777" w:rsidR="007F4C16" w:rsidRPr="007F4C16" w:rsidRDefault="007F4C16" w:rsidP="007F4C16">
            <w:pPr>
              <w:rPr>
                <w:rFonts w:ascii="Times New Roman" w:hAnsi="Times New Roman"/>
              </w:rPr>
            </w:pPr>
            <w:r w:rsidRPr="007F4C16">
              <w:rPr>
                <w:rFonts w:ascii="Times New Roman" w:hAnsi="Times New Roman"/>
              </w:rPr>
              <w:t xml:space="preserve">Agreement: </w:t>
            </w:r>
          </w:p>
          <w:p w14:paraId="01902BA5" w14:textId="77777777" w:rsidR="007F4C16" w:rsidRPr="007F4C16" w:rsidRDefault="007F4C16" w:rsidP="007F4C16">
            <w:pPr>
              <w:pStyle w:val="a3"/>
              <w:numPr>
                <w:ilvl w:val="0"/>
                <w:numId w:val="48"/>
              </w:numPr>
              <w:overflowPunct w:val="0"/>
              <w:autoSpaceDE w:val="0"/>
              <w:autoSpaceDN w:val="0"/>
              <w:adjustRightInd w:val="0"/>
              <w:spacing w:after="180"/>
              <w:textAlignment w:val="baseline"/>
              <w:rPr>
                <w:rFonts w:ascii="Times New Roman" w:hAnsi="Times New Roman"/>
                <w:color w:val="000000" w:themeColor="text1"/>
                <w:lang w:eastAsia="zh-CN"/>
              </w:rPr>
            </w:pPr>
            <w:r w:rsidRPr="007F4C16">
              <w:rPr>
                <w:rFonts w:ascii="Times New Roman" w:hAnsi="Times New Roman"/>
              </w:rPr>
              <w:t>To ensure prediction consistency in time domain, RAN4 to d</w:t>
            </w:r>
            <w:r w:rsidRPr="007F4C16">
              <w:rPr>
                <w:rFonts w:ascii="Times New Roman" w:hAnsi="Times New Roman"/>
                <w:color w:val="000000" w:themeColor="text1"/>
                <w:lang w:eastAsia="zh-CN"/>
              </w:rPr>
              <w:t>iscuss how to model different time-varying characteristics per cell/site due to moving UE trajectories.</w:t>
            </w:r>
          </w:p>
          <w:p w14:paraId="12E716FC" w14:textId="77777777" w:rsidR="007F4C16" w:rsidRPr="007F4C16" w:rsidRDefault="007F4C16" w:rsidP="007F4C16">
            <w:pPr>
              <w:pStyle w:val="a3"/>
              <w:numPr>
                <w:ilvl w:val="1"/>
                <w:numId w:val="48"/>
              </w:numPr>
              <w:overflowPunct w:val="0"/>
              <w:autoSpaceDE w:val="0"/>
              <w:autoSpaceDN w:val="0"/>
              <w:adjustRightInd w:val="0"/>
              <w:spacing w:after="180"/>
              <w:textAlignment w:val="baseline"/>
              <w:rPr>
                <w:rFonts w:ascii="Times New Roman" w:hAnsi="Times New Roman"/>
                <w:color w:val="000000" w:themeColor="text1"/>
                <w:lang w:eastAsia="zh-CN"/>
              </w:rPr>
            </w:pPr>
            <w:r w:rsidRPr="007F4C16">
              <w:rPr>
                <w:rFonts w:ascii="Times New Roman" w:hAnsi="Times New Roman"/>
                <w:color w:val="000000" w:themeColor="text1"/>
                <w:lang w:eastAsia="zh-CN"/>
              </w:rPr>
              <w:t>Discuss how to incorporate controlled randomness and the extent of time-domain variation and correlation</w:t>
            </w:r>
          </w:p>
          <w:p w14:paraId="6B66DD85" w14:textId="49DC27CB" w:rsidR="007F4C16" w:rsidRPr="007F4C16" w:rsidRDefault="007F4C16" w:rsidP="007F4C16">
            <w:pPr>
              <w:pStyle w:val="a3"/>
              <w:numPr>
                <w:ilvl w:val="1"/>
                <w:numId w:val="48"/>
              </w:numPr>
              <w:overflowPunct w:val="0"/>
              <w:autoSpaceDE w:val="0"/>
              <w:autoSpaceDN w:val="0"/>
              <w:adjustRightInd w:val="0"/>
              <w:spacing w:after="180"/>
              <w:textAlignment w:val="baseline"/>
              <w:rPr>
                <w:color w:val="000000" w:themeColor="text1"/>
                <w:lang w:eastAsia="zh-CN"/>
              </w:rPr>
            </w:pPr>
            <w:r w:rsidRPr="007F4C16">
              <w:rPr>
                <w:rFonts w:ascii="Times New Roman" w:hAnsi="Times New Roman"/>
                <w:color w:val="000000" w:themeColor="text1"/>
                <w:lang w:eastAsia="zh-CN"/>
              </w:rPr>
              <w:t>RAN4 to prioritize discussion on FR1.</w:t>
            </w:r>
          </w:p>
        </w:tc>
      </w:tr>
    </w:tbl>
    <w:p w14:paraId="3065FB64" w14:textId="66C37BE4" w:rsidR="005116BF" w:rsidRDefault="0062276A" w:rsidP="0028480D">
      <w:pPr>
        <w:spacing w:before="240" w:after="160"/>
        <w:jc w:val="both"/>
        <w:rPr>
          <w:lang w:val="en-US"/>
        </w:rPr>
      </w:pPr>
      <w:r>
        <w:rPr>
          <w:lang w:val="en-US"/>
        </w:rPr>
        <w:t xml:space="preserve">On </w:t>
      </w:r>
      <w:r w:rsidR="0028480D" w:rsidRPr="0028480D">
        <w:rPr>
          <w:lang w:val="en-US"/>
        </w:rPr>
        <w:t>how to represent time-varying RSRP measurements to capture fluctuations across dimensions</w:t>
      </w:r>
      <w:r w:rsidR="00607EFC">
        <w:rPr>
          <w:lang w:val="en-US"/>
        </w:rPr>
        <w:t xml:space="preserve">, </w:t>
      </w:r>
      <w:r w:rsidR="006A1322">
        <w:rPr>
          <w:lang w:val="en-US"/>
        </w:rPr>
        <w:t>one way is to</w:t>
      </w:r>
      <w:r w:rsidR="00607EFC">
        <w:rPr>
          <w:lang w:val="en-US"/>
        </w:rPr>
        <w:t xml:space="preserve"> </w:t>
      </w:r>
      <w:r w:rsidR="002A1D3F">
        <w:rPr>
          <w:lang w:val="en-US"/>
        </w:rPr>
        <w:t>configure e</w:t>
      </w:r>
      <w:r w:rsidR="00607EFC" w:rsidRPr="0028480D">
        <w:rPr>
          <w:lang w:val="en-US"/>
        </w:rPr>
        <w:t>ach serving and neighboring cell</w:t>
      </w:r>
      <w:r w:rsidR="002A1D3F">
        <w:rPr>
          <w:lang w:val="en-US"/>
        </w:rPr>
        <w:t xml:space="preserve"> </w:t>
      </w:r>
      <w:r w:rsidR="00607EFC" w:rsidRPr="0028480D">
        <w:rPr>
          <w:lang w:val="en-US"/>
        </w:rPr>
        <w:t>with a single SSB resource</w:t>
      </w:r>
      <w:r w:rsidR="00F97978">
        <w:rPr>
          <w:lang w:val="en-US"/>
        </w:rPr>
        <w:t xml:space="preserve">. </w:t>
      </w:r>
      <w:r w:rsidR="006A1322">
        <w:rPr>
          <w:lang w:val="en-US"/>
        </w:rPr>
        <w:t xml:space="preserve">The measurement results can be </w:t>
      </w:r>
      <w:r w:rsidR="00C51AD1">
        <w:rPr>
          <w:lang w:val="en-US"/>
        </w:rPr>
        <w:t>treated as the L3 cell-level RSR</w:t>
      </w:r>
      <w:r w:rsidR="00512480">
        <w:rPr>
          <w:lang w:val="en-US"/>
        </w:rPr>
        <w:t>P</w:t>
      </w:r>
      <w:r w:rsidR="00607EFC" w:rsidRPr="0028480D">
        <w:rPr>
          <w:lang w:val="en-US"/>
        </w:rPr>
        <w:t>.</w:t>
      </w:r>
      <w:r w:rsidR="00E4261A">
        <w:rPr>
          <w:lang w:val="en-US"/>
        </w:rPr>
        <w:t xml:space="preserve"> </w:t>
      </w:r>
      <w:r w:rsidR="009B1034" w:rsidRPr="009B1034">
        <w:rPr>
          <w:lang w:val="en-US"/>
        </w:rPr>
        <w:t>However, considering the potential power control issues, an alternative approach is to construct a CA scenario, ensuring that the PCell remains unaffected when the TE adjusts the transmitting power of SSBs</w:t>
      </w:r>
      <w:r w:rsidR="00077166">
        <w:rPr>
          <w:lang w:val="en-US"/>
        </w:rPr>
        <w:t>.</w:t>
      </w:r>
    </w:p>
    <w:p w14:paraId="7474C2A6" w14:textId="1F17F0D9" w:rsidR="00077166" w:rsidRDefault="00077166" w:rsidP="0028480D">
      <w:pPr>
        <w:spacing w:before="240" w:after="160"/>
        <w:jc w:val="both"/>
        <w:rPr>
          <w:b/>
          <w:lang w:val="en-US"/>
        </w:rPr>
      </w:pPr>
      <w:r w:rsidRPr="003958A1">
        <w:rPr>
          <w:b/>
          <w:lang w:val="en-US"/>
        </w:rPr>
        <w:t xml:space="preserve">Proposal </w:t>
      </w:r>
      <w:r w:rsidR="003958A1" w:rsidRPr="003958A1">
        <w:rPr>
          <w:b/>
          <w:lang w:val="en-US"/>
        </w:rPr>
        <w:t>4</w:t>
      </w:r>
      <w:r w:rsidR="003958A1">
        <w:rPr>
          <w:b/>
          <w:lang w:val="en-US"/>
        </w:rPr>
        <w:t xml:space="preserve">: </w:t>
      </w:r>
      <w:r w:rsidR="002C790B">
        <w:rPr>
          <w:b/>
          <w:lang w:val="en-US"/>
        </w:rPr>
        <w:t xml:space="preserve">On </w:t>
      </w:r>
      <w:r w:rsidR="002C790B" w:rsidRPr="002C790B">
        <w:rPr>
          <w:b/>
          <w:lang w:val="en-US"/>
        </w:rPr>
        <w:t>how to incorporate controlled randomness and the extent of time-domain variation and correlation</w:t>
      </w:r>
      <w:r w:rsidR="002C790B">
        <w:rPr>
          <w:b/>
          <w:lang w:val="en-US"/>
        </w:rPr>
        <w:t xml:space="preserve">, </w:t>
      </w:r>
      <w:r w:rsidR="001A04E6">
        <w:rPr>
          <w:b/>
          <w:lang w:val="en-US"/>
        </w:rPr>
        <w:t>the alternatives include:</w:t>
      </w:r>
    </w:p>
    <w:p w14:paraId="747F68C1" w14:textId="5376DCFC" w:rsidR="001A04E6" w:rsidRPr="001A04E6" w:rsidRDefault="00801ED1" w:rsidP="001A04E6">
      <w:pPr>
        <w:pStyle w:val="a3"/>
        <w:numPr>
          <w:ilvl w:val="0"/>
          <w:numId w:val="50"/>
        </w:numPr>
        <w:spacing w:before="240" w:after="160"/>
        <w:jc w:val="both"/>
        <w:rPr>
          <w:b/>
        </w:rPr>
      </w:pPr>
      <w:r>
        <w:rPr>
          <w:b/>
        </w:rPr>
        <w:t>Alt 1: T</w:t>
      </w:r>
      <w:r w:rsidR="001A04E6" w:rsidRPr="001A04E6">
        <w:rPr>
          <w:b/>
        </w:rPr>
        <w:t>o configure each serving and neighboring cell with a single SSB resource.</w:t>
      </w:r>
    </w:p>
    <w:p w14:paraId="6F011B94" w14:textId="27A322C3" w:rsidR="001A04E6" w:rsidRPr="001A04E6" w:rsidRDefault="00801ED1" w:rsidP="001A04E6">
      <w:pPr>
        <w:pStyle w:val="a3"/>
        <w:numPr>
          <w:ilvl w:val="0"/>
          <w:numId w:val="50"/>
        </w:numPr>
        <w:spacing w:before="240" w:after="160"/>
        <w:jc w:val="both"/>
        <w:rPr>
          <w:b/>
        </w:rPr>
      </w:pPr>
      <w:r>
        <w:rPr>
          <w:b/>
        </w:rPr>
        <w:t>Alt 2: T</w:t>
      </w:r>
      <w:r w:rsidR="001A04E6" w:rsidRPr="001A04E6">
        <w:rPr>
          <w:b/>
        </w:rPr>
        <w:t>o construct a CA scenario, ensuring that the PCell remains unaffected when the TE adjusts the transmitting power of SSBs</w:t>
      </w:r>
    </w:p>
    <w:p w14:paraId="59C0B20B" w14:textId="7097E788" w:rsidR="00534C7D" w:rsidRPr="00534C7D" w:rsidRDefault="00534C7D" w:rsidP="0028480D">
      <w:pPr>
        <w:spacing w:before="240" w:after="160"/>
        <w:jc w:val="both"/>
        <w:rPr>
          <w:rFonts w:ascii="Arial" w:eastAsia="Arial" w:hAnsi="Arial" w:cs="Arial"/>
          <w:sz w:val="28"/>
          <w:lang w:val="en-US"/>
        </w:rPr>
      </w:pPr>
      <w:r w:rsidRPr="00534C7D">
        <w:rPr>
          <w:rFonts w:ascii="Arial" w:eastAsia="Arial" w:hAnsi="Arial" w:cs="Arial"/>
          <w:sz w:val="28"/>
          <w:lang w:val="en-US"/>
        </w:rPr>
        <w:t>2.2.</w:t>
      </w:r>
      <w:r>
        <w:rPr>
          <w:rFonts w:ascii="Arial" w:eastAsia="Arial" w:hAnsi="Arial" w:cs="Arial"/>
          <w:sz w:val="28"/>
          <w:lang w:val="en-US"/>
        </w:rPr>
        <w:t>3</w:t>
      </w:r>
      <w:r w:rsidRPr="00534C7D">
        <w:rPr>
          <w:rFonts w:ascii="Arial" w:eastAsia="Arial" w:hAnsi="Arial" w:cs="Arial"/>
          <w:sz w:val="28"/>
          <w:lang w:val="en-US"/>
        </w:rPr>
        <w:t xml:space="preserve"> Multiple cells in the testing setup</w:t>
      </w:r>
    </w:p>
    <w:tbl>
      <w:tblPr>
        <w:tblStyle w:val="afff5"/>
        <w:tblW w:w="0" w:type="auto"/>
        <w:tblInd w:w="0" w:type="dxa"/>
        <w:tblLook w:val="04A0" w:firstRow="1" w:lastRow="0" w:firstColumn="1" w:lastColumn="0" w:noHBand="0" w:noVBand="1"/>
      </w:tblPr>
      <w:tblGrid>
        <w:gridCol w:w="9630"/>
      </w:tblGrid>
      <w:tr w:rsidR="00F34530" w14:paraId="7FD9D594" w14:textId="77777777" w:rsidTr="00F34530">
        <w:tc>
          <w:tcPr>
            <w:tcW w:w="9630" w:type="dxa"/>
          </w:tcPr>
          <w:p w14:paraId="62E38094" w14:textId="77777777" w:rsidR="00F34530" w:rsidRPr="00534C7D" w:rsidRDefault="00F34530" w:rsidP="00F34530">
            <w:pPr>
              <w:rPr>
                <w:rFonts w:ascii="Times New Roman" w:eastAsia="MS Mincho" w:hAnsi="Times New Roman"/>
                <w:b/>
                <w:bCs/>
                <w:sz w:val="22"/>
                <w:szCs w:val="24"/>
                <w:u w:val="single"/>
                <w:lang w:eastAsia="zh-CN"/>
              </w:rPr>
            </w:pPr>
            <w:r w:rsidRPr="00534C7D">
              <w:rPr>
                <w:rFonts w:ascii="Times New Roman" w:eastAsia="MS Mincho" w:hAnsi="Times New Roman"/>
                <w:b/>
                <w:bCs/>
                <w:sz w:val="22"/>
                <w:szCs w:val="24"/>
                <w:u w:val="single"/>
                <w:lang w:eastAsia="zh-CN"/>
              </w:rPr>
              <w:t>Issue 4-1-3: Multiple cells in the testing setup</w:t>
            </w:r>
          </w:p>
          <w:p w14:paraId="4CC8AAAC" w14:textId="77777777" w:rsidR="00F34530" w:rsidRPr="00534C7D" w:rsidRDefault="00F34530" w:rsidP="00F34530">
            <w:pPr>
              <w:spacing w:after="120"/>
              <w:rPr>
                <w:rFonts w:ascii="Times New Roman" w:hAnsi="Times New Roman"/>
                <w:color w:val="000000" w:themeColor="text1"/>
                <w:szCs w:val="24"/>
                <w:highlight w:val="green"/>
                <w:lang w:eastAsia="zh-CN"/>
              </w:rPr>
            </w:pPr>
            <w:r w:rsidRPr="00534C7D">
              <w:rPr>
                <w:rFonts w:ascii="Times New Roman" w:hAnsi="Times New Roman"/>
                <w:color w:val="000000" w:themeColor="text1"/>
                <w:szCs w:val="24"/>
                <w:highlight w:val="green"/>
                <w:lang w:eastAsia="zh-CN"/>
              </w:rPr>
              <w:t>Agreement:</w:t>
            </w:r>
          </w:p>
          <w:p w14:paraId="49485A75" w14:textId="77777777" w:rsidR="00F34530" w:rsidRPr="00534C7D" w:rsidRDefault="00F34530" w:rsidP="00F34530">
            <w:pPr>
              <w:pStyle w:val="a3"/>
              <w:numPr>
                <w:ilvl w:val="0"/>
                <w:numId w:val="49"/>
              </w:numPr>
              <w:overflowPunct w:val="0"/>
              <w:autoSpaceDE w:val="0"/>
              <w:autoSpaceDN w:val="0"/>
              <w:adjustRightInd w:val="0"/>
              <w:textAlignment w:val="baseline"/>
              <w:rPr>
                <w:rFonts w:ascii="Times New Roman" w:hAnsi="Times New Roman"/>
                <w:color w:val="000000" w:themeColor="text1"/>
                <w:highlight w:val="green"/>
                <w:lang w:eastAsia="zh-CN"/>
              </w:rPr>
            </w:pPr>
            <w:r w:rsidRPr="00534C7D">
              <w:rPr>
                <w:rFonts w:ascii="Times New Roman" w:hAnsi="Times New Roman"/>
                <w:color w:val="000000" w:themeColor="text1"/>
                <w:highlight w:val="green"/>
                <w:lang w:eastAsia="zh-CN"/>
              </w:rPr>
              <w:t>RAN4 to consider two cells: serving cell and another/target cell for intra-cell RRM measurement prediction/event prediction.</w:t>
            </w:r>
          </w:p>
          <w:p w14:paraId="62E4D55A" w14:textId="5E49EE49" w:rsidR="00F34530" w:rsidRPr="00F34530" w:rsidRDefault="00F34530" w:rsidP="00F34530">
            <w:pPr>
              <w:pStyle w:val="a3"/>
              <w:numPr>
                <w:ilvl w:val="0"/>
                <w:numId w:val="49"/>
              </w:numPr>
              <w:overflowPunct w:val="0"/>
              <w:autoSpaceDE w:val="0"/>
              <w:autoSpaceDN w:val="0"/>
              <w:adjustRightInd w:val="0"/>
              <w:textAlignment w:val="baseline"/>
              <w:rPr>
                <w:color w:val="000000" w:themeColor="text1"/>
                <w:highlight w:val="green"/>
                <w:lang w:eastAsia="zh-CN"/>
              </w:rPr>
            </w:pPr>
            <w:r w:rsidRPr="00534C7D">
              <w:rPr>
                <w:rFonts w:ascii="Times New Roman" w:hAnsi="Times New Roman"/>
                <w:color w:val="000000" w:themeColor="text1"/>
                <w:highlight w:val="green"/>
                <w:lang w:eastAsia="zh-CN"/>
              </w:rPr>
              <w:lastRenderedPageBreak/>
              <w:t>FFS: RAN4 to study if more than 2 cells are needed for inter-cell RRM measurement prediction/event prediction.</w:t>
            </w:r>
          </w:p>
        </w:tc>
      </w:tr>
    </w:tbl>
    <w:p w14:paraId="03EF57DE" w14:textId="43628C52" w:rsidR="0085605F" w:rsidRDefault="00A370B6" w:rsidP="00794FFE">
      <w:pPr>
        <w:spacing w:before="240" w:after="160"/>
        <w:jc w:val="both"/>
        <w:rPr>
          <w:lang w:val="en-US"/>
        </w:rPr>
      </w:pPr>
      <w:r w:rsidRPr="00A370B6">
        <w:rPr>
          <w:lang w:val="en-US"/>
        </w:rPr>
        <w:lastRenderedPageBreak/>
        <w:t>For FR1 to FR1 inter-frequency (frequency domain) scenarios, if a cluster-based approach is considered, the model input will include measurement results from multiple cells. In this case, it may be necessary to construct additional cells beyond just the serving cell and target cell. If the cluster-based approach becomes an essential scenario for inter-frequency prediction, RAN4 should also conduct studies on it.</w:t>
      </w:r>
    </w:p>
    <w:p w14:paraId="36AE0E04" w14:textId="793A014D" w:rsidR="00A370B6" w:rsidRPr="004C1C86" w:rsidRDefault="00A370B6" w:rsidP="00794FFE">
      <w:pPr>
        <w:spacing w:before="240" w:after="160"/>
        <w:jc w:val="both"/>
        <w:rPr>
          <w:b/>
          <w:lang w:val="en-US"/>
        </w:rPr>
      </w:pPr>
      <w:r w:rsidRPr="004C1C86">
        <w:rPr>
          <w:b/>
          <w:lang w:val="en-US"/>
        </w:rPr>
        <w:t>Proposal 5</w:t>
      </w:r>
      <w:r w:rsidR="00812BDE" w:rsidRPr="004C1C86">
        <w:rPr>
          <w:b/>
          <w:lang w:val="en-US"/>
        </w:rPr>
        <w:t xml:space="preserve"> For</w:t>
      </w:r>
      <w:r w:rsidRPr="004C1C86">
        <w:rPr>
          <w:b/>
          <w:lang w:val="en-US"/>
        </w:rPr>
        <w:t xml:space="preserve"> the cluster-based approach </w:t>
      </w:r>
      <w:r w:rsidR="00FD2F70" w:rsidRPr="004C1C86">
        <w:rPr>
          <w:b/>
          <w:lang w:val="en-US"/>
        </w:rPr>
        <w:t xml:space="preserve">used </w:t>
      </w:r>
      <w:r w:rsidRPr="004C1C86">
        <w:rPr>
          <w:b/>
          <w:lang w:val="en-US"/>
        </w:rPr>
        <w:t xml:space="preserve">inter-frequency prediction, </w:t>
      </w:r>
      <w:r w:rsidR="00072E7E" w:rsidRPr="004C1C86">
        <w:rPr>
          <w:b/>
          <w:lang w:val="en-US"/>
        </w:rPr>
        <w:t>multiple cells</w:t>
      </w:r>
      <w:r w:rsidR="00546D57" w:rsidRPr="004C1C86">
        <w:rPr>
          <w:b/>
          <w:lang w:val="en-US"/>
        </w:rPr>
        <w:t xml:space="preserve"> </w:t>
      </w:r>
      <w:r w:rsidR="00B67539" w:rsidRPr="004C1C86">
        <w:rPr>
          <w:b/>
          <w:lang w:val="en-US"/>
        </w:rPr>
        <w:t>are needed for inter-cell RRM measurement prediction/event prediction</w:t>
      </w:r>
      <w:r w:rsidR="00364DEF">
        <w:rPr>
          <w:b/>
          <w:lang w:val="en-US"/>
        </w:rPr>
        <w:t>.</w:t>
      </w:r>
      <w:r w:rsidR="00546D57" w:rsidRPr="004C1C86">
        <w:rPr>
          <w:b/>
          <w:lang w:val="en-US"/>
        </w:rPr>
        <w:t xml:space="preserve"> </w:t>
      </w:r>
      <w:r w:rsidR="00FA4FE2">
        <w:rPr>
          <w:b/>
          <w:lang w:val="en-US"/>
        </w:rPr>
        <w:t xml:space="preserve">And </w:t>
      </w:r>
      <w:r w:rsidRPr="004C1C86">
        <w:rPr>
          <w:b/>
          <w:lang w:val="en-US"/>
        </w:rPr>
        <w:t xml:space="preserve">RAN4 </w:t>
      </w:r>
      <w:r w:rsidR="001E07DA" w:rsidRPr="004C1C86">
        <w:rPr>
          <w:b/>
          <w:lang w:val="en-US"/>
        </w:rPr>
        <w:t xml:space="preserve">need to study </w:t>
      </w:r>
      <w:r w:rsidR="0090681F">
        <w:rPr>
          <w:b/>
          <w:lang w:val="en-US"/>
        </w:rPr>
        <w:t>for this case</w:t>
      </w:r>
    </w:p>
    <w:p w14:paraId="4B8BB274" w14:textId="51544497" w:rsidR="0096194A" w:rsidRDefault="002E501D" w:rsidP="002E501D">
      <w:pPr>
        <w:pStyle w:val="18"/>
      </w:pPr>
      <w:r>
        <w:rPr>
          <w:rFonts w:ascii="Arial" w:hAnsi="Arial"/>
        </w:rPr>
        <w:t>2.2.</w:t>
      </w:r>
      <w:r w:rsidR="00534C7D">
        <w:rPr>
          <w:rFonts w:ascii="Arial" w:hAnsi="Arial"/>
        </w:rPr>
        <w:t>4</w:t>
      </w:r>
      <w:r>
        <w:rPr>
          <w:rFonts w:ascii="Arial" w:hAnsi="Arial"/>
        </w:rPr>
        <w:t xml:space="preserve"> </w:t>
      </w:r>
      <w:r w:rsidR="0096194A" w:rsidRPr="002E501D">
        <w:rPr>
          <w:rFonts w:ascii="Arial" w:hAnsi="Arial"/>
        </w:rPr>
        <w:t>Test environment mismatch</w:t>
      </w:r>
    </w:p>
    <w:p w14:paraId="751404FF" w14:textId="6540A8E8" w:rsidR="00B24847" w:rsidRDefault="00383255" w:rsidP="00383255">
      <w:pPr>
        <w:spacing w:before="240" w:after="0"/>
        <w:jc w:val="both"/>
      </w:pPr>
      <w:r>
        <w:t xml:space="preserve">Moreover, </w:t>
      </w:r>
      <w:r w:rsidR="0017685F">
        <w:t>training method</w:t>
      </w:r>
      <w:r>
        <w:t>s</w:t>
      </w:r>
      <w:r w:rsidR="0017685F">
        <w:t xml:space="preserve"> </w:t>
      </w:r>
      <w:r w:rsidR="004C3A33">
        <w:t xml:space="preserve">and datasets </w:t>
      </w:r>
      <w:r>
        <w:t xml:space="preserve">are </w:t>
      </w:r>
      <w:r w:rsidR="00FD5B2D">
        <w:t xml:space="preserve">important factors </w:t>
      </w:r>
      <w:r w:rsidR="007C33F2">
        <w:t>that</w:t>
      </w:r>
      <w:r w:rsidR="004C3A33">
        <w:t xml:space="preserve"> need to </w:t>
      </w:r>
      <w:r w:rsidR="007C33F2">
        <w:t>be taken</w:t>
      </w:r>
      <w:r w:rsidR="004C3A33">
        <w:t xml:space="preserve"> it account</w:t>
      </w:r>
      <w:r w:rsidR="007C33F2">
        <w:t xml:space="preserve">. For </w:t>
      </w:r>
      <w:r w:rsidR="0017685F">
        <w:t>training datasets</w:t>
      </w:r>
      <w:r w:rsidR="007C33F2">
        <w:t>, they</w:t>
      </w:r>
      <w:r w:rsidR="0017685F">
        <w:t xml:space="preserve"> are usually derived from simulations and field measurements.</w:t>
      </w:r>
      <w:r w:rsidR="00920A13">
        <w:t xml:space="preserve"> </w:t>
      </w:r>
      <w:r w:rsidR="00B766AC">
        <w:t xml:space="preserve">When we consider </w:t>
      </w:r>
      <w:r w:rsidR="005E22C3">
        <w:t>using</w:t>
      </w:r>
      <w:r w:rsidR="00B766AC">
        <w:t xml:space="preserve"> </w:t>
      </w:r>
      <w:r w:rsidR="00920A13">
        <w:t xml:space="preserve">fixed 8 beams pattern as the model input and 32 beams as the model output for deriving the spatial domain beam prediction dataset (set B = 8 and set A = 32) </w:t>
      </w:r>
      <w:r w:rsidR="00B02F00">
        <w:t xml:space="preserve">to </w:t>
      </w:r>
      <w:r w:rsidR="00920A13">
        <w:t>train the model</w:t>
      </w:r>
      <w:r w:rsidR="005E22C3">
        <w:t>, one issue may be notice</w:t>
      </w:r>
      <w:r w:rsidR="004A2D3F">
        <w:t>a</w:t>
      </w:r>
      <w:r w:rsidR="005E22C3">
        <w:t>ble is that,</w:t>
      </w:r>
      <w:r w:rsidR="00166511">
        <w:t xml:space="preserve"> </w:t>
      </w:r>
      <w:r w:rsidR="005E22C3">
        <w:t>o</w:t>
      </w:r>
      <w:r w:rsidR="00166511">
        <w:t xml:space="preserve">nce the model is already trained, only correct format of inference dataset can be </w:t>
      </w:r>
      <w:r w:rsidR="00AD0C35">
        <w:t>applicab</w:t>
      </w:r>
      <w:r w:rsidR="0026585B">
        <w:t>l</w:t>
      </w:r>
      <w:r w:rsidR="00AD0C35">
        <w:t>e</w:t>
      </w:r>
      <w:r w:rsidR="005676EE">
        <w:t xml:space="preserve">. </w:t>
      </w:r>
      <w:r w:rsidR="004A2D3F">
        <w:t>If the data format is not matched, e.g., using 4 beams dataset as inference</w:t>
      </w:r>
      <w:r w:rsidR="00FB2B76">
        <w:t xml:space="preserve">, </w:t>
      </w:r>
      <w:r w:rsidR="00315064">
        <w:t xml:space="preserve">it may cause </w:t>
      </w:r>
      <w:r w:rsidR="00166511">
        <w:t xml:space="preserve">the model </w:t>
      </w:r>
      <w:r w:rsidR="00E219FC">
        <w:t xml:space="preserve">to </w:t>
      </w:r>
      <w:r w:rsidR="00264274">
        <w:t>become</w:t>
      </w:r>
      <w:r w:rsidR="00166511">
        <w:t xml:space="preserve"> </w:t>
      </w:r>
      <w:r w:rsidR="009961F1">
        <w:t>unwork</w:t>
      </w:r>
      <w:r w:rsidR="00A8304C">
        <w:t>a</w:t>
      </w:r>
      <w:r w:rsidR="009961F1">
        <w:t>ble</w:t>
      </w:r>
      <w:r w:rsidR="005E5B7E">
        <w:t xml:space="preserve"> since the model is only applicable for 8 beams format input</w:t>
      </w:r>
      <w:r w:rsidR="00166511">
        <w:t>.</w:t>
      </w:r>
      <w:r w:rsidR="00B24847">
        <w:t xml:space="preserve"> In AI mobility, the specific format issue </w:t>
      </w:r>
      <w:r w:rsidR="002E0DA5">
        <w:t>also exists</w:t>
      </w:r>
      <w:r w:rsidR="0026585B">
        <w:t xml:space="preserve">, which requires that </w:t>
      </w:r>
      <w:r w:rsidR="00B24847">
        <w:t xml:space="preserve">AI model </w:t>
      </w:r>
      <w:r w:rsidR="0026585B">
        <w:t>is capable of generalizing</w:t>
      </w:r>
      <w:r w:rsidR="00B24847">
        <w:t xml:space="preserve"> most types of input format</w:t>
      </w:r>
      <w:r w:rsidR="002E0DA5">
        <w:t>s</w:t>
      </w:r>
      <w:r w:rsidR="00B24847">
        <w:t xml:space="preserve"> to</w:t>
      </w:r>
      <w:r w:rsidR="00166511">
        <w:t xml:space="preserve"> </w:t>
      </w:r>
      <w:r w:rsidR="00B24847">
        <w:rPr>
          <w:rFonts w:hint="eastAsia"/>
        </w:rPr>
        <w:t>guarantee</w:t>
      </w:r>
      <w:r w:rsidR="00920A13">
        <w:t xml:space="preserve"> </w:t>
      </w:r>
      <w:r w:rsidR="00B24847">
        <w:t>a stable performance in the field since many Tx beams are usually drown</w:t>
      </w:r>
      <w:r w:rsidR="002E0DA5">
        <w:t>ed</w:t>
      </w:r>
      <w:r w:rsidR="00B24847">
        <w:t xml:space="preserve"> in the noise and may not be seen </w:t>
      </w:r>
      <w:r w:rsidR="002E0DA5">
        <w:t xml:space="preserve">on </w:t>
      </w:r>
      <w:r w:rsidR="00B24847">
        <w:t xml:space="preserve">UE side. </w:t>
      </w:r>
      <w:r w:rsidR="009763DE">
        <w:t xml:space="preserve">From test perspective, bulid a simplified test system is the main goal and most of the Tx beams are skipped in the test lab, which will cause the input dimension mismatch issue. </w:t>
      </w:r>
      <w:r w:rsidR="00B56652">
        <w:t xml:space="preserve">The issue is illustrated in Fig. </w:t>
      </w:r>
      <w:r w:rsidR="00500BB4">
        <w:t>3</w:t>
      </w:r>
      <w:r w:rsidR="004C0BD8">
        <w:t xml:space="preserve">, where </w:t>
      </w:r>
      <w:r w:rsidR="004C0BD8" w:rsidRPr="004C0BD8">
        <w:rPr>
          <w:i/>
        </w:rPr>
        <w:t>t</w:t>
      </w:r>
      <w:r w:rsidR="004C0BD8" w:rsidRPr="004C0BD8">
        <w:rPr>
          <w:i/>
          <w:vertAlign w:val="subscript"/>
        </w:rPr>
        <w:t>i</w:t>
      </w:r>
      <w:r w:rsidR="004C0BD8">
        <w:t xml:space="preserve"> is the time instance for measurement and </w:t>
      </w:r>
      <w:r w:rsidR="004C0BD8" w:rsidRPr="004C0BD8">
        <w:rPr>
          <w:i/>
        </w:rPr>
        <w:t>t</w:t>
      </w:r>
      <w:r w:rsidR="004C0BD8" w:rsidRPr="004C0BD8">
        <w:rPr>
          <w:i/>
          <w:vertAlign w:val="subscript"/>
        </w:rPr>
        <w:t>j</w:t>
      </w:r>
      <w:r w:rsidR="004C0BD8">
        <w:t xml:space="preserve"> is the time instance for prediction</w:t>
      </w:r>
      <w:r w:rsidR="00B56652">
        <w:t xml:space="preserve">. </w:t>
      </w:r>
      <w:r w:rsidR="00B24847">
        <w:t xml:space="preserve">RAN4 needs to </w:t>
      </w:r>
      <w:r w:rsidR="00F05E32">
        <w:t>consider this aspect</w:t>
      </w:r>
      <w:r w:rsidR="002E0DA5">
        <w:t xml:space="preserve"> in </w:t>
      </w:r>
      <w:r w:rsidR="00B24847">
        <w:t xml:space="preserve">the following research and </w:t>
      </w:r>
      <w:r w:rsidR="00547232">
        <w:t xml:space="preserve">further </w:t>
      </w:r>
      <w:r w:rsidR="00B24847">
        <w:t xml:space="preserve">perform evaluations </w:t>
      </w:r>
      <w:r w:rsidR="000634EB">
        <w:t>before</w:t>
      </w:r>
      <w:r w:rsidR="00F05E32">
        <w:t xml:space="preserve"> </w:t>
      </w:r>
      <w:r w:rsidR="00B24847">
        <w:t>defin</w:t>
      </w:r>
      <w:r w:rsidR="000634EB">
        <w:t>ing</w:t>
      </w:r>
      <w:r w:rsidR="00B24847">
        <w:t xml:space="preserve"> requirements and test </w:t>
      </w:r>
      <w:r w:rsidR="00B24847">
        <w:rPr>
          <w:rFonts w:hint="eastAsia"/>
        </w:rPr>
        <w:t>methodolog</w:t>
      </w:r>
      <w:r w:rsidR="00B24847">
        <w:t>ies.</w:t>
      </w:r>
    </w:p>
    <w:p w14:paraId="2CD01F80" w14:textId="380403B7" w:rsidR="0061684A" w:rsidRDefault="00230740" w:rsidP="005E4A10">
      <w:pPr>
        <w:keepNext/>
        <w:spacing w:before="240" w:after="0"/>
        <w:jc w:val="center"/>
      </w:pPr>
      <w:r>
        <w:rPr>
          <w:noProof/>
        </w:rPr>
        <w:drawing>
          <wp:inline distT="0" distB="0" distL="0" distR="0" wp14:anchorId="1832E371" wp14:editId="42782D07">
            <wp:extent cx="3510409" cy="1559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200" cy="1562107"/>
                    </a:xfrm>
                    <a:prstGeom prst="rect">
                      <a:avLst/>
                    </a:prstGeom>
                    <a:noFill/>
                  </pic:spPr>
                </pic:pic>
              </a:graphicData>
            </a:graphic>
          </wp:inline>
        </w:drawing>
      </w:r>
    </w:p>
    <w:p w14:paraId="6ACDBEC9" w14:textId="00C2E234" w:rsidR="00871D42" w:rsidRPr="005E4A10" w:rsidRDefault="0061684A" w:rsidP="005E4A10">
      <w:pPr>
        <w:pStyle w:val="aff"/>
        <w:jc w:val="center"/>
      </w:pPr>
      <w:r w:rsidRPr="005E4A10">
        <w:rPr>
          <w:i w:val="0"/>
          <w:sz w:val="20"/>
        </w:rPr>
        <w:t xml:space="preserve">Fig. </w:t>
      </w:r>
      <w:r w:rsidRPr="005E4A10">
        <w:rPr>
          <w:i w:val="0"/>
          <w:sz w:val="20"/>
        </w:rPr>
        <w:fldChar w:fldCharType="begin"/>
      </w:r>
      <w:r w:rsidRPr="005E4A10">
        <w:rPr>
          <w:i w:val="0"/>
          <w:sz w:val="20"/>
        </w:rPr>
        <w:instrText xml:space="preserve"> SEQ Fig._ \* ARABIC </w:instrText>
      </w:r>
      <w:r w:rsidRPr="005E4A10">
        <w:rPr>
          <w:i w:val="0"/>
          <w:sz w:val="20"/>
        </w:rPr>
        <w:fldChar w:fldCharType="separate"/>
      </w:r>
      <w:r w:rsidR="00C44E50">
        <w:rPr>
          <w:i w:val="0"/>
          <w:noProof/>
          <w:sz w:val="20"/>
        </w:rPr>
        <w:t>3</w:t>
      </w:r>
      <w:r w:rsidRPr="005E4A10">
        <w:rPr>
          <w:i w:val="0"/>
          <w:sz w:val="20"/>
        </w:rPr>
        <w:fldChar w:fldCharType="end"/>
      </w:r>
      <w:r w:rsidR="00B56652" w:rsidRPr="005E4A10">
        <w:rPr>
          <w:i w:val="0"/>
          <w:sz w:val="20"/>
        </w:rPr>
        <w:t xml:space="preserve"> Illustration of model input dimension mismatch</w:t>
      </w:r>
      <w:r w:rsidR="00D74B8B">
        <w:rPr>
          <w:i w:val="0"/>
          <w:sz w:val="20"/>
        </w:rPr>
        <w:t xml:space="preserve"> issue</w:t>
      </w:r>
    </w:p>
    <w:p w14:paraId="6358960A" w14:textId="447FE4D4" w:rsidR="009763DE" w:rsidRPr="00B85A01" w:rsidRDefault="009763DE" w:rsidP="00760D87">
      <w:pPr>
        <w:spacing w:before="240" w:after="0"/>
        <w:rPr>
          <w:b/>
        </w:rPr>
      </w:pPr>
      <w:r w:rsidRPr="00B85A01">
        <w:rPr>
          <w:b/>
        </w:rPr>
        <w:t xml:space="preserve">Observation </w:t>
      </w:r>
      <w:r w:rsidR="00A25A4A">
        <w:rPr>
          <w:b/>
        </w:rPr>
        <w:t>3</w:t>
      </w:r>
      <w:r w:rsidRPr="00B85A01">
        <w:rPr>
          <w:b/>
        </w:rPr>
        <w:t>: A simplified RAN4 test system would skip Tx beams and the i</w:t>
      </w:r>
      <w:r w:rsidR="00226497" w:rsidRPr="00B85A01">
        <w:rPr>
          <w:b/>
        </w:rPr>
        <w:t>n</w:t>
      </w:r>
      <w:r w:rsidRPr="00B85A01">
        <w:rPr>
          <w:b/>
        </w:rPr>
        <w:t>put dimension mismatch issue may happen in the lab.</w:t>
      </w:r>
    </w:p>
    <w:p w14:paraId="6FBCBDE5" w14:textId="58F7EB76" w:rsidR="00B24847" w:rsidRPr="00B85A01" w:rsidRDefault="00B24847" w:rsidP="00760D87">
      <w:pPr>
        <w:spacing w:before="240" w:after="0"/>
        <w:rPr>
          <w:b/>
        </w:rPr>
      </w:pPr>
      <w:r w:rsidRPr="00B85A01">
        <w:rPr>
          <w:b/>
        </w:rPr>
        <w:t xml:space="preserve">Proposal </w:t>
      </w:r>
      <w:r w:rsidR="005A1141">
        <w:rPr>
          <w:b/>
        </w:rPr>
        <w:t>6</w:t>
      </w:r>
      <w:r w:rsidRPr="00B85A01">
        <w:rPr>
          <w:b/>
        </w:rPr>
        <w:t xml:space="preserve">: RAN4 to consider </w:t>
      </w:r>
      <w:r w:rsidR="00F05E32" w:rsidRPr="00B85A01">
        <w:rPr>
          <w:b/>
        </w:rPr>
        <w:t xml:space="preserve">evaluating </w:t>
      </w:r>
      <w:r w:rsidRPr="00B85A01">
        <w:rPr>
          <w:b/>
        </w:rPr>
        <w:t xml:space="preserve">the impact </w:t>
      </w:r>
      <w:r w:rsidR="001F2B0B" w:rsidRPr="00B85A01">
        <w:rPr>
          <w:b/>
        </w:rPr>
        <w:t>on the</w:t>
      </w:r>
      <w:r w:rsidRPr="00B85A01">
        <w:rPr>
          <w:b/>
        </w:rPr>
        <w:t xml:space="preserve"> model input dimensions </w:t>
      </w:r>
      <w:r w:rsidR="001F2B0B" w:rsidRPr="00B85A01">
        <w:rPr>
          <w:b/>
        </w:rPr>
        <w:t>mismatch</w:t>
      </w:r>
      <w:r w:rsidR="00C67798" w:rsidRPr="00B85A01">
        <w:rPr>
          <w:b/>
        </w:rPr>
        <w:t xml:space="preserve"> </w:t>
      </w:r>
      <w:r w:rsidRPr="00B85A01">
        <w:rPr>
          <w:b/>
        </w:rPr>
        <w:t>(</w:t>
      </w:r>
      <w:r w:rsidR="00C32110" w:rsidRPr="00B85A01">
        <w:rPr>
          <w:b/>
        </w:rPr>
        <w:t>e.g., the input Tx beam number for inference is not equal to the input Tx beam number for training</w:t>
      </w:r>
      <w:r w:rsidR="00147AD4" w:rsidRPr="00B85A01">
        <w:rPr>
          <w:b/>
        </w:rPr>
        <w:t xml:space="preserve"> because of the test setup</w:t>
      </w:r>
      <w:r w:rsidRPr="00B85A01">
        <w:rPr>
          <w:b/>
        </w:rPr>
        <w:t xml:space="preserve">) </w:t>
      </w:r>
      <w:r w:rsidR="00513FBB" w:rsidRPr="00B85A01">
        <w:rPr>
          <w:b/>
        </w:rPr>
        <w:t>for</w:t>
      </w:r>
      <w:r w:rsidRPr="00B85A01">
        <w:rPr>
          <w:b/>
        </w:rPr>
        <w:t xml:space="preserve"> the performance.</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09C4DCBB" w14:textId="6F927811" w:rsidR="005D7AD3" w:rsidRPr="00B85A01" w:rsidRDefault="005D7AD3" w:rsidP="005D7AD3">
      <w:pPr>
        <w:spacing w:before="240" w:after="160"/>
        <w:jc w:val="both"/>
        <w:rPr>
          <w:b/>
          <w:lang w:val="en-US"/>
        </w:rPr>
      </w:pPr>
      <w:r w:rsidRPr="00B85A01">
        <w:rPr>
          <w:b/>
          <w:lang w:val="en-US"/>
        </w:rPr>
        <w:t>Observation 1: Whether and how to emulate a multi-beam environment with a fading channel of spatial characteristics is the key issue in AI BM discussion.</w:t>
      </w:r>
    </w:p>
    <w:p w14:paraId="60549E37" w14:textId="77777777" w:rsidR="005D7AD3" w:rsidRPr="00B85A01" w:rsidRDefault="005D7AD3" w:rsidP="005D7AD3">
      <w:pPr>
        <w:spacing w:before="240" w:after="160"/>
        <w:jc w:val="both"/>
        <w:rPr>
          <w:b/>
          <w:lang w:val="en-US"/>
        </w:rPr>
      </w:pPr>
      <w:r w:rsidRPr="00B85A01">
        <w:rPr>
          <w:b/>
          <w:lang w:val="en-US"/>
        </w:rPr>
        <w:t xml:space="preserve">Observation </w:t>
      </w:r>
      <w:r>
        <w:rPr>
          <w:b/>
          <w:lang w:val="en-US"/>
        </w:rPr>
        <w:t>2</w:t>
      </w:r>
      <w:r w:rsidRPr="00B85A01">
        <w:rPr>
          <w:b/>
          <w:lang w:val="en-US"/>
        </w:rPr>
        <w:t>: In AI/ML based BM case 1, all the Tx beams with spatial domain characteristics need to be emulated in OTA chamber, while the spatial characteristics are not necessarily needed in AI mobility test system.</w:t>
      </w:r>
    </w:p>
    <w:p w14:paraId="29468B3C" w14:textId="77777777" w:rsidR="005D7AD3" w:rsidRPr="00B85A01" w:rsidRDefault="005D7AD3" w:rsidP="005D7AD3">
      <w:pPr>
        <w:spacing w:before="240" w:after="0"/>
        <w:jc w:val="both"/>
        <w:rPr>
          <w:b/>
        </w:rPr>
      </w:pPr>
      <w:r w:rsidRPr="00B85A01">
        <w:rPr>
          <w:b/>
        </w:rPr>
        <w:t xml:space="preserve">Proposal 1: </w:t>
      </w:r>
      <w:r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12583BD1" w14:textId="77777777" w:rsidR="005D7AD3" w:rsidRPr="00B85A01" w:rsidRDefault="005D7AD3" w:rsidP="005D7AD3">
      <w:pPr>
        <w:spacing w:before="240" w:after="160"/>
        <w:jc w:val="both"/>
        <w:rPr>
          <w:b/>
          <w:lang w:val="en-US"/>
        </w:rPr>
      </w:pPr>
      <w:r w:rsidRPr="00B85A01">
        <w:rPr>
          <w:b/>
          <w:lang w:val="en-US"/>
        </w:rPr>
        <w:t>Proposal 2: RAN4 to consider us</w:t>
      </w:r>
      <w:r>
        <w:rPr>
          <w:b/>
          <w:lang w:val="en-US"/>
        </w:rPr>
        <w:t>ing</w:t>
      </w:r>
      <w:r w:rsidRPr="00B85A01">
        <w:rPr>
          <w:b/>
          <w:lang w:val="en-US"/>
        </w:rPr>
        <w:t xml:space="preserve"> AWGN/TDL channel model as the baseline for testing.</w:t>
      </w:r>
    </w:p>
    <w:p w14:paraId="5DFB6B2F" w14:textId="77777777" w:rsidR="005D7AD3" w:rsidRDefault="005D7AD3" w:rsidP="005D7AD3">
      <w:pPr>
        <w:spacing w:before="240" w:after="160"/>
        <w:jc w:val="both"/>
        <w:rPr>
          <w:b/>
          <w:lang w:val="en-US"/>
        </w:rPr>
      </w:pPr>
      <w:r w:rsidRPr="00B85A01">
        <w:rPr>
          <w:b/>
          <w:lang w:val="en-US"/>
        </w:rPr>
        <w:lastRenderedPageBreak/>
        <w:t>Proposal 3: RAN4 to consider modelling reference UE trajectory for OTA testing and to emulate the dynamic channel by changing the doppler, changing the SNR, rotate UE in turnable, and change probe power.</w:t>
      </w:r>
    </w:p>
    <w:p w14:paraId="114BD500" w14:textId="77777777" w:rsidR="005D7AD3" w:rsidRDefault="005D7AD3" w:rsidP="005D7AD3">
      <w:pPr>
        <w:spacing w:before="240" w:after="160"/>
        <w:jc w:val="both"/>
        <w:rPr>
          <w:b/>
          <w:lang w:val="en-US"/>
        </w:rPr>
      </w:pPr>
      <w:r w:rsidRPr="003958A1">
        <w:rPr>
          <w:b/>
          <w:lang w:val="en-US"/>
        </w:rPr>
        <w:t>Proposal 4</w:t>
      </w:r>
      <w:r>
        <w:rPr>
          <w:b/>
          <w:lang w:val="en-US"/>
        </w:rPr>
        <w:t xml:space="preserve">: On </w:t>
      </w:r>
      <w:r w:rsidRPr="002C790B">
        <w:rPr>
          <w:b/>
          <w:lang w:val="en-US"/>
        </w:rPr>
        <w:t>how to incorporate controlled randomness and the extent of time-domain variation and correlation</w:t>
      </w:r>
      <w:r>
        <w:rPr>
          <w:b/>
          <w:lang w:val="en-US"/>
        </w:rPr>
        <w:t>, the alternatives include:</w:t>
      </w:r>
    </w:p>
    <w:p w14:paraId="25371C32" w14:textId="77777777" w:rsidR="005D7AD3" w:rsidRPr="001A04E6" w:rsidRDefault="005D7AD3" w:rsidP="005D7AD3">
      <w:pPr>
        <w:pStyle w:val="a3"/>
        <w:numPr>
          <w:ilvl w:val="0"/>
          <w:numId w:val="50"/>
        </w:numPr>
        <w:spacing w:before="240" w:after="160"/>
        <w:jc w:val="both"/>
        <w:rPr>
          <w:b/>
        </w:rPr>
      </w:pPr>
      <w:r>
        <w:rPr>
          <w:b/>
        </w:rPr>
        <w:t>Alt 1: T</w:t>
      </w:r>
      <w:r w:rsidRPr="001A04E6">
        <w:rPr>
          <w:b/>
        </w:rPr>
        <w:t>o configure each serving and neighboring cell with a single SSB resource.</w:t>
      </w:r>
    </w:p>
    <w:p w14:paraId="4E4170AC" w14:textId="77777777" w:rsidR="005D7AD3" w:rsidRPr="001A04E6" w:rsidRDefault="005D7AD3" w:rsidP="005D7AD3">
      <w:pPr>
        <w:pStyle w:val="a3"/>
        <w:numPr>
          <w:ilvl w:val="0"/>
          <w:numId w:val="50"/>
        </w:numPr>
        <w:spacing w:before="240" w:after="160"/>
        <w:jc w:val="both"/>
        <w:rPr>
          <w:b/>
        </w:rPr>
      </w:pPr>
      <w:r>
        <w:rPr>
          <w:b/>
        </w:rPr>
        <w:t>Alt 2: T</w:t>
      </w:r>
      <w:r w:rsidRPr="001A04E6">
        <w:rPr>
          <w:b/>
        </w:rPr>
        <w:t>o construct a CA scenario, ensuring that the PCell remains unaffected when the TE adjusts the transmitting power of SSBs</w:t>
      </w:r>
    </w:p>
    <w:p w14:paraId="3F8C4D67" w14:textId="77777777" w:rsidR="005D7AD3" w:rsidRPr="004C1C86" w:rsidRDefault="005D7AD3" w:rsidP="005D7AD3">
      <w:pPr>
        <w:spacing w:before="240" w:after="160"/>
        <w:jc w:val="both"/>
        <w:rPr>
          <w:b/>
          <w:lang w:val="en-US"/>
        </w:rPr>
      </w:pPr>
      <w:r w:rsidRPr="004C1C86">
        <w:rPr>
          <w:b/>
          <w:lang w:val="en-US"/>
        </w:rPr>
        <w:t>Proposal 5 For the cluster-based approach used inter-frequency prediction, multiple cells are needed for inter-cell RRM measurement prediction/event prediction</w:t>
      </w:r>
      <w:r>
        <w:rPr>
          <w:b/>
          <w:lang w:val="en-US"/>
        </w:rPr>
        <w:t>.</w:t>
      </w:r>
      <w:r w:rsidRPr="004C1C86">
        <w:rPr>
          <w:b/>
          <w:lang w:val="en-US"/>
        </w:rPr>
        <w:t xml:space="preserve"> </w:t>
      </w:r>
      <w:r>
        <w:rPr>
          <w:b/>
          <w:lang w:val="en-US"/>
        </w:rPr>
        <w:t xml:space="preserve">And </w:t>
      </w:r>
      <w:r w:rsidRPr="004C1C86">
        <w:rPr>
          <w:b/>
          <w:lang w:val="en-US"/>
        </w:rPr>
        <w:t xml:space="preserve">RAN4 need to study </w:t>
      </w:r>
      <w:r>
        <w:rPr>
          <w:b/>
          <w:lang w:val="en-US"/>
        </w:rPr>
        <w:t>for this case</w:t>
      </w:r>
    </w:p>
    <w:p w14:paraId="048236DF" w14:textId="77777777" w:rsidR="005D7AD3" w:rsidRPr="00B85A01" w:rsidRDefault="005D7AD3" w:rsidP="005D7AD3">
      <w:pPr>
        <w:spacing w:before="240" w:after="0"/>
        <w:rPr>
          <w:b/>
        </w:rPr>
      </w:pPr>
      <w:r w:rsidRPr="00B85A01">
        <w:rPr>
          <w:b/>
        </w:rPr>
        <w:t xml:space="preserve">Observation </w:t>
      </w:r>
      <w:r>
        <w:rPr>
          <w:b/>
        </w:rPr>
        <w:t>3</w:t>
      </w:r>
      <w:r w:rsidRPr="00B85A01">
        <w:rPr>
          <w:b/>
        </w:rPr>
        <w:t>: A simplified RAN4 test system would skip Tx beams and the input dimension mismatch issue may happen in the lab.</w:t>
      </w:r>
    </w:p>
    <w:p w14:paraId="41FE8D52" w14:textId="4A746D50" w:rsidR="00FC698B" w:rsidRPr="005D7AD3" w:rsidRDefault="005D7AD3" w:rsidP="00FC698B">
      <w:pPr>
        <w:spacing w:before="240" w:after="0"/>
        <w:rPr>
          <w:b/>
        </w:rPr>
      </w:pPr>
      <w:r w:rsidRPr="00B85A01">
        <w:rPr>
          <w:b/>
        </w:rPr>
        <w:t xml:space="preserve">Proposal </w:t>
      </w:r>
      <w:r>
        <w:rPr>
          <w:b/>
        </w:rPr>
        <w:t>6</w:t>
      </w:r>
      <w:r w:rsidRPr="00B85A01">
        <w:rPr>
          <w:b/>
        </w:rPr>
        <w:t>: RAN4 to consider evaluating the impact on the model input dimensions mismatch (e.g., the input Tx beam number for inference is not equal to the input Tx beam number for training because of the test setup) for the performance.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706A3C21" w14:textId="134C545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724B46F8" w14:textId="6A2B770E" w:rsidR="005D7566" w:rsidRDefault="004A34DD" w:rsidP="00FB2D04">
      <w:pPr>
        <w:pStyle w:val="Reference"/>
        <w:numPr>
          <w:ilvl w:val="0"/>
          <w:numId w:val="24"/>
        </w:numPr>
        <w:suppressAutoHyphens w:val="0"/>
        <w:spacing w:before="120" w:line="280" w:lineRule="atLeast"/>
        <w:jc w:val="both"/>
        <w:rPr>
          <w:bCs/>
          <w:kern w:val="2"/>
          <w:szCs w:val="18"/>
        </w:rPr>
      </w:pPr>
      <w:r w:rsidRPr="004A34DD">
        <w:rPr>
          <w:bCs/>
          <w:kern w:val="2"/>
          <w:szCs w:val="18"/>
        </w:rPr>
        <w:t>R4-250</w:t>
      </w:r>
      <w:r w:rsidR="00434BB7">
        <w:rPr>
          <w:bCs/>
          <w:kern w:val="2"/>
          <w:szCs w:val="18"/>
        </w:rPr>
        <w:t>4901</w:t>
      </w:r>
      <w:r w:rsidR="005D7566">
        <w:rPr>
          <w:bCs/>
          <w:kern w:val="2"/>
          <w:szCs w:val="18"/>
        </w:rPr>
        <w:t xml:space="preserve"> </w:t>
      </w:r>
      <w:r w:rsidR="00434BB7" w:rsidRPr="00434BB7">
        <w:rPr>
          <w:bCs/>
          <w:kern w:val="2"/>
          <w:szCs w:val="18"/>
        </w:rPr>
        <w:t>WF on RRM requirements for FS_NR_AIML_Mob</w:t>
      </w:r>
      <w:r w:rsidR="005D7566">
        <w:rPr>
          <w:bCs/>
          <w:kern w:val="2"/>
          <w:szCs w:val="18"/>
        </w:rPr>
        <w:t>, Nokia</w:t>
      </w:r>
    </w:p>
    <w:p w14:paraId="626A8151" w14:textId="45516707" w:rsidR="00B15112" w:rsidRPr="00FB2D04" w:rsidRDefault="00B15112" w:rsidP="00FB2D04">
      <w:pPr>
        <w:pStyle w:val="Reference"/>
        <w:numPr>
          <w:ilvl w:val="0"/>
          <w:numId w:val="24"/>
        </w:numPr>
        <w:suppressAutoHyphens w:val="0"/>
        <w:spacing w:before="120" w:line="280" w:lineRule="atLeast"/>
        <w:jc w:val="both"/>
        <w:rPr>
          <w:bCs/>
          <w:kern w:val="2"/>
          <w:szCs w:val="18"/>
        </w:rPr>
      </w:pPr>
      <w:r>
        <w:rPr>
          <w:bCs/>
          <w:kern w:val="2"/>
          <w:szCs w:val="18"/>
        </w:rPr>
        <w:t>R4-24</w:t>
      </w:r>
      <w:r w:rsidR="00C317D5">
        <w:rPr>
          <w:bCs/>
          <w:kern w:val="2"/>
          <w:szCs w:val="18"/>
        </w:rPr>
        <w:t>18755</w:t>
      </w:r>
      <w:r>
        <w:rPr>
          <w:bCs/>
          <w:kern w:val="2"/>
          <w:szCs w:val="18"/>
        </w:rPr>
        <w:t xml:space="preserve"> </w:t>
      </w:r>
      <w:r w:rsidRPr="00B15112">
        <w:rPr>
          <w:bCs/>
          <w:kern w:val="2"/>
          <w:szCs w:val="18"/>
        </w:rPr>
        <w:t>Discussion on impacts on RAN4 requirements for AI mobility</w:t>
      </w:r>
      <w:r>
        <w:rPr>
          <w:bCs/>
          <w:kern w:val="2"/>
          <w:szCs w:val="18"/>
        </w:rPr>
        <w:t>, vivo</w:t>
      </w:r>
    </w:p>
    <w:sectPr w:rsidR="00B15112" w:rsidRPr="00FB2D0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43B86" w14:textId="77777777" w:rsidR="007E6765" w:rsidRDefault="007E6765">
      <w:pPr>
        <w:spacing w:after="0"/>
      </w:pPr>
      <w:r>
        <w:separator/>
      </w:r>
    </w:p>
  </w:endnote>
  <w:endnote w:type="continuationSeparator" w:id="0">
    <w:p w14:paraId="04D60C8F" w14:textId="77777777" w:rsidR="007E6765" w:rsidRDefault="007E6765">
      <w:pPr>
        <w:spacing w:after="0"/>
      </w:pPr>
      <w:r>
        <w:continuationSeparator/>
      </w:r>
    </w:p>
  </w:endnote>
  <w:endnote w:type="continuationNotice" w:id="1">
    <w:p w14:paraId="4B9FCF70" w14:textId="77777777" w:rsidR="007E6765" w:rsidRDefault="007E6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5FA86" w14:textId="77777777" w:rsidR="007E6765" w:rsidRDefault="007E6765">
      <w:pPr>
        <w:spacing w:after="0"/>
      </w:pPr>
      <w:r>
        <w:separator/>
      </w:r>
    </w:p>
  </w:footnote>
  <w:footnote w:type="continuationSeparator" w:id="0">
    <w:p w14:paraId="7E86821C" w14:textId="77777777" w:rsidR="007E6765" w:rsidRDefault="007E6765">
      <w:pPr>
        <w:spacing w:after="0"/>
      </w:pPr>
      <w:r>
        <w:continuationSeparator/>
      </w:r>
    </w:p>
  </w:footnote>
  <w:footnote w:type="continuationNotice" w:id="1">
    <w:p w14:paraId="225C450A" w14:textId="77777777" w:rsidR="007E6765" w:rsidRDefault="007E67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27523D"/>
    <w:multiLevelType w:val="hybridMultilevel"/>
    <w:tmpl w:val="8BEA02B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0"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3"/>
  </w:num>
  <w:num w:numId="22">
    <w:abstractNumId w:val="37"/>
  </w:num>
  <w:num w:numId="23">
    <w:abstractNumId w:val="42"/>
  </w:num>
  <w:num w:numId="24">
    <w:abstractNumId w:val="49"/>
  </w:num>
  <w:num w:numId="25">
    <w:abstractNumId w:val="26"/>
  </w:num>
  <w:num w:numId="26">
    <w:abstractNumId w:val="36"/>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46"/>
  </w:num>
  <w:num w:numId="30">
    <w:abstractNumId w:val="32"/>
  </w:num>
  <w:num w:numId="31">
    <w:abstractNumId w:val="41"/>
  </w:num>
  <w:num w:numId="32">
    <w:abstractNumId w:val="23"/>
  </w:num>
  <w:num w:numId="33">
    <w:abstractNumId w:val="22"/>
  </w:num>
  <w:num w:numId="34">
    <w:abstractNumId w:val="31"/>
  </w:num>
  <w:num w:numId="35">
    <w:abstractNumId w:val="45"/>
  </w:num>
  <w:num w:numId="36">
    <w:abstractNumId w:val="35"/>
  </w:num>
  <w:num w:numId="37">
    <w:abstractNumId w:val="27"/>
  </w:num>
  <w:num w:numId="38">
    <w:abstractNumId w:val="50"/>
  </w:num>
  <w:num w:numId="39">
    <w:abstractNumId w:val="38"/>
  </w:num>
  <w:num w:numId="40">
    <w:abstractNumId w:val="47"/>
  </w:num>
  <w:num w:numId="41">
    <w:abstractNumId w:val="24"/>
  </w:num>
  <w:num w:numId="42">
    <w:abstractNumId w:val="0"/>
  </w:num>
  <w:num w:numId="43">
    <w:abstractNumId w:val="30"/>
  </w:num>
  <w:num w:numId="44">
    <w:abstractNumId w:val="39"/>
  </w:num>
  <w:num w:numId="45">
    <w:abstractNumId w:val="44"/>
  </w:num>
  <w:num w:numId="46">
    <w:abstractNumId w:val="25"/>
  </w:num>
  <w:num w:numId="47">
    <w:abstractNumId w:val="48"/>
  </w:num>
  <w:num w:numId="48">
    <w:abstractNumId w:val="29"/>
  </w:num>
  <w:num w:numId="49">
    <w:abstractNumId w:val="33"/>
  </w:num>
  <w:num w:numId="50">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mwrAUAZO8L5SwAAAA="/>
  </w:docVars>
  <w:rsids>
    <w:rsidRoot w:val="00076868"/>
    <w:rsid w:val="00001244"/>
    <w:rsid w:val="00002AAF"/>
    <w:rsid w:val="00004129"/>
    <w:rsid w:val="0000484F"/>
    <w:rsid w:val="00004D02"/>
    <w:rsid w:val="00004E5F"/>
    <w:rsid w:val="00004F3F"/>
    <w:rsid w:val="00006056"/>
    <w:rsid w:val="0000692A"/>
    <w:rsid w:val="000075C3"/>
    <w:rsid w:val="000075F0"/>
    <w:rsid w:val="00007F5B"/>
    <w:rsid w:val="000102D7"/>
    <w:rsid w:val="0001051E"/>
    <w:rsid w:val="000110E9"/>
    <w:rsid w:val="00011C99"/>
    <w:rsid w:val="00012639"/>
    <w:rsid w:val="0001319B"/>
    <w:rsid w:val="0001356D"/>
    <w:rsid w:val="00013E73"/>
    <w:rsid w:val="00013FAE"/>
    <w:rsid w:val="00014662"/>
    <w:rsid w:val="000146BD"/>
    <w:rsid w:val="00014CC0"/>
    <w:rsid w:val="000156AB"/>
    <w:rsid w:val="00015BD3"/>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005"/>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DDB"/>
    <w:rsid w:val="00062EAC"/>
    <w:rsid w:val="000634EB"/>
    <w:rsid w:val="0006364D"/>
    <w:rsid w:val="00063F7C"/>
    <w:rsid w:val="0006461E"/>
    <w:rsid w:val="00064BAA"/>
    <w:rsid w:val="00064EA4"/>
    <w:rsid w:val="000650D0"/>
    <w:rsid w:val="000664C2"/>
    <w:rsid w:val="00066F42"/>
    <w:rsid w:val="0007009F"/>
    <w:rsid w:val="00071E1B"/>
    <w:rsid w:val="00072E7E"/>
    <w:rsid w:val="0007356C"/>
    <w:rsid w:val="00073FB6"/>
    <w:rsid w:val="0007450C"/>
    <w:rsid w:val="00074AC8"/>
    <w:rsid w:val="00075221"/>
    <w:rsid w:val="00075EF6"/>
    <w:rsid w:val="000767D5"/>
    <w:rsid w:val="00076868"/>
    <w:rsid w:val="00076D61"/>
    <w:rsid w:val="00076E28"/>
    <w:rsid w:val="00077166"/>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4F9B"/>
    <w:rsid w:val="000959E0"/>
    <w:rsid w:val="00095FA1"/>
    <w:rsid w:val="00096A6F"/>
    <w:rsid w:val="00096E86"/>
    <w:rsid w:val="000A004F"/>
    <w:rsid w:val="000A127B"/>
    <w:rsid w:val="000A1B10"/>
    <w:rsid w:val="000A2C1E"/>
    <w:rsid w:val="000A314F"/>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177E"/>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5926"/>
    <w:rsid w:val="000F6118"/>
    <w:rsid w:val="000F743C"/>
    <w:rsid w:val="000F766B"/>
    <w:rsid w:val="000F7CAE"/>
    <w:rsid w:val="00100FB2"/>
    <w:rsid w:val="00101741"/>
    <w:rsid w:val="00101F14"/>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993"/>
    <w:rsid w:val="00117E60"/>
    <w:rsid w:val="00117FCE"/>
    <w:rsid w:val="00121302"/>
    <w:rsid w:val="00121CB3"/>
    <w:rsid w:val="00121D43"/>
    <w:rsid w:val="00123848"/>
    <w:rsid w:val="0012558F"/>
    <w:rsid w:val="00125FF4"/>
    <w:rsid w:val="00126689"/>
    <w:rsid w:val="00130794"/>
    <w:rsid w:val="00130916"/>
    <w:rsid w:val="00131997"/>
    <w:rsid w:val="00131A29"/>
    <w:rsid w:val="001323FF"/>
    <w:rsid w:val="00132EA0"/>
    <w:rsid w:val="00132EDF"/>
    <w:rsid w:val="001338A4"/>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23A"/>
    <w:rsid w:val="00171F57"/>
    <w:rsid w:val="00172D7C"/>
    <w:rsid w:val="001739B0"/>
    <w:rsid w:val="00174F7C"/>
    <w:rsid w:val="0017517C"/>
    <w:rsid w:val="0017530F"/>
    <w:rsid w:val="00175371"/>
    <w:rsid w:val="00175EDF"/>
    <w:rsid w:val="00176193"/>
    <w:rsid w:val="0017685F"/>
    <w:rsid w:val="00176AC9"/>
    <w:rsid w:val="00182387"/>
    <w:rsid w:val="00183055"/>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4E6"/>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79A"/>
    <w:rsid w:val="001C5D0D"/>
    <w:rsid w:val="001C5E09"/>
    <w:rsid w:val="001C6151"/>
    <w:rsid w:val="001C627B"/>
    <w:rsid w:val="001C62F6"/>
    <w:rsid w:val="001C7FF3"/>
    <w:rsid w:val="001D046F"/>
    <w:rsid w:val="001D1AAE"/>
    <w:rsid w:val="001D2134"/>
    <w:rsid w:val="001D22D9"/>
    <w:rsid w:val="001D2895"/>
    <w:rsid w:val="001D289C"/>
    <w:rsid w:val="001D3045"/>
    <w:rsid w:val="001D4313"/>
    <w:rsid w:val="001D542D"/>
    <w:rsid w:val="001D5919"/>
    <w:rsid w:val="001D64DD"/>
    <w:rsid w:val="001E01BD"/>
    <w:rsid w:val="001E0561"/>
    <w:rsid w:val="001E07DA"/>
    <w:rsid w:val="001E07EF"/>
    <w:rsid w:val="001E1064"/>
    <w:rsid w:val="001E1489"/>
    <w:rsid w:val="001E2930"/>
    <w:rsid w:val="001E314E"/>
    <w:rsid w:val="001E33D1"/>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B26"/>
    <w:rsid w:val="00203CDB"/>
    <w:rsid w:val="00203D2C"/>
    <w:rsid w:val="00203EDD"/>
    <w:rsid w:val="00204F41"/>
    <w:rsid w:val="0020558E"/>
    <w:rsid w:val="002069DB"/>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6A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480D"/>
    <w:rsid w:val="002850F0"/>
    <w:rsid w:val="00286C08"/>
    <w:rsid w:val="00287427"/>
    <w:rsid w:val="00287BAA"/>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0D65"/>
    <w:rsid w:val="002A1D3F"/>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8FA"/>
    <w:rsid w:val="002C69A7"/>
    <w:rsid w:val="002C73AE"/>
    <w:rsid w:val="002C790B"/>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D7A2A"/>
    <w:rsid w:val="002E0746"/>
    <w:rsid w:val="002E0C11"/>
    <w:rsid w:val="002E0DA5"/>
    <w:rsid w:val="002E1759"/>
    <w:rsid w:val="002E1A75"/>
    <w:rsid w:val="002E1E25"/>
    <w:rsid w:val="002E2B28"/>
    <w:rsid w:val="002E2BFB"/>
    <w:rsid w:val="002E3FA1"/>
    <w:rsid w:val="002E4F86"/>
    <w:rsid w:val="002E501D"/>
    <w:rsid w:val="002E5EE6"/>
    <w:rsid w:val="002E6857"/>
    <w:rsid w:val="002E7CB8"/>
    <w:rsid w:val="002F0309"/>
    <w:rsid w:val="002F0C88"/>
    <w:rsid w:val="002F146A"/>
    <w:rsid w:val="002F29DB"/>
    <w:rsid w:val="002F30B7"/>
    <w:rsid w:val="002F33BC"/>
    <w:rsid w:val="002F3CCF"/>
    <w:rsid w:val="002F48AB"/>
    <w:rsid w:val="002F4CA6"/>
    <w:rsid w:val="002F4E08"/>
    <w:rsid w:val="002F52CB"/>
    <w:rsid w:val="002F558E"/>
    <w:rsid w:val="002F5868"/>
    <w:rsid w:val="002F6BC3"/>
    <w:rsid w:val="002F6BD0"/>
    <w:rsid w:val="002F6BD8"/>
    <w:rsid w:val="002F7D1D"/>
    <w:rsid w:val="002F7EE2"/>
    <w:rsid w:val="0030011A"/>
    <w:rsid w:val="00300320"/>
    <w:rsid w:val="003007C1"/>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A09"/>
    <w:rsid w:val="00316371"/>
    <w:rsid w:val="00316AFD"/>
    <w:rsid w:val="00317060"/>
    <w:rsid w:val="003172DE"/>
    <w:rsid w:val="0032036A"/>
    <w:rsid w:val="003203FF"/>
    <w:rsid w:val="00320812"/>
    <w:rsid w:val="003224E8"/>
    <w:rsid w:val="00322659"/>
    <w:rsid w:val="003233A6"/>
    <w:rsid w:val="00323C14"/>
    <w:rsid w:val="00323C2F"/>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1C6C"/>
    <w:rsid w:val="003622A5"/>
    <w:rsid w:val="00364D1A"/>
    <w:rsid w:val="00364DC0"/>
    <w:rsid w:val="00364DEF"/>
    <w:rsid w:val="00365752"/>
    <w:rsid w:val="00366005"/>
    <w:rsid w:val="003664A8"/>
    <w:rsid w:val="0036754B"/>
    <w:rsid w:val="00367648"/>
    <w:rsid w:val="00367B2C"/>
    <w:rsid w:val="00367B95"/>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40C"/>
    <w:rsid w:val="0038060A"/>
    <w:rsid w:val="00380913"/>
    <w:rsid w:val="0038093D"/>
    <w:rsid w:val="003809BA"/>
    <w:rsid w:val="00380FAC"/>
    <w:rsid w:val="003810E5"/>
    <w:rsid w:val="003815D5"/>
    <w:rsid w:val="00381B14"/>
    <w:rsid w:val="00382748"/>
    <w:rsid w:val="00382C14"/>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8A1"/>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727"/>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5CEE"/>
    <w:rsid w:val="003B6BE4"/>
    <w:rsid w:val="003B6DAB"/>
    <w:rsid w:val="003B7A71"/>
    <w:rsid w:val="003B7CD9"/>
    <w:rsid w:val="003C09AA"/>
    <w:rsid w:val="003C0B38"/>
    <w:rsid w:val="003C0C6D"/>
    <w:rsid w:val="003C1824"/>
    <w:rsid w:val="003C1C93"/>
    <w:rsid w:val="003C2FD0"/>
    <w:rsid w:val="003C3CE5"/>
    <w:rsid w:val="003C5F18"/>
    <w:rsid w:val="003C690E"/>
    <w:rsid w:val="003C6E02"/>
    <w:rsid w:val="003C6FA4"/>
    <w:rsid w:val="003C7F14"/>
    <w:rsid w:val="003D061A"/>
    <w:rsid w:val="003D086D"/>
    <w:rsid w:val="003D1ACA"/>
    <w:rsid w:val="003D1D04"/>
    <w:rsid w:val="003D1F42"/>
    <w:rsid w:val="003D2B3D"/>
    <w:rsid w:val="003D351C"/>
    <w:rsid w:val="003D4460"/>
    <w:rsid w:val="003D45FA"/>
    <w:rsid w:val="003D47FB"/>
    <w:rsid w:val="003D4F44"/>
    <w:rsid w:val="003D5190"/>
    <w:rsid w:val="003D537F"/>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646"/>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3D07"/>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4BB7"/>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CD0"/>
    <w:rsid w:val="00481F04"/>
    <w:rsid w:val="0048223C"/>
    <w:rsid w:val="004829FC"/>
    <w:rsid w:val="00482B39"/>
    <w:rsid w:val="00482D55"/>
    <w:rsid w:val="00482DD6"/>
    <w:rsid w:val="004837EA"/>
    <w:rsid w:val="00484019"/>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4DD"/>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C86"/>
    <w:rsid w:val="004C1EC6"/>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70"/>
    <w:rsid w:val="004F3091"/>
    <w:rsid w:val="004F37A9"/>
    <w:rsid w:val="004F475A"/>
    <w:rsid w:val="004F4A52"/>
    <w:rsid w:val="004F528B"/>
    <w:rsid w:val="004F5983"/>
    <w:rsid w:val="004F758E"/>
    <w:rsid w:val="0050024A"/>
    <w:rsid w:val="00500BB4"/>
    <w:rsid w:val="0050157C"/>
    <w:rsid w:val="00502AC7"/>
    <w:rsid w:val="0050412A"/>
    <w:rsid w:val="00504226"/>
    <w:rsid w:val="00504B7E"/>
    <w:rsid w:val="005059E8"/>
    <w:rsid w:val="00505B65"/>
    <w:rsid w:val="00507227"/>
    <w:rsid w:val="00507DDA"/>
    <w:rsid w:val="005116BF"/>
    <w:rsid w:val="00511790"/>
    <w:rsid w:val="00511F70"/>
    <w:rsid w:val="005121FC"/>
    <w:rsid w:val="00512480"/>
    <w:rsid w:val="00512A0F"/>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488C"/>
    <w:rsid w:val="005256CC"/>
    <w:rsid w:val="00525A24"/>
    <w:rsid w:val="00525BFB"/>
    <w:rsid w:val="00526EBE"/>
    <w:rsid w:val="00527F5E"/>
    <w:rsid w:val="00530F57"/>
    <w:rsid w:val="00531C8F"/>
    <w:rsid w:val="00532002"/>
    <w:rsid w:val="005324D7"/>
    <w:rsid w:val="00532A2C"/>
    <w:rsid w:val="00533097"/>
    <w:rsid w:val="005338F6"/>
    <w:rsid w:val="005346F8"/>
    <w:rsid w:val="00534C7D"/>
    <w:rsid w:val="00534D72"/>
    <w:rsid w:val="00534EF7"/>
    <w:rsid w:val="005378BB"/>
    <w:rsid w:val="005378F3"/>
    <w:rsid w:val="005411B1"/>
    <w:rsid w:val="005424F3"/>
    <w:rsid w:val="00542B36"/>
    <w:rsid w:val="005444BA"/>
    <w:rsid w:val="005450AD"/>
    <w:rsid w:val="00546D44"/>
    <w:rsid w:val="00546D57"/>
    <w:rsid w:val="00547232"/>
    <w:rsid w:val="00547F57"/>
    <w:rsid w:val="005508EB"/>
    <w:rsid w:val="00551D8D"/>
    <w:rsid w:val="00551E3C"/>
    <w:rsid w:val="0055206F"/>
    <w:rsid w:val="005526E1"/>
    <w:rsid w:val="00552A87"/>
    <w:rsid w:val="0055319A"/>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336"/>
    <w:rsid w:val="00580B52"/>
    <w:rsid w:val="00581E54"/>
    <w:rsid w:val="00581EEC"/>
    <w:rsid w:val="005822F5"/>
    <w:rsid w:val="005823AF"/>
    <w:rsid w:val="005826DB"/>
    <w:rsid w:val="00582C4C"/>
    <w:rsid w:val="00583451"/>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141"/>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6B8F"/>
    <w:rsid w:val="005B7972"/>
    <w:rsid w:val="005B7E10"/>
    <w:rsid w:val="005C00E3"/>
    <w:rsid w:val="005C01C7"/>
    <w:rsid w:val="005C0526"/>
    <w:rsid w:val="005C13BD"/>
    <w:rsid w:val="005C14D9"/>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D7566"/>
    <w:rsid w:val="005D7AD3"/>
    <w:rsid w:val="005E02C1"/>
    <w:rsid w:val="005E054E"/>
    <w:rsid w:val="005E0A63"/>
    <w:rsid w:val="005E14D0"/>
    <w:rsid w:val="005E1B80"/>
    <w:rsid w:val="005E200C"/>
    <w:rsid w:val="005E22C3"/>
    <w:rsid w:val="005E2C1B"/>
    <w:rsid w:val="005E34DF"/>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5ED1"/>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8C1"/>
    <w:rsid w:val="00607CCD"/>
    <w:rsid w:val="00607EFC"/>
    <w:rsid w:val="00611D38"/>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578"/>
    <w:rsid w:val="0062276A"/>
    <w:rsid w:val="00622823"/>
    <w:rsid w:val="00623475"/>
    <w:rsid w:val="00623734"/>
    <w:rsid w:val="00624203"/>
    <w:rsid w:val="006242D4"/>
    <w:rsid w:val="0062473A"/>
    <w:rsid w:val="00625308"/>
    <w:rsid w:val="006255BC"/>
    <w:rsid w:val="00625B03"/>
    <w:rsid w:val="00625C27"/>
    <w:rsid w:val="00626063"/>
    <w:rsid w:val="00626207"/>
    <w:rsid w:val="006269FA"/>
    <w:rsid w:val="00626F0F"/>
    <w:rsid w:val="006270A1"/>
    <w:rsid w:val="00630ABC"/>
    <w:rsid w:val="00631361"/>
    <w:rsid w:val="0063178D"/>
    <w:rsid w:val="00632060"/>
    <w:rsid w:val="00632231"/>
    <w:rsid w:val="0063240C"/>
    <w:rsid w:val="006327D4"/>
    <w:rsid w:val="006339A1"/>
    <w:rsid w:val="0063470E"/>
    <w:rsid w:val="00634751"/>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EFD"/>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1322"/>
    <w:rsid w:val="006A1D60"/>
    <w:rsid w:val="006A2621"/>
    <w:rsid w:val="006A2712"/>
    <w:rsid w:val="006A40C3"/>
    <w:rsid w:val="006A4739"/>
    <w:rsid w:val="006A4A87"/>
    <w:rsid w:val="006A4ABC"/>
    <w:rsid w:val="006A4C74"/>
    <w:rsid w:val="006A51E8"/>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2C0C"/>
    <w:rsid w:val="006C2DF5"/>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6B7"/>
    <w:rsid w:val="006E0A0E"/>
    <w:rsid w:val="006E17FE"/>
    <w:rsid w:val="006E1E60"/>
    <w:rsid w:val="006E29EB"/>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3BF7"/>
    <w:rsid w:val="00715AD8"/>
    <w:rsid w:val="007160E2"/>
    <w:rsid w:val="007167F9"/>
    <w:rsid w:val="0071743F"/>
    <w:rsid w:val="00717CA4"/>
    <w:rsid w:val="00721CDB"/>
    <w:rsid w:val="00721E45"/>
    <w:rsid w:val="00722192"/>
    <w:rsid w:val="00722B9C"/>
    <w:rsid w:val="00722C7F"/>
    <w:rsid w:val="007236AC"/>
    <w:rsid w:val="0072398D"/>
    <w:rsid w:val="00723A72"/>
    <w:rsid w:val="00724E3E"/>
    <w:rsid w:val="007252C7"/>
    <w:rsid w:val="007259A3"/>
    <w:rsid w:val="00725E44"/>
    <w:rsid w:val="00726B2A"/>
    <w:rsid w:val="00726E23"/>
    <w:rsid w:val="0072700A"/>
    <w:rsid w:val="0072786E"/>
    <w:rsid w:val="00727F88"/>
    <w:rsid w:val="007311DC"/>
    <w:rsid w:val="00731277"/>
    <w:rsid w:val="00731E68"/>
    <w:rsid w:val="00732A0E"/>
    <w:rsid w:val="00732D6C"/>
    <w:rsid w:val="00732FC6"/>
    <w:rsid w:val="00733DF9"/>
    <w:rsid w:val="00734720"/>
    <w:rsid w:val="007353FF"/>
    <w:rsid w:val="007371C3"/>
    <w:rsid w:val="00737770"/>
    <w:rsid w:val="00737B9B"/>
    <w:rsid w:val="00740C2D"/>
    <w:rsid w:val="00740F86"/>
    <w:rsid w:val="00741102"/>
    <w:rsid w:val="00742B75"/>
    <w:rsid w:val="00742FB1"/>
    <w:rsid w:val="007430EC"/>
    <w:rsid w:val="0074530B"/>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5B64"/>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61FD"/>
    <w:rsid w:val="00776E7C"/>
    <w:rsid w:val="0077711C"/>
    <w:rsid w:val="00777ED5"/>
    <w:rsid w:val="00777F6F"/>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4FFE"/>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2F57"/>
    <w:rsid w:val="007C33F2"/>
    <w:rsid w:val="007C4C8F"/>
    <w:rsid w:val="007C526A"/>
    <w:rsid w:val="007C618A"/>
    <w:rsid w:val="007C7028"/>
    <w:rsid w:val="007C707C"/>
    <w:rsid w:val="007C71D0"/>
    <w:rsid w:val="007C7639"/>
    <w:rsid w:val="007C7C3A"/>
    <w:rsid w:val="007D015E"/>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765"/>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C16"/>
    <w:rsid w:val="007F4D2B"/>
    <w:rsid w:val="007F6796"/>
    <w:rsid w:val="007F721E"/>
    <w:rsid w:val="007F7AC3"/>
    <w:rsid w:val="007F7B62"/>
    <w:rsid w:val="007F7E1D"/>
    <w:rsid w:val="00800199"/>
    <w:rsid w:val="00800434"/>
    <w:rsid w:val="00801962"/>
    <w:rsid w:val="0080199E"/>
    <w:rsid w:val="00801AD4"/>
    <w:rsid w:val="00801ED1"/>
    <w:rsid w:val="008025DB"/>
    <w:rsid w:val="008033E6"/>
    <w:rsid w:val="008038DB"/>
    <w:rsid w:val="00804478"/>
    <w:rsid w:val="00804A18"/>
    <w:rsid w:val="00805528"/>
    <w:rsid w:val="00805782"/>
    <w:rsid w:val="008062DF"/>
    <w:rsid w:val="00806354"/>
    <w:rsid w:val="00806D21"/>
    <w:rsid w:val="00807F9C"/>
    <w:rsid w:val="00807FF8"/>
    <w:rsid w:val="00810A24"/>
    <w:rsid w:val="008112E5"/>
    <w:rsid w:val="00811ABF"/>
    <w:rsid w:val="00811C1A"/>
    <w:rsid w:val="00811CAC"/>
    <w:rsid w:val="00812BDE"/>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307"/>
    <w:rsid w:val="00836E48"/>
    <w:rsid w:val="008404D4"/>
    <w:rsid w:val="0084051B"/>
    <w:rsid w:val="00840CDA"/>
    <w:rsid w:val="00843B34"/>
    <w:rsid w:val="00843EE6"/>
    <w:rsid w:val="00844D92"/>
    <w:rsid w:val="00845450"/>
    <w:rsid w:val="008468F1"/>
    <w:rsid w:val="00846941"/>
    <w:rsid w:val="00846A48"/>
    <w:rsid w:val="00847C9C"/>
    <w:rsid w:val="0085081A"/>
    <w:rsid w:val="008509AF"/>
    <w:rsid w:val="0085116F"/>
    <w:rsid w:val="0085117F"/>
    <w:rsid w:val="0085140F"/>
    <w:rsid w:val="00851557"/>
    <w:rsid w:val="008516B7"/>
    <w:rsid w:val="00851BAD"/>
    <w:rsid w:val="00851C7A"/>
    <w:rsid w:val="00852010"/>
    <w:rsid w:val="00852C4F"/>
    <w:rsid w:val="0085318C"/>
    <w:rsid w:val="00853A0B"/>
    <w:rsid w:val="00853F56"/>
    <w:rsid w:val="00854AFB"/>
    <w:rsid w:val="00854FCE"/>
    <w:rsid w:val="008557D6"/>
    <w:rsid w:val="00855E34"/>
    <w:rsid w:val="00855FE9"/>
    <w:rsid w:val="0085605F"/>
    <w:rsid w:val="0085683F"/>
    <w:rsid w:val="00857D57"/>
    <w:rsid w:val="00860431"/>
    <w:rsid w:val="00860880"/>
    <w:rsid w:val="00861942"/>
    <w:rsid w:val="00862073"/>
    <w:rsid w:val="00862F9A"/>
    <w:rsid w:val="008638BF"/>
    <w:rsid w:val="008639B1"/>
    <w:rsid w:val="00863BBD"/>
    <w:rsid w:val="008641EF"/>
    <w:rsid w:val="00864FA9"/>
    <w:rsid w:val="008661B0"/>
    <w:rsid w:val="00866C32"/>
    <w:rsid w:val="00867AB0"/>
    <w:rsid w:val="00870DAB"/>
    <w:rsid w:val="008713BE"/>
    <w:rsid w:val="0087158B"/>
    <w:rsid w:val="008718CB"/>
    <w:rsid w:val="00871D42"/>
    <w:rsid w:val="00873FC3"/>
    <w:rsid w:val="00873FFC"/>
    <w:rsid w:val="00874159"/>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0ED9"/>
    <w:rsid w:val="008911BE"/>
    <w:rsid w:val="00891B45"/>
    <w:rsid w:val="00891C22"/>
    <w:rsid w:val="00892CC5"/>
    <w:rsid w:val="00892EF9"/>
    <w:rsid w:val="00893438"/>
    <w:rsid w:val="008944CF"/>
    <w:rsid w:val="008947A4"/>
    <w:rsid w:val="00895036"/>
    <w:rsid w:val="00895B30"/>
    <w:rsid w:val="00897E34"/>
    <w:rsid w:val="008A07F7"/>
    <w:rsid w:val="008A1BAA"/>
    <w:rsid w:val="008A22BC"/>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549A"/>
    <w:rsid w:val="008B69F9"/>
    <w:rsid w:val="008B6B78"/>
    <w:rsid w:val="008B6F49"/>
    <w:rsid w:val="008B72A3"/>
    <w:rsid w:val="008B7F66"/>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805"/>
    <w:rsid w:val="008D297D"/>
    <w:rsid w:val="008D332C"/>
    <w:rsid w:val="008D3F54"/>
    <w:rsid w:val="008D4CE2"/>
    <w:rsid w:val="008D513F"/>
    <w:rsid w:val="008D609F"/>
    <w:rsid w:val="008D6139"/>
    <w:rsid w:val="008D6AFE"/>
    <w:rsid w:val="008D7C9D"/>
    <w:rsid w:val="008E03CC"/>
    <w:rsid w:val="008E0992"/>
    <w:rsid w:val="008E14E4"/>
    <w:rsid w:val="008E1AC6"/>
    <w:rsid w:val="008E2D87"/>
    <w:rsid w:val="008E3E9D"/>
    <w:rsid w:val="008E3FB2"/>
    <w:rsid w:val="008E4B88"/>
    <w:rsid w:val="008E51F7"/>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81F"/>
    <w:rsid w:val="00906FC2"/>
    <w:rsid w:val="0090712E"/>
    <w:rsid w:val="00907342"/>
    <w:rsid w:val="00907350"/>
    <w:rsid w:val="009073AF"/>
    <w:rsid w:val="009074ED"/>
    <w:rsid w:val="00907E95"/>
    <w:rsid w:val="00910292"/>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21E"/>
    <w:rsid w:val="00935CB0"/>
    <w:rsid w:val="00935D39"/>
    <w:rsid w:val="0093687D"/>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6B96"/>
    <w:rsid w:val="0096006E"/>
    <w:rsid w:val="009617DF"/>
    <w:rsid w:val="0096194A"/>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2683"/>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034"/>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8A5"/>
    <w:rsid w:val="009F0B2F"/>
    <w:rsid w:val="009F121A"/>
    <w:rsid w:val="009F165F"/>
    <w:rsid w:val="009F1680"/>
    <w:rsid w:val="009F1A16"/>
    <w:rsid w:val="009F1F31"/>
    <w:rsid w:val="009F35D9"/>
    <w:rsid w:val="009F4043"/>
    <w:rsid w:val="009F444D"/>
    <w:rsid w:val="009F4637"/>
    <w:rsid w:val="009F6242"/>
    <w:rsid w:val="009F64B4"/>
    <w:rsid w:val="009F66D9"/>
    <w:rsid w:val="009F670F"/>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2D7"/>
    <w:rsid w:val="00A0543C"/>
    <w:rsid w:val="00A0557B"/>
    <w:rsid w:val="00A063DC"/>
    <w:rsid w:val="00A07373"/>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18C0"/>
    <w:rsid w:val="00A228F2"/>
    <w:rsid w:val="00A22DFA"/>
    <w:rsid w:val="00A237CA"/>
    <w:rsid w:val="00A23BD6"/>
    <w:rsid w:val="00A25A4A"/>
    <w:rsid w:val="00A26812"/>
    <w:rsid w:val="00A2691C"/>
    <w:rsid w:val="00A27341"/>
    <w:rsid w:val="00A274B7"/>
    <w:rsid w:val="00A2767C"/>
    <w:rsid w:val="00A2782C"/>
    <w:rsid w:val="00A27D9A"/>
    <w:rsid w:val="00A27E58"/>
    <w:rsid w:val="00A30DF4"/>
    <w:rsid w:val="00A31C35"/>
    <w:rsid w:val="00A31CA0"/>
    <w:rsid w:val="00A31F09"/>
    <w:rsid w:val="00A346F9"/>
    <w:rsid w:val="00A3585B"/>
    <w:rsid w:val="00A370B6"/>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4F"/>
    <w:rsid w:val="00A51080"/>
    <w:rsid w:val="00A52117"/>
    <w:rsid w:val="00A5217C"/>
    <w:rsid w:val="00A5238E"/>
    <w:rsid w:val="00A5290B"/>
    <w:rsid w:val="00A53B03"/>
    <w:rsid w:val="00A53DAA"/>
    <w:rsid w:val="00A53EEC"/>
    <w:rsid w:val="00A54558"/>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4B3E"/>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55F6"/>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9F9"/>
    <w:rsid w:val="00A95AC5"/>
    <w:rsid w:val="00A9653D"/>
    <w:rsid w:val="00A9768B"/>
    <w:rsid w:val="00A9794E"/>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1E69"/>
    <w:rsid w:val="00AC25B2"/>
    <w:rsid w:val="00AC2FCA"/>
    <w:rsid w:val="00AC452E"/>
    <w:rsid w:val="00AC4F93"/>
    <w:rsid w:val="00AC52E0"/>
    <w:rsid w:val="00AC5358"/>
    <w:rsid w:val="00AC5841"/>
    <w:rsid w:val="00AC5DC1"/>
    <w:rsid w:val="00AC65D7"/>
    <w:rsid w:val="00AC7A41"/>
    <w:rsid w:val="00AC7D2F"/>
    <w:rsid w:val="00AD028D"/>
    <w:rsid w:val="00AD045A"/>
    <w:rsid w:val="00AD0C35"/>
    <w:rsid w:val="00AD0D15"/>
    <w:rsid w:val="00AD3529"/>
    <w:rsid w:val="00AD40FF"/>
    <w:rsid w:val="00AD4BE1"/>
    <w:rsid w:val="00AD51AD"/>
    <w:rsid w:val="00AD5721"/>
    <w:rsid w:val="00AD687C"/>
    <w:rsid w:val="00AD6B9D"/>
    <w:rsid w:val="00AD7E3F"/>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3C3A"/>
    <w:rsid w:val="00AF4059"/>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112"/>
    <w:rsid w:val="00B156AF"/>
    <w:rsid w:val="00B16610"/>
    <w:rsid w:val="00B16BBB"/>
    <w:rsid w:val="00B17854"/>
    <w:rsid w:val="00B17919"/>
    <w:rsid w:val="00B205F4"/>
    <w:rsid w:val="00B220A1"/>
    <w:rsid w:val="00B226DF"/>
    <w:rsid w:val="00B22751"/>
    <w:rsid w:val="00B243FE"/>
    <w:rsid w:val="00B24847"/>
    <w:rsid w:val="00B258F0"/>
    <w:rsid w:val="00B264A4"/>
    <w:rsid w:val="00B26C17"/>
    <w:rsid w:val="00B273AA"/>
    <w:rsid w:val="00B274B6"/>
    <w:rsid w:val="00B2762B"/>
    <w:rsid w:val="00B27EA0"/>
    <w:rsid w:val="00B30250"/>
    <w:rsid w:val="00B31D8A"/>
    <w:rsid w:val="00B32B64"/>
    <w:rsid w:val="00B32E78"/>
    <w:rsid w:val="00B32EE3"/>
    <w:rsid w:val="00B331F7"/>
    <w:rsid w:val="00B332EB"/>
    <w:rsid w:val="00B3384E"/>
    <w:rsid w:val="00B33A84"/>
    <w:rsid w:val="00B34335"/>
    <w:rsid w:val="00B34B76"/>
    <w:rsid w:val="00B3573E"/>
    <w:rsid w:val="00B3591C"/>
    <w:rsid w:val="00B374D2"/>
    <w:rsid w:val="00B4057D"/>
    <w:rsid w:val="00B405E4"/>
    <w:rsid w:val="00B409A3"/>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539"/>
    <w:rsid w:val="00B67B9F"/>
    <w:rsid w:val="00B70031"/>
    <w:rsid w:val="00B70CD3"/>
    <w:rsid w:val="00B717F5"/>
    <w:rsid w:val="00B72266"/>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5A01"/>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48A"/>
    <w:rsid w:val="00BD38F2"/>
    <w:rsid w:val="00BD3F74"/>
    <w:rsid w:val="00BD3FB1"/>
    <w:rsid w:val="00BD5102"/>
    <w:rsid w:val="00BD5C7A"/>
    <w:rsid w:val="00BD60F7"/>
    <w:rsid w:val="00BD65C6"/>
    <w:rsid w:val="00BD688A"/>
    <w:rsid w:val="00BD7534"/>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266C"/>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5847"/>
    <w:rsid w:val="00C16391"/>
    <w:rsid w:val="00C1639B"/>
    <w:rsid w:val="00C16CBF"/>
    <w:rsid w:val="00C20703"/>
    <w:rsid w:val="00C20AC9"/>
    <w:rsid w:val="00C20E7D"/>
    <w:rsid w:val="00C20FA9"/>
    <w:rsid w:val="00C216DE"/>
    <w:rsid w:val="00C23519"/>
    <w:rsid w:val="00C23AE8"/>
    <w:rsid w:val="00C24D48"/>
    <w:rsid w:val="00C25771"/>
    <w:rsid w:val="00C2617F"/>
    <w:rsid w:val="00C268A1"/>
    <w:rsid w:val="00C27360"/>
    <w:rsid w:val="00C30533"/>
    <w:rsid w:val="00C313F3"/>
    <w:rsid w:val="00C317D5"/>
    <w:rsid w:val="00C31E4D"/>
    <w:rsid w:val="00C32110"/>
    <w:rsid w:val="00C34ACA"/>
    <w:rsid w:val="00C35B5D"/>
    <w:rsid w:val="00C36296"/>
    <w:rsid w:val="00C378CA"/>
    <w:rsid w:val="00C40748"/>
    <w:rsid w:val="00C41011"/>
    <w:rsid w:val="00C412C7"/>
    <w:rsid w:val="00C41BF1"/>
    <w:rsid w:val="00C41EC8"/>
    <w:rsid w:val="00C421E9"/>
    <w:rsid w:val="00C4344F"/>
    <w:rsid w:val="00C43FCD"/>
    <w:rsid w:val="00C44070"/>
    <w:rsid w:val="00C4407C"/>
    <w:rsid w:val="00C44BF6"/>
    <w:rsid w:val="00C44E50"/>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AD1"/>
    <w:rsid w:val="00C51DC9"/>
    <w:rsid w:val="00C526CD"/>
    <w:rsid w:val="00C52774"/>
    <w:rsid w:val="00C5283B"/>
    <w:rsid w:val="00C52904"/>
    <w:rsid w:val="00C53169"/>
    <w:rsid w:val="00C53B61"/>
    <w:rsid w:val="00C5405E"/>
    <w:rsid w:val="00C54E7E"/>
    <w:rsid w:val="00C55368"/>
    <w:rsid w:val="00C5586F"/>
    <w:rsid w:val="00C55EF4"/>
    <w:rsid w:val="00C55FA5"/>
    <w:rsid w:val="00C567B7"/>
    <w:rsid w:val="00C56A0E"/>
    <w:rsid w:val="00C56B42"/>
    <w:rsid w:val="00C56F86"/>
    <w:rsid w:val="00C57643"/>
    <w:rsid w:val="00C60035"/>
    <w:rsid w:val="00C60F55"/>
    <w:rsid w:val="00C612EE"/>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39D8"/>
    <w:rsid w:val="00C84CAC"/>
    <w:rsid w:val="00C85176"/>
    <w:rsid w:val="00C859DB"/>
    <w:rsid w:val="00C85D8F"/>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5B1B"/>
    <w:rsid w:val="00C96232"/>
    <w:rsid w:val="00C96CB0"/>
    <w:rsid w:val="00C96EC6"/>
    <w:rsid w:val="00C97F23"/>
    <w:rsid w:val="00C97F38"/>
    <w:rsid w:val="00CA0861"/>
    <w:rsid w:val="00CA09D9"/>
    <w:rsid w:val="00CA13C0"/>
    <w:rsid w:val="00CA157D"/>
    <w:rsid w:val="00CA1AB5"/>
    <w:rsid w:val="00CA34C7"/>
    <w:rsid w:val="00CA4A98"/>
    <w:rsid w:val="00CA4B3E"/>
    <w:rsid w:val="00CA558C"/>
    <w:rsid w:val="00CA5F79"/>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3FAD"/>
    <w:rsid w:val="00CC49E1"/>
    <w:rsid w:val="00CC554C"/>
    <w:rsid w:val="00CC5603"/>
    <w:rsid w:val="00CC5944"/>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9A9"/>
    <w:rsid w:val="00CD5FCB"/>
    <w:rsid w:val="00CD6D17"/>
    <w:rsid w:val="00CD7838"/>
    <w:rsid w:val="00CD79B5"/>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00AD"/>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489B"/>
    <w:rsid w:val="00D053CB"/>
    <w:rsid w:val="00D06B5F"/>
    <w:rsid w:val="00D06ED0"/>
    <w:rsid w:val="00D07A95"/>
    <w:rsid w:val="00D07DEB"/>
    <w:rsid w:val="00D104B5"/>
    <w:rsid w:val="00D10AFD"/>
    <w:rsid w:val="00D11564"/>
    <w:rsid w:val="00D11924"/>
    <w:rsid w:val="00D1517A"/>
    <w:rsid w:val="00D154EF"/>
    <w:rsid w:val="00D15A33"/>
    <w:rsid w:val="00D15E52"/>
    <w:rsid w:val="00D1669C"/>
    <w:rsid w:val="00D16FBF"/>
    <w:rsid w:val="00D170A0"/>
    <w:rsid w:val="00D204CF"/>
    <w:rsid w:val="00D20C6F"/>
    <w:rsid w:val="00D20EAD"/>
    <w:rsid w:val="00D20FA8"/>
    <w:rsid w:val="00D21191"/>
    <w:rsid w:val="00D21911"/>
    <w:rsid w:val="00D21A0C"/>
    <w:rsid w:val="00D22145"/>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37F9B"/>
    <w:rsid w:val="00D40903"/>
    <w:rsid w:val="00D40A8C"/>
    <w:rsid w:val="00D416DA"/>
    <w:rsid w:val="00D420BB"/>
    <w:rsid w:val="00D43327"/>
    <w:rsid w:val="00D43453"/>
    <w:rsid w:val="00D43990"/>
    <w:rsid w:val="00D44492"/>
    <w:rsid w:val="00D4457D"/>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67961"/>
    <w:rsid w:val="00D71118"/>
    <w:rsid w:val="00D71C3E"/>
    <w:rsid w:val="00D71E2C"/>
    <w:rsid w:val="00D71FAE"/>
    <w:rsid w:val="00D72976"/>
    <w:rsid w:val="00D73954"/>
    <w:rsid w:val="00D73E37"/>
    <w:rsid w:val="00D73F1D"/>
    <w:rsid w:val="00D74542"/>
    <w:rsid w:val="00D745D3"/>
    <w:rsid w:val="00D74A81"/>
    <w:rsid w:val="00D74B8B"/>
    <w:rsid w:val="00D762CE"/>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2CB"/>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A1A"/>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3C6"/>
    <w:rsid w:val="00DD6A8A"/>
    <w:rsid w:val="00DD7614"/>
    <w:rsid w:val="00DE0240"/>
    <w:rsid w:val="00DE0D40"/>
    <w:rsid w:val="00DE12C1"/>
    <w:rsid w:val="00DE1AA2"/>
    <w:rsid w:val="00DE23F7"/>
    <w:rsid w:val="00DE2B2C"/>
    <w:rsid w:val="00DE2E90"/>
    <w:rsid w:val="00DE2EF9"/>
    <w:rsid w:val="00DE3A54"/>
    <w:rsid w:val="00DE4136"/>
    <w:rsid w:val="00DE4442"/>
    <w:rsid w:val="00DE4E7B"/>
    <w:rsid w:val="00DE6432"/>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58F7"/>
    <w:rsid w:val="00E261A4"/>
    <w:rsid w:val="00E264C1"/>
    <w:rsid w:val="00E26756"/>
    <w:rsid w:val="00E26AC0"/>
    <w:rsid w:val="00E27011"/>
    <w:rsid w:val="00E27AAE"/>
    <w:rsid w:val="00E30007"/>
    <w:rsid w:val="00E302BA"/>
    <w:rsid w:val="00E30FB8"/>
    <w:rsid w:val="00E31825"/>
    <w:rsid w:val="00E3236E"/>
    <w:rsid w:val="00E34118"/>
    <w:rsid w:val="00E348A3"/>
    <w:rsid w:val="00E34C0A"/>
    <w:rsid w:val="00E364A7"/>
    <w:rsid w:val="00E3717F"/>
    <w:rsid w:val="00E4001B"/>
    <w:rsid w:val="00E402FF"/>
    <w:rsid w:val="00E40339"/>
    <w:rsid w:val="00E40C02"/>
    <w:rsid w:val="00E41F10"/>
    <w:rsid w:val="00E4261A"/>
    <w:rsid w:val="00E436D2"/>
    <w:rsid w:val="00E44335"/>
    <w:rsid w:val="00E44450"/>
    <w:rsid w:val="00E4638C"/>
    <w:rsid w:val="00E4703E"/>
    <w:rsid w:val="00E47DC8"/>
    <w:rsid w:val="00E50401"/>
    <w:rsid w:val="00E5122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596"/>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68AF"/>
    <w:rsid w:val="00E974C4"/>
    <w:rsid w:val="00E9757B"/>
    <w:rsid w:val="00E97ACD"/>
    <w:rsid w:val="00E97D20"/>
    <w:rsid w:val="00EA0134"/>
    <w:rsid w:val="00EA0C70"/>
    <w:rsid w:val="00EA13B2"/>
    <w:rsid w:val="00EA1591"/>
    <w:rsid w:val="00EA166D"/>
    <w:rsid w:val="00EA2B0D"/>
    <w:rsid w:val="00EA3667"/>
    <w:rsid w:val="00EA399B"/>
    <w:rsid w:val="00EA3E4D"/>
    <w:rsid w:val="00EA3FF0"/>
    <w:rsid w:val="00EA4D71"/>
    <w:rsid w:val="00EA4D92"/>
    <w:rsid w:val="00EA5FC9"/>
    <w:rsid w:val="00EA6CF7"/>
    <w:rsid w:val="00EA6E4E"/>
    <w:rsid w:val="00EA724B"/>
    <w:rsid w:val="00EA7A81"/>
    <w:rsid w:val="00EB01CF"/>
    <w:rsid w:val="00EB0EBC"/>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16A"/>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2F12"/>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DDF"/>
    <w:rsid w:val="00F334EB"/>
    <w:rsid w:val="00F33A24"/>
    <w:rsid w:val="00F34530"/>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47F08"/>
    <w:rsid w:val="00F5092D"/>
    <w:rsid w:val="00F50D46"/>
    <w:rsid w:val="00F528CC"/>
    <w:rsid w:val="00F52C2C"/>
    <w:rsid w:val="00F52CA3"/>
    <w:rsid w:val="00F53632"/>
    <w:rsid w:val="00F54A3D"/>
    <w:rsid w:val="00F54B88"/>
    <w:rsid w:val="00F54F64"/>
    <w:rsid w:val="00F60E58"/>
    <w:rsid w:val="00F61A4D"/>
    <w:rsid w:val="00F62829"/>
    <w:rsid w:val="00F6364E"/>
    <w:rsid w:val="00F636F5"/>
    <w:rsid w:val="00F63839"/>
    <w:rsid w:val="00F639AF"/>
    <w:rsid w:val="00F64B8B"/>
    <w:rsid w:val="00F64CFF"/>
    <w:rsid w:val="00F64E6D"/>
    <w:rsid w:val="00F650E5"/>
    <w:rsid w:val="00F655D0"/>
    <w:rsid w:val="00F65CC8"/>
    <w:rsid w:val="00F6619F"/>
    <w:rsid w:val="00F7080E"/>
    <w:rsid w:val="00F70959"/>
    <w:rsid w:val="00F70EDB"/>
    <w:rsid w:val="00F70FA3"/>
    <w:rsid w:val="00F722B2"/>
    <w:rsid w:val="00F72AF0"/>
    <w:rsid w:val="00F72BB3"/>
    <w:rsid w:val="00F731F5"/>
    <w:rsid w:val="00F748EB"/>
    <w:rsid w:val="00F75087"/>
    <w:rsid w:val="00F75259"/>
    <w:rsid w:val="00F754D4"/>
    <w:rsid w:val="00F764C0"/>
    <w:rsid w:val="00F7687C"/>
    <w:rsid w:val="00F76A98"/>
    <w:rsid w:val="00F76C91"/>
    <w:rsid w:val="00F805CB"/>
    <w:rsid w:val="00F806E8"/>
    <w:rsid w:val="00F80812"/>
    <w:rsid w:val="00F83465"/>
    <w:rsid w:val="00F83A08"/>
    <w:rsid w:val="00F83E3C"/>
    <w:rsid w:val="00F8545F"/>
    <w:rsid w:val="00F8563D"/>
    <w:rsid w:val="00F8593A"/>
    <w:rsid w:val="00F86B80"/>
    <w:rsid w:val="00F87DDD"/>
    <w:rsid w:val="00F87FA3"/>
    <w:rsid w:val="00F9043A"/>
    <w:rsid w:val="00F905AC"/>
    <w:rsid w:val="00F90F0C"/>
    <w:rsid w:val="00F911A4"/>
    <w:rsid w:val="00F915AA"/>
    <w:rsid w:val="00F915F4"/>
    <w:rsid w:val="00F923C6"/>
    <w:rsid w:val="00F94599"/>
    <w:rsid w:val="00F94764"/>
    <w:rsid w:val="00F9491E"/>
    <w:rsid w:val="00F960B5"/>
    <w:rsid w:val="00F9670F"/>
    <w:rsid w:val="00F96E16"/>
    <w:rsid w:val="00F96F31"/>
    <w:rsid w:val="00F97978"/>
    <w:rsid w:val="00F97C9A"/>
    <w:rsid w:val="00F97F72"/>
    <w:rsid w:val="00FA0242"/>
    <w:rsid w:val="00FA042E"/>
    <w:rsid w:val="00FA056E"/>
    <w:rsid w:val="00FA0777"/>
    <w:rsid w:val="00FA0EE8"/>
    <w:rsid w:val="00FA11D5"/>
    <w:rsid w:val="00FA17E7"/>
    <w:rsid w:val="00FA1880"/>
    <w:rsid w:val="00FA1C50"/>
    <w:rsid w:val="00FA1FBF"/>
    <w:rsid w:val="00FA28B4"/>
    <w:rsid w:val="00FA28C8"/>
    <w:rsid w:val="00FA2A7E"/>
    <w:rsid w:val="00FA2A97"/>
    <w:rsid w:val="00FA2CFA"/>
    <w:rsid w:val="00FA3175"/>
    <w:rsid w:val="00FA317A"/>
    <w:rsid w:val="00FA35D7"/>
    <w:rsid w:val="00FA416B"/>
    <w:rsid w:val="00FA41D3"/>
    <w:rsid w:val="00FA4FE2"/>
    <w:rsid w:val="00FA50C8"/>
    <w:rsid w:val="00FA710A"/>
    <w:rsid w:val="00FA7559"/>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98B"/>
    <w:rsid w:val="00FC6B9C"/>
    <w:rsid w:val="00FC6D3B"/>
    <w:rsid w:val="00FD107C"/>
    <w:rsid w:val="00FD11EE"/>
    <w:rsid w:val="00FD1882"/>
    <w:rsid w:val="00FD1AA4"/>
    <w:rsid w:val="00FD25F0"/>
    <w:rsid w:val="00FD2F7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666"/>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table" w:customStyle="1" w:styleId="SGSTableBasic11">
    <w:name w:val="SGS Table Basic 11"/>
    <w:basedOn w:val="a6"/>
    <w:next w:val="afff5"/>
    <w:uiPriority w:val="59"/>
    <w:qFormat/>
    <w:rsid w:val="005D756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6194A"/>
    <w:rPr>
      <w:rFonts w:ascii="Times New Roman" w:hAnsi="Times New Roman"/>
      <w:lang w:val="en-US"/>
    </w:rPr>
  </w:style>
  <w:style w:type="character" w:customStyle="1" w:styleId="19">
    <w:name w:val="样式1 字符"/>
    <w:basedOn w:val="a5"/>
    <w:link w:val="18"/>
    <w:rsid w:val="0096194A"/>
    <w:rPr>
      <w:rFonts w:eastAsia="Arial" w:cs="Arial"/>
      <w:sz w:val="28"/>
    </w:rPr>
  </w:style>
  <w:style w:type="table" w:styleId="afff7">
    <w:name w:val="Table Theme"/>
    <w:basedOn w:val="a6"/>
    <w:semiHidden/>
    <w:unhideWhenUsed/>
    <w:rsid w:val="00226A97"/>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4447432">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617DBAF-E290-4FF5-A8CF-01E2788B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4EAFD-A53C-429B-8EB6-FB7F5866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1622</Words>
  <Characters>9250</Characters>
  <Application>Microsoft Office Word</Application>
  <DocSecurity>0</DocSecurity>
  <Lines>77</Lines>
  <Paragraphs>21</Paragraphs>
  <ScaleCrop>false</ScaleCrop>
  <Company>Tom</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8</cp:revision>
  <cp:lastPrinted>1995-11-21T09:41:00Z</cp:lastPrinted>
  <dcterms:created xsi:type="dcterms:W3CDTF">2025-05-06T11:33:00Z</dcterms:created>
  <dcterms:modified xsi:type="dcterms:W3CDTF">2025-05-09T11:41:00Z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