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2"/>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eastAsia="宋体"/>
          <w:b/>
          <w:sz w:val="24"/>
          <w:lang w:val="en-US" w:eastAsia="zh-CN"/>
        </w:rPr>
      </w:pPr>
      <w:bookmarkStart w:id="0" w:name="_Hlt450066085"/>
      <w:bookmarkEnd w:id="0"/>
      <w:bookmarkStart w:id="1" w:name="_Hlt450051172"/>
      <w:bookmarkEnd w:id="1"/>
      <w:bookmarkStart w:id="2" w:name="_Hlt450066087"/>
      <w:bookmarkEnd w:id="2"/>
      <w:bookmarkStart w:id="3" w:name="_Hlt448930105"/>
      <w:bookmarkEnd w:id="3"/>
      <w:bookmarkStart w:id="4" w:name="_Hlt450039480"/>
      <w:bookmarkEnd w:id="4"/>
      <w:bookmarkStart w:id="5" w:name="_Hlt449016246"/>
      <w:bookmarkEnd w:id="5"/>
      <w:bookmarkStart w:id="6" w:name="OLE_LINK111"/>
      <w:bookmarkStart w:id="7" w:name="OLE_LINK49"/>
      <w:bookmarkStart w:id="8" w:name="OLE_LINK27"/>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5</w:t>
      </w:r>
      <w:r>
        <w:rPr>
          <w:b/>
          <w:sz w:val="24"/>
        </w:rPr>
        <w:tab/>
      </w:r>
      <w:r>
        <w:rPr>
          <w:rFonts w:hint="eastAsia"/>
          <w:b/>
          <w:sz w:val="24"/>
        </w:rPr>
        <w:t>R4-250638</w:t>
      </w:r>
      <w:r>
        <w:rPr>
          <w:rFonts w:hint="eastAsia" w:eastAsia="宋体"/>
          <w:b/>
          <w:sz w:val="24"/>
          <w:lang w:val="en-US" w:eastAsia="zh-CN"/>
        </w:rPr>
        <w:t>4</w:t>
      </w:r>
      <w:bookmarkStart w:id="16" w:name="_GoBack"/>
      <w:bookmarkEnd w:id="16"/>
    </w:p>
    <w:p>
      <w:pPr>
        <w:pStyle w:val="72"/>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 xml:space="preserve">Malta, May.19th </w:t>
      </w:r>
      <w:r>
        <w:rPr>
          <w:b/>
          <w:sz w:val="24"/>
          <w:lang w:eastAsia="zh-CN"/>
        </w:rPr>
        <w:t xml:space="preserve">– </w:t>
      </w:r>
      <w:r>
        <w:rPr>
          <w:rFonts w:hint="eastAsia"/>
          <w:b/>
          <w:sz w:val="24"/>
          <w:lang w:val="en-US" w:eastAsia="zh-CN"/>
        </w:rPr>
        <w:t>23th</w:t>
      </w:r>
      <w:r>
        <w:rPr>
          <w:b/>
          <w:sz w:val="24"/>
          <w:lang w:eastAsia="zh-CN"/>
        </w:rPr>
        <w:t>, 202</w:t>
      </w:r>
      <w:r>
        <w:rPr>
          <w:rFonts w:hint="eastAsia"/>
          <w:b/>
          <w:sz w:val="24"/>
          <w:lang w:val="en-US" w:eastAsia="zh-CN"/>
        </w:rPr>
        <w:t>5</w:t>
      </w:r>
    </w:p>
    <w:bookmarkEnd w:id="6"/>
    <w:bookmarkEnd w:id="7"/>
    <w:bookmarkEnd w:id="8"/>
    <w:p>
      <w:pPr>
        <w:pStyle w:val="14"/>
        <w:keepNext/>
        <w:keepLines/>
        <w:pageBreakBefore w:val="0"/>
        <w:widowControl w:val="0"/>
        <w:kinsoku/>
        <w:wordWrap/>
        <w:overflowPunct/>
        <w:topLinePunct w:val="0"/>
        <w:autoSpaceDE/>
        <w:autoSpaceDN/>
        <w:bidi w:val="0"/>
        <w:adjustRightInd/>
        <w:spacing w:before="120" w:after="120"/>
        <w:jc w:val="both"/>
        <w:textAlignment w:val="auto"/>
        <w:rPr>
          <w:b/>
          <w:i/>
          <w:sz w:val="20"/>
          <w:szCs w:val="20"/>
          <w:highlight w:val="none"/>
        </w:rPr>
      </w:pP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eastAsia="宋体"/>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r>
        <w:rPr>
          <w:rFonts w:hint="eastAsia" w:ascii="Arial" w:hAnsi="Arial"/>
          <w:b/>
          <w:sz w:val="22"/>
          <w:szCs w:val="22"/>
          <w:highlight w:val="none"/>
          <w:lang w:val="en-US" w:eastAsia="zh-CN"/>
        </w:rPr>
        <w:t>On PC2 RedCap in FR1</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sz w:val="22"/>
          <w:szCs w:val="22"/>
          <w:highlight w:val="none"/>
          <w:lang w:val="en-US" w:eastAsia="zh-CN"/>
        </w:rPr>
      </w:pPr>
      <w:r>
        <w:rPr>
          <w:rStyle w:val="59"/>
          <w:rFonts w:hint="eastAsia"/>
          <w:b/>
          <w:sz w:val="22"/>
          <w:szCs w:val="22"/>
          <w:highlight w:val="none"/>
          <w:lang w:val="pt-BR" w:eastAsia="zh-CN"/>
        </w:rPr>
        <w:t>Agenda item:</w:t>
      </w:r>
      <w:r>
        <w:rPr>
          <w:rStyle w:val="59"/>
          <w:rFonts w:hint="eastAsia"/>
          <w:b/>
          <w:sz w:val="22"/>
          <w:szCs w:val="22"/>
          <w:highlight w:val="none"/>
          <w:lang w:val="pt-BR" w:eastAsia="zh-CN"/>
        </w:rPr>
        <w:tab/>
      </w:r>
      <w:r>
        <w:rPr>
          <w:rStyle w:val="59"/>
          <w:rFonts w:hint="eastAsia"/>
          <w:b/>
          <w:sz w:val="22"/>
          <w:szCs w:val="22"/>
          <w:highlight w:val="none"/>
          <w:lang w:val="en-US" w:eastAsia="zh-CN"/>
        </w:rPr>
        <w:t>7.6.2</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eastAsia"/>
          <w:b/>
          <w:sz w:val="22"/>
          <w:szCs w:val="22"/>
          <w:highlight w:val="none"/>
          <w:lang w:val="pt-BR" w:eastAsia="zh-CN"/>
        </w:rPr>
      </w:pPr>
      <w:r>
        <w:rPr>
          <w:rStyle w:val="59"/>
          <w:rFonts w:hint="eastAsia"/>
          <w:b/>
          <w:sz w:val="22"/>
          <w:szCs w:val="22"/>
          <w:highlight w:val="none"/>
          <w:lang w:val="pt-BR" w:eastAsia="zh-CN"/>
        </w:rPr>
        <w:t>Document for:</w:t>
      </w:r>
      <w:r>
        <w:rPr>
          <w:rStyle w:val="59"/>
          <w:rFonts w:hint="eastAsia"/>
          <w:b/>
          <w:sz w:val="22"/>
          <w:szCs w:val="22"/>
          <w:highlight w:val="none"/>
          <w:lang w:val="pt-BR" w:eastAsia="zh-CN"/>
        </w:rPr>
        <w:tab/>
      </w:r>
      <w:r>
        <w:rPr>
          <w:rStyle w:val="59"/>
          <w:rFonts w:hint="eastAsia"/>
          <w:b/>
          <w:sz w:val="22"/>
          <w:szCs w:val="22"/>
          <w:highlight w:val="none"/>
          <w:lang w:val="en-US" w:eastAsia="zh-CN"/>
        </w:rPr>
        <w:t>Approval</w:t>
      </w:r>
    </w:p>
    <w:p>
      <w:pPr>
        <w:keepNext/>
        <w:keepLines/>
        <w:pageBreakBefore w:val="0"/>
        <w:widowControl w:val="0"/>
        <w:pBdr>
          <w:top w:val="single" w:color="auto" w:sz="12" w:space="3"/>
        </w:pBdr>
        <w:kinsoku/>
        <w:wordWrap/>
        <w:overflowPunct/>
        <w:topLinePunct w:val="0"/>
        <w:autoSpaceDE/>
        <w:autoSpaceDN/>
        <w:bidi w:val="0"/>
        <w:spacing w:beforeLines="0" w:after="120" w:afterLines="0"/>
        <w:jc w:val="left"/>
        <w:textAlignment w:val="auto"/>
        <w:outlineLvl w:val="0"/>
        <w:rPr>
          <w:b/>
          <w:kern w:val="0"/>
          <w:sz w:val="20"/>
          <w:szCs w:val="20"/>
          <w:highlight w:val="none"/>
        </w:rPr>
      </w:pPr>
      <w:r>
        <w:rPr>
          <w:b/>
          <w:kern w:val="0"/>
          <w:sz w:val="20"/>
          <w:szCs w:val="20"/>
          <w:highlight w:val="none"/>
        </w:rPr>
        <w:t>1 Introduction</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i w:val="0"/>
          <w:iCs w:val="0"/>
          <w:kern w:val="0"/>
          <w:sz w:val="20"/>
          <w:szCs w:val="20"/>
          <w:highlight w:val="none"/>
          <w:lang w:val="en-US" w:eastAsia="zh-CN"/>
        </w:rPr>
      </w:pPr>
      <w:bookmarkStart w:id="9" w:name="OLE_LINK17"/>
      <w:r>
        <w:rPr>
          <w:rFonts w:hint="eastAsia"/>
          <w:bCs/>
          <w:i w:val="0"/>
          <w:iCs w:val="0"/>
          <w:kern w:val="0"/>
          <w:sz w:val="20"/>
          <w:szCs w:val="20"/>
          <w:highlight w:val="none"/>
          <w:lang w:val="en-US" w:eastAsia="zh-CN"/>
        </w:rPr>
        <w:t xml:space="preserve">In RAN #106 meeting, the revised WID[1] of PC2 (e)RedCap FR1 to include PC2 FDD (e)RedCap was approved, in which n1 and n3 are selected as example bands. In the previous meeting, there are several agreements on FR1 PC2 TDD (e)RedCap, in which the PC2 TDD (e)RedCap UE was introduced as band agnostic way and </w:t>
      </w:r>
      <w:r>
        <w:rPr>
          <w:sz w:val="20"/>
          <w:szCs w:val="20"/>
        </w:rPr>
        <w:t xml:space="preserve">PC2 </w:t>
      </w:r>
      <w:r>
        <w:rPr>
          <w:rFonts w:hint="eastAsia"/>
          <w:sz w:val="20"/>
          <w:szCs w:val="20"/>
          <w:lang w:eastAsia="zh-CN"/>
        </w:rPr>
        <w:t xml:space="preserve">RF </w:t>
      </w:r>
      <w:r>
        <w:rPr>
          <w:sz w:val="20"/>
          <w:szCs w:val="20"/>
        </w:rPr>
        <w:t xml:space="preserve">requirements for non-RedCap UE </w:t>
      </w:r>
      <w:r>
        <w:rPr>
          <w:rFonts w:hint="eastAsia"/>
          <w:sz w:val="20"/>
          <w:szCs w:val="20"/>
          <w:lang w:val="en-US" w:eastAsia="zh-CN"/>
        </w:rPr>
        <w:t>are</w:t>
      </w:r>
      <w:r>
        <w:rPr>
          <w:sz w:val="20"/>
          <w:szCs w:val="20"/>
        </w:rPr>
        <w:t xml:space="preserve"> re-used</w:t>
      </w:r>
      <w:r>
        <w:rPr>
          <w:rFonts w:hint="eastAsia"/>
          <w:sz w:val="20"/>
          <w:szCs w:val="20"/>
          <w:lang w:val="en-US" w:eastAsia="zh-CN"/>
        </w:rPr>
        <w:t xml:space="preserve">. Consequently, </w:t>
      </w:r>
      <w:r>
        <w:rPr>
          <w:rFonts w:hint="eastAsia"/>
          <w:bCs/>
          <w:i w:val="0"/>
          <w:iCs w:val="0"/>
          <w:kern w:val="0"/>
          <w:sz w:val="20"/>
          <w:szCs w:val="20"/>
          <w:highlight w:val="none"/>
          <w:lang w:val="en-US" w:eastAsia="zh-CN"/>
        </w:rPr>
        <w:t>there are less impacts on the specification. Moreover, the draft CR to introduce FR1 PC2 TDD (e)RedCap was endorsed.</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For FR1 PC2 FDD (e)RedCap, the agreements are captured in the WF [2], which are: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宋体" w:cs="Times New Roman"/>
                <w:b/>
                <w:kern w:val="0"/>
                <w:sz w:val="20"/>
                <w:szCs w:val="20"/>
                <w:highlight w:val="none"/>
                <w:u w:val="single"/>
                <w:lang w:val="en-GB" w:eastAsia="zh-CN"/>
              </w:rPr>
            </w:pPr>
            <w:r>
              <w:rPr>
                <w:rFonts w:ascii="Times New Roman" w:hAnsi="Times New Roman" w:eastAsia="宋体" w:cs="Times New Roman"/>
                <w:b/>
                <w:kern w:val="0"/>
                <w:sz w:val="20"/>
                <w:szCs w:val="20"/>
                <w:highlight w:val="none"/>
                <w:u w:val="single"/>
                <w:lang w:val="en-GB" w:eastAsia="ko-KR"/>
              </w:rPr>
              <w:t>Issue 1-1</w:t>
            </w:r>
            <w:r>
              <w:rPr>
                <w:rFonts w:hint="eastAsia" w:ascii="Times New Roman" w:hAnsi="Times New Roman" w:eastAsia="宋体" w:cs="Times New Roman"/>
                <w:b/>
                <w:kern w:val="0"/>
                <w:sz w:val="20"/>
                <w:szCs w:val="20"/>
                <w:highlight w:val="none"/>
                <w:u w:val="single"/>
                <w:lang w:val="en-GB" w:eastAsia="zh-CN"/>
              </w:rPr>
              <w:t>-</w:t>
            </w:r>
            <w:r>
              <w:rPr>
                <w:rFonts w:ascii="Times New Roman" w:hAnsi="Times New Roman" w:eastAsia="宋体" w:cs="Times New Roman"/>
                <w:b/>
                <w:kern w:val="0"/>
                <w:sz w:val="20"/>
                <w:szCs w:val="20"/>
                <w:highlight w:val="none"/>
                <w:u w:val="single"/>
                <w:lang w:val="en-GB" w:eastAsia="zh-CN"/>
              </w:rPr>
              <w:t>1</w:t>
            </w:r>
            <w:r>
              <w:rPr>
                <w:rFonts w:ascii="Times New Roman" w:hAnsi="Times New Roman" w:eastAsia="宋体" w:cs="Times New Roman"/>
                <w:b/>
                <w:kern w:val="0"/>
                <w:sz w:val="20"/>
                <w:szCs w:val="20"/>
                <w:highlight w:val="none"/>
                <w:u w:val="single"/>
                <w:lang w:val="en-GB" w:eastAsia="ko-KR"/>
              </w:rPr>
              <w:t>: REFSENS for 1Rx in FD-FDD</w:t>
            </w:r>
          </w:p>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宋体" w:cs="Times New Roman"/>
                <w:b/>
                <w:bCs/>
                <w:kern w:val="0"/>
                <w:sz w:val="20"/>
                <w:szCs w:val="20"/>
                <w:highlight w:val="none"/>
                <w:lang w:val="en-GB" w:eastAsia="en-US"/>
              </w:rPr>
            </w:pPr>
            <w:r>
              <w:rPr>
                <w:rFonts w:hint="eastAsia" w:ascii="Times New Roman" w:hAnsi="Times New Roman" w:eastAsia="宋体" w:cs="Times New Roman"/>
                <w:b/>
                <w:bCs/>
                <w:kern w:val="0"/>
                <w:sz w:val="20"/>
                <w:szCs w:val="20"/>
                <w:highlight w:val="none"/>
                <w:lang w:val="en-GB" w:eastAsia="en-US"/>
              </w:rPr>
              <w:t>A</w:t>
            </w:r>
            <w:r>
              <w:rPr>
                <w:rFonts w:ascii="Times New Roman" w:hAnsi="Times New Roman" w:eastAsia="宋体" w:cs="Times New Roman"/>
                <w:b/>
                <w:bCs/>
                <w:kern w:val="0"/>
                <w:sz w:val="20"/>
                <w:szCs w:val="20"/>
                <w:highlight w:val="none"/>
                <w:lang w:val="en-GB" w:eastAsia="en-US"/>
              </w:rPr>
              <w:t xml:space="preserve">greement: </w:t>
            </w:r>
            <w:r>
              <w:rPr>
                <w:rFonts w:ascii="Times New Roman" w:hAnsi="Times New Roman" w:eastAsia="宋体" w:cs="Times New Roman"/>
                <w:kern w:val="0"/>
                <w:sz w:val="20"/>
                <w:szCs w:val="20"/>
                <w:highlight w:val="none"/>
                <w:lang w:val="en-GB" w:eastAsia="en-US"/>
              </w:rPr>
              <w:t>Consider the following formats for specifying REFSENS for 1Rx PC2 RedCap in FD-FDD</w:t>
            </w:r>
          </w:p>
          <w:p>
            <w:pPr>
              <w:keepNext/>
              <w:keepLines/>
              <w:pageBreakBefore w:val="0"/>
              <w:numPr>
                <w:ilvl w:val="0"/>
                <w:numId w:val="7"/>
              </w:numPr>
              <w:kinsoku/>
              <w:wordWrap/>
              <w:overflowPunct w:val="0"/>
              <w:topLinePunct w:val="0"/>
              <w:autoSpaceDE w:val="0"/>
              <w:autoSpaceDN w:val="0"/>
              <w:bidi w:val="0"/>
              <w:adjustRightInd w:val="0"/>
              <w:spacing w:after="180"/>
              <w:ind w:left="420" w:hanging="420" w:firstLineChars="0"/>
              <w:textAlignment w:val="baseline"/>
              <w:rPr>
                <w:rFonts w:ascii="Times New Roman" w:hAnsi="Times New Roman" w:eastAsia="MS Mincho" w:cs="Times New Roman"/>
                <w:kern w:val="0"/>
                <w:sz w:val="20"/>
                <w:szCs w:val="20"/>
                <w:highlight w:val="none"/>
                <w:lang w:val="en-GB" w:eastAsia="en-US" w:bidi="ar-SA"/>
              </w:rPr>
            </w:pPr>
            <w:r>
              <w:rPr>
                <w:rFonts w:ascii="Times New Roman" w:hAnsi="Times New Roman" w:eastAsia="MS Mincho" w:cs="Times New Roman"/>
                <w:kern w:val="0"/>
                <w:sz w:val="20"/>
                <w:szCs w:val="20"/>
                <w:highlight w:val="none"/>
                <w:lang w:val="en-GB" w:eastAsia="en-US" w:bidi="ar-SA"/>
              </w:rPr>
              <w:t xml:space="preserve">Option1: </w:t>
            </w:r>
            <w:r>
              <w:rPr>
                <w:rFonts w:hint="eastAsia" w:ascii="Times New Roman" w:hAnsi="Times New Roman" w:eastAsia="MS Mincho" w:cs="Times New Roman"/>
                <w:kern w:val="0"/>
                <w:sz w:val="20"/>
                <w:szCs w:val="20"/>
                <w:highlight w:val="none"/>
                <w:lang w:val="en-GB" w:eastAsia="en-US" w:bidi="ar-SA"/>
              </w:rPr>
              <w:t>R</w:t>
            </w:r>
            <w:r>
              <w:rPr>
                <w:rFonts w:ascii="Times New Roman" w:hAnsi="Times New Roman" w:eastAsia="MS Mincho" w:cs="Times New Roman"/>
                <w:kern w:val="0"/>
                <w:sz w:val="20"/>
                <w:szCs w:val="20"/>
                <w:highlight w:val="none"/>
                <w:lang w:val="en-GB" w:eastAsia="en-US" w:bidi="ar-SA"/>
              </w:rPr>
              <w:t>EFSENS (</w:t>
            </w:r>
            <w:r>
              <w:rPr>
                <w:rFonts w:hint="eastAsia" w:ascii="Times New Roman" w:hAnsi="Times New Roman" w:eastAsia="MS Mincho" w:cs="Times New Roman"/>
                <w:kern w:val="0"/>
                <w:sz w:val="20"/>
                <w:szCs w:val="20"/>
                <w:highlight w:val="none"/>
                <w:lang w:val="en-GB" w:eastAsia="en-US" w:bidi="ar-SA"/>
              </w:rPr>
              <w:t>1</w:t>
            </w:r>
            <w:r>
              <w:rPr>
                <w:rFonts w:ascii="Times New Roman" w:hAnsi="Times New Roman" w:eastAsia="MS Mincho" w:cs="Times New Roman"/>
                <w:kern w:val="0"/>
                <w:sz w:val="20"/>
                <w:szCs w:val="20"/>
                <w:highlight w:val="none"/>
                <w:lang w:val="en-GB" w:eastAsia="en-US" w:bidi="ar-SA"/>
              </w:rPr>
              <w:t>Tx (26dBm) /2Rx) + ΔR</w:t>
            </w:r>
            <w:r>
              <w:rPr>
                <w:rFonts w:ascii="Times New Roman" w:hAnsi="Times New Roman" w:eastAsia="MS Mincho" w:cs="Times New Roman"/>
                <w:kern w:val="0"/>
                <w:sz w:val="20"/>
                <w:szCs w:val="20"/>
                <w:highlight w:val="none"/>
                <w:vertAlign w:val="subscript"/>
                <w:lang w:val="en-GB" w:eastAsia="en-US" w:bidi="ar-SA"/>
              </w:rPr>
              <w:t>1R</w:t>
            </w:r>
            <w:r>
              <w:rPr>
                <w:rFonts w:ascii="Times New Roman" w:hAnsi="Times New Roman" w:eastAsia="MS Mincho" w:cs="Times New Roman"/>
                <w:kern w:val="0"/>
                <w:sz w:val="20"/>
                <w:szCs w:val="20"/>
                <w:highlight w:val="none"/>
                <w:lang w:val="en-GB" w:eastAsia="en-US" w:bidi="ar-SA"/>
              </w:rPr>
              <w:t> : ΔR</w:t>
            </w:r>
            <w:r>
              <w:rPr>
                <w:rFonts w:ascii="Times New Roman" w:hAnsi="Times New Roman" w:eastAsia="MS Mincho" w:cs="Times New Roman"/>
                <w:kern w:val="0"/>
                <w:sz w:val="20"/>
                <w:szCs w:val="20"/>
                <w:highlight w:val="none"/>
                <w:vertAlign w:val="subscript"/>
                <w:lang w:val="en-GB" w:eastAsia="en-US" w:bidi="ar-SA"/>
              </w:rPr>
              <w:t>1R</w:t>
            </w:r>
            <w:r>
              <w:rPr>
                <w:rFonts w:ascii="Times New Roman" w:hAnsi="Times New Roman" w:eastAsia="MS Mincho" w:cs="Times New Roman"/>
                <w:kern w:val="0"/>
                <w:sz w:val="20"/>
                <w:szCs w:val="20"/>
                <w:highlight w:val="none"/>
                <w:lang w:val="en-GB" w:eastAsia="en-US" w:bidi="ar-SA"/>
              </w:rPr>
              <w:t xml:space="preserve"> may be specified based on RSD ranges</w:t>
            </w:r>
          </w:p>
          <w:p>
            <w:pPr>
              <w:keepNext/>
              <w:keepLines/>
              <w:pageBreakBefore w:val="0"/>
              <w:numPr>
                <w:ilvl w:val="1"/>
                <w:numId w:val="8"/>
              </w:numPr>
              <w:kinsoku/>
              <w:wordWrap/>
              <w:overflowPunct w:val="0"/>
              <w:topLinePunct w:val="0"/>
              <w:autoSpaceDE w:val="0"/>
              <w:autoSpaceDN w:val="0"/>
              <w:bidi w:val="0"/>
              <w:adjustRightInd w:val="0"/>
              <w:spacing w:after="180"/>
              <w:ind w:left="860" w:hanging="440" w:firstLineChars="0"/>
              <w:textAlignment w:val="baseline"/>
              <w:rPr>
                <w:rFonts w:ascii="Times New Roman" w:hAnsi="Times New Roman" w:eastAsia="MS Mincho" w:cs="Times New Roman"/>
                <w:kern w:val="0"/>
                <w:sz w:val="20"/>
                <w:szCs w:val="20"/>
                <w:highlight w:val="none"/>
                <w:lang w:val="en-GB" w:eastAsia="en-US" w:bidi="ar-SA"/>
              </w:rPr>
            </w:pPr>
            <w:r>
              <w:rPr>
                <w:rFonts w:ascii="Times New Roman" w:hAnsi="Times New Roman" w:eastAsia="MS Mincho" w:cs="Times New Roman"/>
                <w:kern w:val="0"/>
                <w:sz w:val="20"/>
                <w:szCs w:val="20"/>
                <w:highlight w:val="none"/>
                <w:lang w:val="en-GB" w:eastAsia="en-US" w:bidi="ar-SA"/>
              </w:rPr>
              <w:t>Flat 3dB ΔR</w:t>
            </w:r>
            <w:r>
              <w:rPr>
                <w:rFonts w:ascii="Times New Roman" w:hAnsi="Times New Roman" w:eastAsia="宋体" w:cs="Times New Roman"/>
                <w:kern w:val="0"/>
                <w:sz w:val="20"/>
                <w:szCs w:val="20"/>
                <w:highlight w:val="none"/>
                <w:vertAlign w:val="subscript"/>
                <w:lang w:val="en-GB" w:eastAsia="en-US" w:bidi="ar-SA"/>
              </w:rPr>
              <w:t xml:space="preserve"> </w:t>
            </w:r>
            <w:r>
              <w:rPr>
                <w:rFonts w:ascii="Times New Roman" w:hAnsi="Times New Roman" w:eastAsia="MS Mincho" w:cs="Times New Roman"/>
                <w:kern w:val="0"/>
                <w:sz w:val="20"/>
                <w:szCs w:val="20"/>
                <w:highlight w:val="none"/>
                <w:vertAlign w:val="subscript"/>
                <w:lang w:val="en-GB" w:eastAsia="en-US" w:bidi="ar-SA"/>
              </w:rPr>
              <w:t>1R</w:t>
            </w:r>
            <w:r>
              <w:rPr>
                <w:rFonts w:ascii="Times New Roman" w:hAnsi="Times New Roman" w:eastAsia="MS Mincho" w:cs="Times New Roman"/>
                <w:kern w:val="0"/>
                <w:sz w:val="20"/>
                <w:szCs w:val="20"/>
                <w:highlight w:val="none"/>
                <w:lang w:val="en-GB" w:eastAsia="en-US" w:bidi="ar-SA"/>
              </w:rPr>
              <w:t xml:space="preserve"> for all CBW no larger than 20MHz or </w:t>
            </w:r>
            <w:r>
              <w:rPr>
                <w:rFonts w:hint="eastAsia" w:ascii="Times New Roman" w:hAnsi="Times New Roman" w:eastAsia="MS Mincho" w:cs="Times New Roman"/>
                <w:kern w:val="0"/>
                <w:sz w:val="20"/>
                <w:szCs w:val="20"/>
                <w:highlight w:val="none"/>
                <w:lang w:val="en-GB" w:eastAsia="en-US" w:bidi="ar-SA"/>
              </w:rPr>
              <w:t>use</w:t>
            </w:r>
            <w:r>
              <w:rPr>
                <w:rFonts w:ascii="Times New Roman" w:hAnsi="Times New Roman" w:eastAsia="MS Mincho" w:cs="Times New Roman"/>
                <w:kern w:val="0"/>
                <w:sz w:val="20"/>
                <w:szCs w:val="20"/>
                <w:highlight w:val="none"/>
                <w:lang w:val="en-GB" w:eastAsia="en-US" w:bidi="ar-SA"/>
              </w:rPr>
              <w:t xml:space="preserve"> values for FDD bands in table 7.3I.2-1 for bands whose PC2 1Tx/2RX RSD is 0dB.</w:t>
            </w:r>
          </w:p>
          <w:p>
            <w:pPr>
              <w:keepNext/>
              <w:keepLines/>
              <w:pageBreakBefore w:val="0"/>
              <w:numPr>
                <w:ilvl w:val="1"/>
                <w:numId w:val="8"/>
              </w:numPr>
              <w:kinsoku/>
              <w:wordWrap/>
              <w:overflowPunct w:val="0"/>
              <w:topLinePunct w:val="0"/>
              <w:autoSpaceDE w:val="0"/>
              <w:autoSpaceDN w:val="0"/>
              <w:bidi w:val="0"/>
              <w:adjustRightInd w:val="0"/>
              <w:spacing w:after="180"/>
              <w:ind w:left="860" w:hanging="440" w:firstLineChars="0"/>
              <w:textAlignment w:val="baseline"/>
              <w:rPr>
                <w:rFonts w:ascii="Times New Roman" w:hAnsi="Times New Roman" w:eastAsia="MS Mincho" w:cs="Times New Roman"/>
                <w:kern w:val="0"/>
                <w:sz w:val="20"/>
                <w:szCs w:val="20"/>
                <w:highlight w:val="none"/>
                <w:lang w:val="en-GB" w:eastAsia="en-US" w:bidi="ar-SA"/>
              </w:rPr>
            </w:pPr>
            <w:r>
              <w:rPr>
                <w:rFonts w:ascii="Times New Roman" w:hAnsi="Times New Roman" w:eastAsia="MS Mincho" w:cs="Times New Roman"/>
                <w:kern w:val="0"/>
                <w:sz w:val="20"/>
                <w:szCs w:val="20"/>
                <w:highlight w:val="none"/>
                <w:lang w:val="en-GB" w:eastAsia="en-US" w:bidi="ar-SA"/>
              </w:rPr>
              <w:t>Companies to evaluate REFSENS for other bands.</w:t>
            </w:r>
          </w:p>
          <w:p>
            <w:pPr>
              <w:keepNext/>
              <w:keepLines/>
              <w:pageBreakBefore w:val="0"/>
              <w:numPr>
                <w:ilvl w:val="1"/>
                <w:numId w:val="8"/>
              </w:numPr>
              <w:kinsoku/>
              <w:wordWrap/>
              <w:overflowPunct w:val="0"/>
              <w:topLinePunct w:val="0"/>
              <w:autoSpaceDE w:val="0"/>
              <w:autoSpaceDN w:val="0"/>
              <w:bidi w:val="0"/>
              <w:adjustRightInd w:val="0"/>
              <w:spacing w:after="180"/>
              <w:ind w:left="860" w:hanging="440" w:firstLineChars="0"/>
              <w:textAlignment w:val="baseline"/>
              <w:rPr>
                <w:rFonts w:ascii="Times New Roman" w:hAnsi="Times New Roman" w:eastAsia="MS Mincho" w:cs="Times New Roman"/>
                <w:kern w:val="0"/>
                <w:sz w:val="20"/>
                <w:szCs w:val="20"/>
                <w:highlight w:val="none"/>
                <w:lang w:val="en-GB" w:eastAsia="en-US" w:bidi="ar-SA"/>
              </w:rPr>
            </w:pPr>
            <w:r>
              <w:rPr>
                <w:rFonts w:ascii="Times New Roman" w:hAnsi="Times New Roman" w:eastAsia="MS Mincho" w:cs="Times New Roman"/>
                <w:kern w:val="0"/>
                <w:sz w:val="20"/>
                <w:szCs w:val="20"/>
                <w:highlight w:val="none"/>
                <w:lang w:val="en-GB" w:eastAsia="en-US" w:bidi="ar-SA"/>
              </w:rPr>
              <w:t>The format in which the REFSENS is shown in the specs is TBD pending evaluations.</w:t>
            </w:r>
          </w:p>
          <w:p>
            <w:pPr>
              <w:keepNext/>
              <w:keepLines/>
              <w:pageBreakBefore w:val="0"/>
              <w:numPr>
                <w:ilvl w:val="0"/>
                <w:numId w:val="7"/>
              </w:numPr>
              <w:kinsoku/>
              <w:wordWrap/>
              <w:overflowPunct w:val="0"/>
              <w:topLinePunct w:val="0"/>
              <w:autoSpaceDE w:val="0"/>
              <w:autoSpaceDN w:val="0"/>
              <w:bidi w:val="0"/>
              <w:adjustRightInd w:val="0"/>
              <w:spacing w:after="180"/>
              <w:ind w:left="420" w:hanging="420" w:firstLineChars="0"/>
              <w:textAlignment w:val="baseline"/>
              <w:rPr>
                <w:rFonts w:ascii="Times New Roman" w:hAnsi="Times New Roman" w:eastAsia="MS Mincho" w:cs="Times New Roman"/>
                <w:kern w:val="0"/>
                <w:sz w:val="20"/>
                <w:szCs w:val="20"/>
                <w:highlight w:val="none"/>
                <w:lang w:val="en-GB" w:eastAsia="en-US" w:bidi="ar-SA"/>
              </w:rPr>
            </w:pPr>
            <w:r>
              <w:rPr>
                <w:rFonts w:ascii="Times New Roman" w:hAnsi="Times New Roman" w:eastAsia="MS Mincho" w:cs="Times New Roman"/>
                <w:kern w:val="0"/>
                <w:sz w:val="20"/>
                <w:szCs w:val="20"/>
                <w:highlight w:val="none"/>
                <w:lang w:val="en-GB" w:eastAsia="en-US" w:bidi="ar-SA"/>
              </w:rPr>
              <w:t xml:space="preserve">Option2: </w:t>
            </w:r>
            <w:r>
              <w:rPr>
                <w:rFonts w:hint="eastAsia" w:ascii="Times New Roman" w:hAnsi="Times New Roman" w:eastAsia="MS Mincho" w:cs="Times New Roman"/>
                <w:kern w:val="0"/>
                <w:sz w:val="20"/>
                <w:szCs w:val="20"/>
                <w:highlight w:val="none"/>
                <w:lang w:val="en-GB" w:eastAsia="en-US" w:bidi="ar-SA"/>
              </w:rPr>
              <w:t>R</w:t>
            </w:r>
            <w:r>
              <w:rPr>
                <w:rFonts w:ascii="Times New Roman" w:hAnsi="Times New Roman" w:eastAsia="MS Mincho" w:cs="Times New Roman"/>
                <w:kern w:val="0"/>
                <w:sz w:val="20"/>
                <w:szCs w:val="20"/>
                <w:highlight w:val="none"/>
                <w:lang w:val="en-GB" w:eastAsia="en-US" w:bidi="ar-SA"/>
              </w:rPr>
              <w:t>EFSENS (</w:t>
            </w:r>
            <w:r>
              <w:rPr>
                <w:rFonts w:hint="eastAsia" w:ascii="Times New Roman" w:hAnsi="Times New Roman" w:eastAsia="MS Mincho" w:cs="Times New Roman"/>
                <w:kern w:val="0"/>
                <w:sz w:val="20"/>
                <w:szCs w:val="20"/>
                <w:highlight w:val="none"/>
                <w:lang w:val="en-GB" w:eastAsia="en-US" w:bidi="ar-SA"/>
              </w:rPr>
              <w:t>1</w:t>
            </w:r>
            <w:r>
              <w:rPr>
                <w:rFonts w:ascii="Times New Roman" w:hAnsi="Times New Roman" w:eastAsia="MS Mincho" w:cs="Times New Roman"/>
                <w:kern w:val="0"/>
                <w:sz w:val="20"/>
                <w:szCs w:val="20"/>
                <w:highlight w:val="none"/>
                <w:lang w:val="en-GB" w:eastAsia="en-US" w:bidi="ar-SA"/>
              </w:rPr>
              <w:t>Tx (26dBm) /2Rx) + ΔR</w:t>
            </w:r>
            <w:r>
              <w:rPr>
                <w:rFonts w:ascii="Times New Roman" w:hAnsi="Times New Roman" w:eastAsia="MS Mincho" w:cs="Times New Roman"/>
                <w:kern w:val="0"/>
                <w:sz w:val="20"/>
                <w:szCs w:val="20"/>
                <w:highlight w:val="none"/>
                <w:vertAlign w:val="subscript"/>
                <w:lang w:val="en-GB" w:eastAsia="en-US" w:bidi="ar-SA"/>
              </w:rPr>
              <w:t>1R</w:t>
            </w:r>
            <w:r>
              <w:rPr>
                <w:rFonts w:ascii="Times New Roman" w:hAnsi="Times New Roman" w:eastAsia="MS Mincho" w:cs="Times New Roman"/>
                <w:kern w:val="0"/>
                <w:sz w:val="20"/>
                <w:szCs w:val="20"/>
                <w:highlight w:val="none"/>
                <w:lang w:val="en-GB" w:eastAsia="en-US" w:bidi="ar-SA"/>
              </w:rPr>
              <w:t> : ΔR</w:t>
            </w:r>
            <w:r>
              <w:rPr>
                <w:rFonts w:ascii="Times New Roman" w:hAnsi="Times New Roman" w:eastAsia="MS Mincho" w:cs="Times New Roman"/>
                <w:kern w:val="0"/>
                <w:sz w:val="20"/>
                <w:szCs w:val="20"/>
                <w:highlight w:val="none"/>
                <w:vertAlign w:val="subscript"/>
                <w:lang w:val="en-GB" w:eastAsia="en-US" w:bidi="ar-SA"/>
              </w:rPr>
              <w:t>1R</w:t>
            </w:r>
            <w:r>
              <w:rPr>
                <w:rFonts w:ascii="Times New Roman" w:hAnsi="Times New Roman" w:eastAsia="MS Mincho" w:cs="Times New Roman"/>
                <w:kern w:val="0"/>
                <w:sz w:val="20"/>
                <w:szCs w:val="20"/>
                <w:highlight w:val="none"/>
                <w:lang w:val="en-GB" w:eastAsia="en-US" w:bidi="ar-SA"/>
              </w:rPr>
              <w:t xml:space="preserve"> may be specified based on the following conditions</w:t>
            </w:r>
          </w:p>
          <w:p>
            <w:pPr>
              <w:keepNext/>
              <w:keepLines/>
              <w:pageBreakBefore w:val="0"/>
              <w:numPr>
                <w:ilvl w:val="1"/>
                <w:numId w:val="8"/>
              </w:numPr>
              <w:kinsoku/>
              <w:wordWrap/>
              <w:overflowPunct w:val="0"/>
              <w:topLinePunct w:val="0"/>
              <w:autoSpaceDE w:val="0"/>
              <w:autoSpaceDN w:val="0"/>
              <w:bidi w:val="0"/>
              <w:adjustRightInd w:val="0"/>
              <w:spacing w:after="180"/>
              <w:ind w:left="860" w:hanging="440" w:firstLineChars="0"/>
              <w:textAlignment w:val="baseline"/>
              <w:rPr>
                <w:rFonts w:ascii="Times New Roman" w:hAnsi="Times New Roman" w:eastAsia="MS Mincho" w:cs="Times New Roman"/>
                <w:kern w:val="0"/>
                <w:sz w:val="20"/>
                <w:szCs w:val="20"/>
                <w:highlight w:val="none"/>
                <w:lang w:val="en-GB" w:eastAsia="en-US" w:bidi="ar-SA"/>
              </w:rPr>
            </w:pPr>
            <w:r>
              <w:rPr>
                <w:rFonts w:ascii="Times New Roman" w:hAnsi="Times New Roman" w:eastAsia="MS Mincho" w:cs="Times New Roman"/>
                <w:kern w:val="0"/>
                <w:sz w:val="20"/>
                <w:szCs w:val="20"/>
                <w:highlight w:val="none"/>
                <w:lang w:val="en-GB" w:eastAsia="en-US" w:bidi="ar-SA"/>
              </w:rPr>
              <w:t>ΔR</w:t>
            </w:r>
            <w:r>
              <w:rPr>
                <w:rFonts w:ascii="Times New Roman" w:hAnsi="Times New Roman" w:eastAsia="宋体" w:cs="Times New Roman"/>
                <w:kern w:val="0"/>
                <w:sz w:val="20"/>
                <w:szCs w:val="20"/>
                <w:highlight w:val="none"/>
                <w:vertAlign w:val="subscript"/>
                <w:lang w:val="en-GB" w:eastAsia="en-US" w:bidi="ar-SA"/>
              </w:rPr>
              <w:t xml:space="preserve"> </w:t>
            </w:r>
            <w:r>
              <w:rPr>
                <w:rFonts w:ascii="Times New Roman" w:hAnsi="Times New Roman" w:eastAsia="MS Mincho" w:cs="Times New Roman"/>
                <w:kern w:val="0"/>
                <w:sz w:val="20"/>
                <w:szCs w:val="20"/>
                <w:highlight w:val="none"/>
                <w:vertAlign w:val="subscript"/>
                <w:lang w:val="en-GB" w:eastAsia="en-US" w:bidi="ar-SA"/>
              </w:rPr>
              <w:t>1R</w:t>
            </w:r>
            <w:r>
              <w:rPr>
                <w:rFonts w:ascii="Times New Roman" w:hAnsi="Times New Roman" w:eastAsia="MS Mincho" w:cs="Times New Roman"/>
                <w:kern w:val="0"/>
                <w:sz w:val="20"/>
                <w:szCs w:val="20"/>
                <w:highlight w:val="none"/>
                <w:lang w:val="en-GB" w:eastAsia="en-US" w:bidi="ar-SA"/>
              </w:rPr>
              <w:t xml:space="preserve"> value may be considered from LTE </w:t>
            </w:r>
            <w:bookmarkStart w:id="10" w:name="_CRTable7_3_1E1A"/>
            <w:r>
              <w:rPr>
                <w:rFonts w:ascii="Times New Roman" w:hAnsi="Times New Roman" w:eastAsia="MS Mincho" w:cs="Times New Roman"/>
                <w:kern w:val="0"/>
                <w:sz w:val="20"/>
                <w:szCs w:val="20"/>
                <w:highlight w:val="none"/>
                <w:lang w:val="en-GB" w:eastAsia="en-US" w:bidi="ar-SA"/>
              </w:rPr>
              <w:t xml:space="preserve">TS 36.101 Table </w:t>
            </w:r>
            <w:bookmarkEnd w:id="10"/>
            <w:r>
              <w:rPr>
                <w:rFonts w:ascii="Times New Roman" w:hAnsi="Times New Roman" w:eastAsia="MS Mincho" w:cs="Times New Roman"/>
                <w:kern w:val="0"/>
                <w:sz w:val="20"/>
                <w:szCs w:val="20"/>
                <w:highlight w:val="none"/>
                <w:lang w:val="en-GB" w:eastAsia="en-US" w:bidi="ar-SA"/>
              </w:rPr>
              <w:t>7.3.1</w:t>
            </w:r>
            <w:r>
              <w:rPr>
                <w:rFonts w:hint="eastAsia" w:ascii="Times New Roman" w:hAnsi="Times New Roman" w:eastAsia="MS Mincho" w:cs="Times New Roman"/>
                <w:kern w:val="0"/>
                <w:sz w:val="20"/>
                <w:szCs w:val="20"/>
                <w:highlight w:val="none"/>
                <w:lang w:val="en-GB" w:eastAsia="zh-CN" w:bidi="ar-SA"/>
              </w:rPr>
              <w:t>E</w:t>
            </w:r>
            <w:r>
              <w:rPr>
                <w:rFonts w:ascii="Times New Roman" w:hAnsi="Times New Roman" w:eastAsia="MS Mincho" w:cs="Times New Roman"/>
                <w:kern w:val="0"/>
                <w:sz w:val="20"/>
                <w:szCs w:val="20"/>
                <w:highlight w:val="none"/>
                <w:lang w:val="en-GB" w:eastAsia="en-US" w:bidi="ar-SA"/>
              </w:rPr>
              <w:t>-1</w:t>
            </w:r>
            <w:r>
              <w:rPr>
                <w:rFonts w:hint="eastAsia" w:ascii="Times New Roman" w:hAnsi="Times New Roman" w:eastAsia="MS Mincho" w:cs="Times New Roman"/>
                <w:kern w:val="0"/>
                <w:sz w:val="20"/>
                <w:szCs w:val="20"/>
                <w:highlight w:val="none"/>
                <w:lang w:val="en-GB" w:eastAsia="zh-CN" w:bidi="ar-SA"/>
              </w:rPr>
              <w:t>A</w:t>
            </w:r>
            <w:r>
              <w:rPr>
                <w:rFonts w:ascii="Times New Roman" w:hAnsi="Times New Roman" w:eastAsia="MS Mincho" w:cs="Times New Roman"/>
                <w:kern w:val="0"/>
                <w:sz w:val="20"/>
                <w:szCs w:val="20"/>
                <w:highlight w:val="none"/>
                <w:lang w:val="en-GB" w:eastAsia="en-US" w:bidi="ar-SA"/>
              </w:rPr>
              <w:t xml:space="preserve"> for bands and CBW which are already defined in TS 36.101 Table 7.3.1</w:t>
            </w:r>
            <w:r>
              <w:rPr>
                <w:rFonts w:hint="eastAsia" w:ascii="Times New Roman" w:hAnsi="Times New Roman" w:eastAsia="MS Mincho" w:cs="Times New Roman"/>
                <w:kern w:val="0"/>
                <w:sz w:val="20"/>
                <w:szCs w:val="20"/>
                <w:highlight w:val="none"/>
                <w:lang w:val="en-GB" w:eastAsia="zh-CN" w:bidi="ar-SA"/>
              </w:rPr>
              <w:t>E</w:t>
            </w:r>
            <w:r>
              <w:rPr>
                <w:rFonts w:ascii="Times New Roman" w:hAnsi="Times New Roman" w:eastAsia="MS Mincho" w:cs="Times New Roman"/>
                <w:kern w:val="0"/>
                <w:sz w:val="20"/>
                <w:szCs w:val="20"/>
                <w:highlight w:val="none"/>
                <w:lang w:val="en-GB" w:eastAsia="en-US" w:bidi="ar-SA"/>
              </w:rPr>
              <w:t>-1</w:t>
            </w:r>
            <w:r>
              <w:rPr>
                <w:rFonts w:hint="eastAsia" w:ascii="Times New Roman" w:hAnsi="Times New Roman" w:eastAsia="MS Mincho" w:cs="Times New Roman"/>
                <w:kern w:val="0"/>
                <w:sz w:val="20"/>
                <w:szCs w:val="20"/>
                <w:highlight w:val="none"/>
                <w:lang w:val="en-GB" w:eastAsia="zh-CN" w:bidi="ar-SA"/>
              </w:rPr>
              <w:t>A</w:t>
            </w:r>
            <w:r>
              <w:rPr>
                <w:rFonts w:ascii="Times New Roman" w:hAnsi="Times New Roman" w:eastAsia="MS Mincho" w:cs="Times New Roman"/>
                <w:kern w:val="0"/>
                <w:sz w:val="20"/>
                <w:szCs w:val="20"/>
                <w:highlight w:val="none"/>
                <w:lang w:val="en-GB" w:eastAsia="zh-CN" w:bidi="ar-SA"/>
              </w:rPr>
              <w:t>. The ΔR</w:t>
            </w:r>
            <w:r>
              <w:rPr>
                <w:rFonts w:ascii="Times New Roman" w:hAnsi="Times New Roman" w:eastAsia="MS Mincho" w:cs="Times New Roman"/>
                <w:kern w:val="0"/>
                <w:sz w:val="20"/>
                <w:szCs w:val="20"/>
                <w:highlight w:val="none"/>
                <w:vertAlign w:val="subscript"/>
                <w:lang w:val="en-GB" w:eastAsia="zh-CN" w:bidi="ar-SA"/>
              </w:rPr>
              <w:t xml:space="preserve"> 1R</w:t>
            </w:r>
            <w:r>
              <w:rPr>
                <w:rFonts w:ascii="Times New Roman" w:hAnsi="Times New Roman" w:eastAsia="MS Mincho" w:cs="Times New Roman"/>
                <w:kern w:val="0"/>
                <w:sz w:val="20"/>
                <w:szCs w:val="20"/>
                <w:highlight w:val="none"/>
                <w:lang w:val="en-GB" w:eastAsia="zh-CN" w:bidi="ar-SA"/>
              </w:rPr>
              <w:t xml:space="preserve"> value is calculated by comparing the REFSESN specified in TS 36.101 Table 7.3.1E-1A with TS 36.101 Table 7.3.1.</w:t>
            </w:r>
          </w:p>
          <w:p>
            <w:pPr>
              <w:keepNext/>
              <w:keepLines/>
              <w:pageBreakBefore w:val="0"/>
              <w:numPr>
                <w:ilvl w:val="1"/>
                <w:numId w:val="8"/>
              </w:numPr>
              <w:kinsoku/>
              <w:wordWrap/>
              <w:overflowPunct w:val="0"/>
              <w:topLinePunct w:val="0"/>
              <w:autoSpaceDE w:val="0"/>
              <w:autoSpaceDN w:val="0"/>
              <w:bidi w:val="0"/>
              <w:adjustRightInd w:val="0"/>
              <w:spacing w:after="180"/>
              <w:ind w:left="860" w:hanging="440" w:firstLineChars="0"/>
              <w:textAlignment w:val="baseline"/>
              <w:rPr>
                <w:rFonts w:ascii="Times New Roman" w:hAnsi="Times New Roman" w:eastAsia="MS Mincho" w:cs="Times New Roman"/>
                <w:kern w:val="0"/>
                <w:sz w:val="20"/>
                <w:szCs w:val="20"/>
                <w:highlight w:val="none"/>
                <w:lang w:val="en-GB" w:eastAsia="en-US" w:bidi="ar-SA"/>
              </w:rPr>
            </w:pPr>
            <w:r>
              <w:rPr>
                <w:rFonts w:ascii="Times New Roman" w:hAnsi="Times New Roman" w:eastAsia="MS Mincho" w:cs="Times New Roman"/>
                <w:kern w:val="0"/>
                <w:sz w:val="20"/>
                <w:szCs w:val="20"/>
                <w:highlight w:val="none"/>
                <w:lang w:val="en-GB" w:eastAsia="en-US" w:bidi="ar-SA"/>
              </w:rPr>
              <w:t>Companies are encouraged to bring measurement based evaluation for ΔR</w:t>
            </w:r>
            <w:r>
              <w:rPr>
                <w:rFonts w:ascii="Times New Roman" w:hAnsi="Times New Roman" w:eastAsia="MS Mincho" w:cs="Times New Roman"/>
                <w:kern w:val="0"/>
                <w:sz w:val="20"/>
                <w:szCs w:val="20"/>
                <w:highlight w:val="none"/>
                <w:vertAlign w:val="subscript"/>
                <w:lang w:val="en-GB" w:eastAsia="en-US" w:bidi="ar-SA"/>
              </w:rPr>
              <w:t>1R</w:t>
            </w:r>
            <w:r>
              <w:rPr>
                <w:rFonts w:ascii="Times New Roman" w:hAnsi="Times New Roman" w:eastAsia="MS Mincho" w:cs="Times New Roman"/>
                <w:kern w:val="0"/>
                <w:sz w:val="20"/>
                <w:szCs w:val="20"/>
                <w:highlight w:val="none"/>
                <w:lang w:val="en-GB" w:eastAsia="en-US" w:bidi="ar-SA"/>
              </w:rPr>
              <w:t xml:space="preserve"> for other bands and CBW which are not covered by LTE TS 36.101 Table 7.3.1</w:t>
            </w:r>
            <w:r>
              <w:rPr>
                <w:rFonts w:hint="eastAsia" w:ascii="Times New Roman" w:hAnsi="Times New Roman" w:eastAsia="MS Mincho" w:cs="Times New Roman"/>
                <w:kern w:val="0"/>
                <w:sz w:val="20"/>
                <w:szCs w:val="20"/>
                <w:highlight w:val="none"/>
                <w:lang w:val="en-GB" w:eastAsia="zh-CN" w:bidi="ar-SA"/>
              </w:rPr>
              <w:t>E</w:t>
            </w:r>
            <w:r>
              <w:rPr>
                <w:rFonts w:ascii="Times New Roman" w:hAnsi="Times New Roman" w:eastAsia="MS Mincho" w:cs="Times New Roman"/>
                <w:kern w:val="0"/>
                <w:sz w:val="20"/>
                <w:szCs w:val="20"/>
                <w:highlight w:val="none"/>
                <w:lang w:val="en-GB" w:eastAsia="en-US" w:bidi="ar-SA"/>
              </w:rPr>
              <w:t>-1</w:t>
            </w:r>
            <w:r>
              <w:rPr>
                <w:rFonts w:hint="eastAsia" w:ascii="Times New Roman" w:hAnsi="Times New Roman" w:eastAsia="MS Mincho" w:cs="Times New Roman"/>
                <w:kern w:val="0"/>
                <w:sz w:val="20"/>
                <w:szCs w:val="20"/>
                <w:highlight w:val="none"/>
                <w:lang w:val="en-GB" w:eastAsia="zh-CN" w:bidi="ar-SA"/>
              </w:rPr>
              <w:t>A</w:t>
            </w:r>
            <w:r>
              <w:rPr>
                <w:rFonts w:ascii="Times New Roman" w:hAnsi="Times New Roman" w:eastAsia="MS Mincho" w:cs="Times New Roman"/>
                <w:kern w:val="0"/>
                <w:sz w:val="20"/>
                <w:szCs w:val="20"/>
                <w:highlight w:val="none"/>
                <w:lang w:val="en-GB" w:eastAsia="en-US" w:bidi="ar-SA"/>
              </w:rPr>
              <w:t>.</w:t>
            </w:r>
          </w:p>
          <w:p>
            <w:pPr>
              <w:keepNext/>
              <w:keepLines/>
              <w:pageBreakBefore w:val="0"/>
              <w:numPr>
                <w:ilvl w:val="1"/>
                <w:numId w:val="8"/>
              </w:numPr>
              <w:kinsoku/>
              <w:wordWrap/>
              <w:overflowPunct w:val="0"/>
              <w:topLinePunct w:val="0"/>
              <w:autoSpaceDE w:val="0"/>
              <w:autoSpaceDN w:val="0"/>
              <w:bidi w:val="0"/>
              <w:adjustRightInd w:val="0"/>
              <w:spacing w:after="180"/>
              <w:ind w:left="860" w:hanging="440" w:firstLineChars="0"/>
              <w:textAlignment w:val="baseline"/>
              <w:rPr>
                <w:rFonts w:ascii="Times New Roman" w:hAnsi="Times New Roman" w:eastAsia="MS Mincho" w:cs="Times New Roman"/>
                <w:kern w:val="0"/>
                <w:sz w:val="20"/>
                <w:szCs w:val="20"/>
                <w:highlight w:val="none"/>
                <w:lang w:val="en-GB" w:eastAsia="en-US" w:bidi="ar-SA"/>
              </w:rPr>
            </w:pPr>
            <w:r>
              <w:rPr>
                <w:rFonts w:ascii="Times New Roman" w:hAnsi="Times New Roman" w:eastAsia="MS Mincho" w:cs="Times New Roman"/>
                <w:kern w:val="0"/>
                <w:sz w:val="20"/>
                <w:szCs w:val="20"/>
                <w:highlight w:val="none"/>
                <w:lang w:val="en-GB" w:eastAsia="en-US" w:bidi="ar-SA"/>
              </w:rPr>
              <w:t>The format in which the REFSENS is shown in the specs is TBD pending evaluations.</w:t>
            </w:r>
          </w:p>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宋体" w:cs="Times New Roman"/>
                <w:bCs/>
                <w:i/>
                <w:iCs/>
                <w:kern w:val="0"/>
                <w:sz w:val="20"/>
                <w:szCs w:val="20"/>
                <w:highlight w:val="none"/>
                <w:lang w:val="fr-FR" w:eastAsia="en-US"/>
              </w:rPr>
            </w:pPr>
            <w:r>
              <w:rPr>
                <w:rFonts w:hint="eastAsia" w:ascii="Times New Roman" w:hAnsi="Times New Roman" w:eastAsia="等线" w:cs="Times New Roman"/>
                <w:b/>
                <w:bCs/>
                <w:kern w:val="0"/>
                <w:sz w:val="20"/>
                <w:szCs w:val="20"/>
                <w:highlight w:val="none"/>
                <w:lang w:val="sv-SE" w:eastAsia="zh-CN"/>
              </w:rPr>
              <w:t>W</w:t>
            </w:r>
            <w:r>
              <w:rPr>
                <w:rFonts w:ascii="Times New Roman" w:hAnsi="Times New Roman" w:eastAsia="等线" w:cs="Times New Roman"/>
                <w:b/>
                <w:bCs/>
                <w:kern w:val="0"/>
                <w:sz w:val="20"/>
                <w:szCs w:val="20"/>
                <w:highlight w:val="none"/>
                <w:lang w:val="sv-SE" w:eastAsia="zh-CN"/>
              </w:rPr>
              <w:t>ay forward:</w:t>
            </w:r>
            <w:r>
              <w:rPr>
                <w:rFonts w:ascii="Times New Roman" w:hAnsi="Times New Roman" w:eastAsia="等线" w:cs="Times New Roman"/>
                <w:kern w:val="0"/>
                <w:sz w:val="20"/>
                <w:szCs w:val="20"/>
                <w:highlight w:val="none"/>
                <w:lang w:val="sv-SE" w:eastAsia="zh-CN"/>
              </w:rPr>
              <w:t xml:space="preserve"> It is encouraged for companies to provide analysis for option 1 and 2</w:t>
            </w:r>
            <w:r>
              <w:rPr>
                <w:rFonts w:ascii="Times New Roman" w:hAnsi="Times New Roman" w:eastAsia="宋体" w:cs="Times New Roman"/>
                <w:bCs/>
                <w:i/>
                <w:iCs/>
                <w:kern w:val="0"/>
                <w:sz w:val="20"/>
                <w:szCs w:val="20"/>
                <w:highlight w:val="none"/>
                <w:lang w:val="fr-FR" w:eastAsia="en-US"/>
              </w:rPr>
              <w:t xml:space="preserve">. </w:t>
            </w:r>
          </w:p>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hint="eastAsia"/>
                <w:bCs/>
                <w:i w:val="0"/>
                <w:iCs w:val="0"/>
                <w:kern w:val="0"/>
                <w:sz w:val="20"/>
                <w:szCs w:val="20"/>
                <w:highlight w:val="none"/>
                <w:vertAlign w:val="baseline"/>
                <w:lang w:val="en-US" w:eastAsia="zh-CN"/>
              </w:rPr>
            </w:pPr>
            <w:r>
              <w:rPr>
                <w:rFonts w:ascii="Times New Roman" w:hAnsi="Times New Roman" w:eastAsia="宋体" w:cs="Times New Roman"/>
                <w:bCs/>
                <w:i/>
                <w:iCs/>
                <w:kern w:val="0"/>
                <w:sz w:val="20"/>
                <w:szCs w:val="20"/>
                <w:highlight w:val="none"/>
                <w:lang w:val="fr-FR" w:eastAsia="en-US"/>
              </w:rPr>
              <w:t>Note: Companies are encouraged to evaluate all specified PC2 FDD bands. The WI is intended to be completed in May meeting according to WI plan.</w:t>
            </w:r>
          </w:p>
        </w:tc>
      </w:tr>
    </w:tbl>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i w:val="0"/>
          <w:iCs w:val="0"/>
          <w:kern w:val="0"/>
          <w:sz w:val="20"/>
          <w:szCs w:val="20"/>
          <w:highlight w:val="none"/>
          <w:lang w:val="en-US" w:eastAsia="zh-CN"/>
        </w:rPr>
      </w:pP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this contribution, we give some further discussion on PC2 FDD (e)RedCap.</w:t>
      </w:r>
      <w:bookmarkEnd w:id="9"/>
      <w:bookmarkStart w:id="11" w:name="OLE_LINK55"/>
      <w:r>
        <w:rPr>
          <w:rFonts w:hint="eastAsia"/>
          <w:bCs/>
          <w:i w:val="0"/>
          <w:iCs w:val="0"/>
          <w:kern w:val="0"/>
          <w:sz w:val="20"/>
          <w:szCs w:val="20"/>
          <w:highlight w:val="none"/>
          <w:lang w:val="en-US" w:eastAsia="zh-CN"/>
        </w:rPr>
        <w:t xml:space="preserve"> </w:t>
      </w:r>
    </w:p>
    <w:bookmarkEnd w:id="11"/>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0"/>
          <w:szCs w:val="20"/>
          <w:highlight w:val="none"/>
        </w:rPr>
      </w:pPr>
      <w:r>
        <w:rPr>
          <w:b/>
          <w:kern w:val="0"/>
          <w:sz w:val="20"/>
          <w:szCs w:val="20"/>
          <w:highlight w:val="none"/>
        </w:rPr>
        <w:t>2</w:t>
      </w:r>
      <w:r>
        <w:rPr>
          <w:b/>
          <w:kern w:val="0"/>
          <w:sz w:val="20"/>
          <w:szCs w:val="20"/>
          <w:highlight w:val="none"/>
        </w:rPr>
        <w:tab/>
      </w:r>
      <w:r>
        <w:rPr>
          <w:b/>
          <w:kern w:val="0"/>
          <w:sz w:val="20"/>
          <w:szCs w:val="20"/>
          <w:highlight w:val="none"/>
        </w:rPr>
        <w:t>Discussion</w:t>
      </w:r>
    </w:p>
    <w:p>
      <w:pPr>
        <w:keepNext/>
        <w:keepLines/>
        <w:pageBreakBefore w:val="0"/>
        <w:numPr>
          <w:ilvl w:val="-1"/>
          <w:numId w:val="0"/>
        </w:numPr>
        <w:kinsoku/>
        <w:wordWrap/>
        <w:topLinePunct w:val="0"/>
        <w:bidi w:val="0"/>
        <w:snapToGrid/>
        <w:spacing w:after="0"/>
        <w:jc w:val="left"/>
        <w:rPr>
          <w:rFonts w:hint="eastAsia" w:cs="Times New Roman"/>
          <w:i w:val="0"/>
          <w:iCs w:val="0"/>
          <w:kern w:val="0"/>
          <w:sz w:val="20"/>
          <w:lang w:val="en-US" w:eastAsia="zh-CN"/>
        </w:rPr>
      </w:pPr>
      <w:bookmarkStart w:id="12" w:name="OLE_LINK3"/>
      <w:bookmarkStart w:id="13" w:name="OLE_LINK28"/>
      <w:bookmarkStart w:id="14" w:name="OLE_LINK66"/>
      <w:bookmarkStart w:id="15" w:name="OLE_LINK23"/>
      <w:r>
        <w:rPr>
          <w:rFonts w:hint="eastAsia" w:cs="Times New Roman"/>
          <w:i w:val="0"/>
          <w:iCs w:val="0"/>
          <w:kern w:val="0"/>
          <w:sz w:val="20"/>
          <w:lang w:val="en-US" w:eastAsia="zh-CN"/>
        </w:rPr>
        <w:t>The PC2 RF requirements include: UE maximum output power, Tx power tolerance, MPR, A-MPR and RSD requirements if needed.</w:t>
      </w:r>
    </w:p>
    <w:p>
      <w:pPr>
        <w:keepNext/>
        <w:keepLines/>
        <w:pageBreakBefore w:val="0"/>
        <w:numPr>
          <w:ilvl w:val="-1"/>
          <w:numId w:val="0"/>
        </w:numPr>
        <w:kinsoku/>
        <w:wordWrap/>
        <w:topLinePunct w:val="0"/>
        <w:bidi w:val="0"/>
        <w:snapToGrid/>
        <w:spacing w:after="0"/>
        <w:jc w:val="left"/>
        <w:rPr>
          <w:rFonts w:hint="eastAsia" w:cs="Times New Roman"/>
          <w:i w:val="0"/>
          <w:iCs w:val="0"/>
          <w:kern w:val="0"/>
          <w:sz w:val="20"/>
          <w:lang w:val="en-US" w:eastAsia="zh-CN"/>
        </w:rPr>
      </w:pPr>
      <w:r>
        <w:rPr>
          <w:rFonts w:hint="eastAsia" w:cs="Times New Roman"/>
          <w:i w:val="0"/>
          <w:iCs w:val="0"/>
          <w:kern w:val="0"/>
          <w:sz w:val="20"/>
          <w:lang w:val="en-US" w:eastAsia="zh-CN"/>
        </w:rPr>
        <w:t>In terms of the previous discussion, the RF requirements agreements for PC2 1Tx FDD (e)RedCap can be summarized in the Table 1.</w:t>
      </w:r>
    </w:p>
    <w:p>
      <w:pPr>
        <w:keepNext/>
        <w:keepLines/>
        <w:pageBreakBefore w:val="0"/>
        <w:numPr>
          <w:ilvl w:val="-1"/>
          <w:numId w:val="0"/>
        </w:numPr>
        <w:kinsoku/>
        <w:wordWrap/>
        <w:topLinePunct w:val="0"/>
        <w:bidi w:val="0"/>
        <w:snapToGrid/>
        <w:spacing w:after="0"/>
        <w:jc w:val="center"/>
        <w:rPr>
          <w:rFonts w:hint="eastAsia" w:cs="Times New Roman"/>
          <w:i w:val="0"/>
          <w:iCs w:val="0"/>
          <w:kern w:val="0"/>
          <w:sz w:val="20"/>
          <w:lang w:val="en-US" w:eastAsia="zh-CN"/>
        </w:rPr>
      </w:pPr>
      <w:r>
        <w:rPr>
          <w:rFonts w:hint="eastAsia" w:cs="Times New Roman"/>
          <w:i w:val="0"/>
          <w:iCs w:val="0"/>
          <w:kern w:val="0"/>
          <w:sz w:val="20"/>
          <w:lang w:val="en-US" w:eastAsia="zh-CN"/>
        </w:rPr>
        <w:t>Table 1. RF requirements agreements for PC2 1Tx FDD (e)RedCap</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8"/>
        <w:gridCol w:w="3600"/>
        <w:gridCol w:w="4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8" w:type="dxa"/>
            <w:vAlign w:val="center"/>
          </w:tcPr>
          <w:p>
            <w:pPr>
              <w:keepNext/>
              <w:keepLines/>
              <w:pageBreakBefore w:val="0"/>
              <w:widowControl/>
              <w:numPr>
                <w:ilvl w:val="-1"/>
                <w:numId w:val="0"/>
              </w:numPr>
              <w:kinsoku/>
              <w:wordWrap/>
              <w:overflowPunct/>
              <w:topLinePunct w:val="0"/>
              <w:autoSpaceDE/>
              <w:autoSpaceDN/>
              <w:bidi w:val="0"/>
              <w:adjustRightInd/>
              <w:snapToGrid/>
              <w:spacing w:before="60" w:beforeLines="0" w:after="60" w:afterLines="0" w:line="240" w:lineRule="auto"/>
              <w:jc w:val="both"/>
              <w:textAlignment w:val="auto"/>
              <w:rPr>
                <w:rFonts w:hint="eastAsia" w:cs="Times New Roman"/>
                <w:i w:val="0"/>
                <w:iCs w:val="0"/>
                <w:kern w:val="0"/>
                <w:sz w:val="20"/>
                <w:vertAlign w:val="baseline"/>
                <w:lang w:val="en-US" w:eastAsia="zh-CN"/>
              </w:rPr>
            </w:pPr>
          </w:p>
        </w:tc>
        <w:tc>
          <w:tcPr>
            <w:tcW w:w="3600" w:type="dxa"/>
            <w:vAlign w:val="center"/>
          </w:tcPr>
          <w:p>
            <w:pPr>
              <w:keepNext/>
              <w:keepLines/>
              <w:pageBreakBefore w:val="0"/>
              <w:numPr>
                <w:ilvl w:val="-1"/>
                <w:numId w:val="0"/>
              </w:numPr>
              <w:kinsoku/>
              <w:wordWrap/>
              <w:overflowPunct w:val="0"/>
              <w:topLinePunct w:val="0"/>
              <w:autoSpaceDE w:val="0"/>
              <w:autoSpaceDN w:val="0"/>
              <w:bidi w:val="0"/>
              <w:adjustRightInd w:val="0"/>
              <w:snapToGrid/>
              <w:spacing w:before="60" w:beforeLines="0" w:after="60" w:afterLines="0" w:line="240" w:lineRule="auto"/>
              <w:jc w:val="center"/>
              <w:textAlignment w:val="baseline"/>
              <w:rPr>
                <w:rFonts w:hint="default" w:cs="Times New Roman"/>
                <w:i w:val="0"/>
                <w:iCs w:val="0"/>
                <w:kern w:val="0"/>
                <w:sz w:val="20"/>
                <w:vertAlign w:val="baseline"/>
                <w:lang w:val="en-US" w:eastAsia="zh-CN"/>
              </w:rPr>
            </w:pPr>
            <w:r>
              <w:rPr>
                <w:rFonts w:hint="eastAsia" w:cs="Times New Roman"/>
                <w:i w:val="0"/>
                <w:iCs w:val="0"/>
                <w:kern w:val="0"/>
                <w:sz w:val="20"/>
                <w:vertAlign w:val="baseline"/>
                <w:lang w:val="en-US" w:eastAsia="zh-CN"/>
              </w:rPr>
              <w:t>1Tx HD-FDD</w:t>
            </w:r>
          </w:p>
        </w:tc>
        <w:tc>
          <w:tcPr>
            <w:tcW w:w="4098" w:type="dxa"/>
            <w:vAlign w:val="center"/>
          </w:tcPr>
          <w:p>
            <w:pPr>
              <w:keepNext/>
              <w:keepLines/>
              <w:pageBreakBefore w:val="0"/>
              <w:numPr>
                <w:ilvl w:val="-1"/>
                <w:numId w:val="0"/>
              </w:numPr>
              <w:kinsoku/>
              <w:wordWrap/>
              <w:overflowPunct w:val="0"/>
              <w:topLinePunct w:val="0"/>
              <w:autoSpaceDE w:val="0"/>
              <w:autoSpaceDN w:val="0"/>
              <w:bidi w:val="0"/>
              <w:adjustRightInd w:val="0"/>
              <w:snapToGrid/>
              <w:spacing w:before="60" w:beforeLines="0" w:after="60" w:afterLines="0" w:line="240" w:lineRule="auto"/>
              <w:jc w:val="center"/>
              <w:textAlignment w:val="baseline"/>
              <w:rPr>
                <w:rFonts w:hint="default" w:cs="Times New Roman"/>
                <w:i w:val="0"/>
                <w:iCs w:val="0"/>
                <w:kern w:val="0"/>
                <w:sz w:val="20"/>
                <w:vertAlign w:val="baseline"/>
                <w:lang w:val="en-US" w:eastAsia="zh-CN"/>
              </w:rPr>
            </w:pPr>
            <w:r>
              <w:rPr>
                <w:rFonts w:hint="eastAsia" w:cs="Times New Roman"/>
                <w:i w:val="0"/>
                <w:iCs w:val="0"/>
                <w:kern w:val="0"/>
                <w:sz w:val="20"/>
                <w:vertAlign w:val="baseline"/>
                <w:lang w:val="en-US" w:eastAsia="zh-CN"/>
              </w:rPr>
              <w:t>1Tx FD-FDD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8" w:type="dxa"/>
            <w:vAlign w:val="center"/>
          </w:tcPr>
          <w:p>
            <w:pPr>
              <w:keepNext/>
              <w:keepLines/>
              <w:pageBreakBefore w:val="0"/>
              <w:widowControl/>
              <w:numPr>
                <w:ilvl w:val="-1"/>
                <w:numId w:val="0"/>
              </w:numPr>
              <w:kinsoku/>
              <w:wordWrap/>
              <w:overflowPunct/>
              <w:topLinePunct w:val="0"/>
              <w:autoSpaceDE/>
              <w:autoSpaceDN/>
              <w:bidi w:val="0"/>
              <w:adjustRightInd/>
              <w:snapToGrid/>
              <w:spacing w:before="60" w:beforeLines="0" w:after="60" w:afterLines="0" w:line="240" w:lineRule="auto"/>
              <w:jc w:val="both"/>
              <w:textAlignment w:val="auto"/>
              <w:rPr>
                <w:rFonts w:hint="default" w:cs="Times New Roman"/>
                <w:i w:val="0"/>
                <w:iCs w:val="0"/>
                <w:kern w:val="0"/>
                <w:sz w:val="20"/>
                <w:lang w:val="en-US" w:eastAsia="zh-CN"/>
              </w:rPr>
            </w:pPr>
            <w:r>
              <w:rPr>
                <w:rFonts w:hint="eastAsia" w:cs="Times New Roman"/>
                <w:i w:val="0"/>
                <w:iCs w:val="0"/>
                <w:kern w:val="0"/>
                <w:sz w:val="20"/>
                <w:lang w:val="en-US" w:eastAsia="zh-CN"/>
              </w:rPr>
              <w:t>Maximum output power</w:t>
            </w:r>
          </w:p>
          <w:p>
            <w:pPr>
              <w:keepNext/>
              <w:keepLines/>
              <w:pageBreakBefore w:val="0"/>
              <w:widowControl/>
              <w:numPr>
                <w:ilvl w:val="-1"/>
                <w:numId w:val="0"/>
              </w:numPr>
              <w:kinsoku/>
              <w:wordWrap/>
              <w:overflowPunct/>
              <w:topLinePunct w:val="0"/>
              <w:autoSpaceDE/>
              <w:autoSpaceDN/>
              <w:bidi w:val="0"/>
              <w:adjustRightInd/>
              <w:snapToGrid/>
              <w:spacing w:before="60" w:beforeLines="0" w:after="60" w:afterLines="0" w:line="240" w:lineRule="auto"/>
              <w:jc w:val="both"/>
              <w:textAlignment w:val="auto"/>
              <w:rPr>
                <w:rFonts w:hint="eastAsia" w:cs="Times New Roman"/>
                <w:i w:val="0"/>
                <w:iCs w:val="0"/>
                <w:kern w:val="0"/>
                <w:sz w:val="20"/>
                <w:lang w:val="en-US" w:eastAsia="zh-CN"/>
              </w:rPr>
            </w:pPr>
            <w:r>
              <w:rPr>
                <w:rFonts w:hint="eastAsia" w:cs="Times New Roman"/>
                <w:i w:val="0"/>
                <w:iCs w:val="0"/>
                <w:kern w:val="0"/>
                <w:sz w:val="20"/>
                <w:lang w:val="en-US" w:eastAsia="zh-CN"/>
              </w:rPr>
              <w:t>Tx power tolerance</w:t>
            </w:r>
          </w:p>
        </w:tc>
        <w:tc>
          <w:tcPr>
            <w:tcW w:w="7698" w:type="dxa"/>
            <w:gridSpan w:val="2"/>
            <w:vAlign w:val="center"/>
          </w:tcPr>
          <w:p>
            <w:pPr>
              <w:keepNext/>
              <w:keepLines/>
              <w:pageBreakBefore w:val="0"/>
              <w:widowControl/>
              <w:numPr>
                <w:ilvl w:val="-1"/>
                <w:numId w:val="0"/>
              </w:numPr>
              <w:kinsoku/>
              <w:wordWrap/>
              <w:overflowPunct/>
              <w:topLinePunct w:val="0"/>
              <w:autoSpaceDE/>
              <w:autoSpaceDN/>
              <w:bidi w:val="0"/>
              <w:adjustRightInd/>
              <w:snapToGrid/>
              <w:spacing w:before="60" w:beforeLines="0" w:after="60" w:afterLines="0" w:line="240" w:lineRule="auto"/>
              <w:jc w:val="both"/>
              <w:textAlignment w:val="auto"/>
              <w:rPr>
                <w:rFonts w:hint="default" w:cs="Times New Roman"/>
                <w:i w:val="0"/>
                <w:iCs w:val="0"/>
                <w:kern w:val="0"/>
                <w:sz w:val="20"/>
                <w:vertAlign w:val="baseline"/>
                <w:lang w:val="en-US" w:eastAsia="zh-CN"/>
              </w:rPr>
            </w:pPr>
            <w:r>
              <w:rPr>
                <w:rFonts w:hint="eastAsia" w:cs="Times New Roman"/>
                <w:i w:val="0"/>
                <w:iCs w:val="0"/>
                <w:kern w:val="0"/>
                <w:sz w:val="20"/>
                <w:vertAlign w:val="baseline"/>
                <w:lang w:val="en-US" w:eastAsia="zh-CN"/>
              </w:rPr>
              <w:t>Reuse requirements of non-RedCap PC2 FDD band in clause 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8" w:type="dxa"/>
            <w:vAlign w:val="center"/>
          </w:tcPr>
          <w:p>
            <w:pPr>
              <w:keepNext/>
              <w:keepLines/>
              <w:pageBreakBefore w:val="0"/>
              <w:widowControl/>
              <w:numPr>
                <w:ilvl w:val="-1"/>
                <w:numId w:val="0"/>
              </w:numPr>
              <w:kinsoku/>
              <w:wordWrap/>
              <w:overflowPunct/>
              <w:topLinePunct w:val="0"/>
              <w:autoSpaceDE/>
              <w:autoSpaceDN/>
              <w:bidi w:val="0"/>
              <w:adjustRightInd/>
              <w:snapToGrid/>
              <w:spacing w:before="60" w:beforeLines="0" w:after="60" w:afterLines="0" w:line="240" w:lineRule="auto"/>
              <w:jc w:val="both"/>
              <w:textAlignment w:val="auto"/>
              <w:rPr>
                <w:rFonts w:hint="default" w:cs="Times New Roman"/>
                <w:i w:val="0"/>
                <w:iCs w:val="0"/>
                <w:kern w:val="0"/>
                <w:sz w:val="20"/>
                <w:vertAlign w:val="baseline"/>
                <w:lang w:val="en-US" w:eastAsia="zh-CN"/>
              </w:rPr>
            </w:pPr>
            <w:r>
              <w:rPr>
                <w:rFonts w:hint="eastAsia" w:cs="Times New Roman"/>
                <w:i w:val="0"/>
                <w:iCs w:val="0"/>
                <w:kern w:val="0"/>
                <w:sz w:val="20"/>
                <w:lang w:val="en-US" w:eastAsia="zh-CN"/>
              </w:rPr>
              <w:t>MPR/A-MPR</w:t>
            </w:r>
          </w:p>
        </w:tc>
        <w:tc>
          <w:tcPr>
            <w:tcW w:w="7698" w:type="dxa"/>
            <w:gridSpan w:val="2"/>
            <w:vAlign w:val="center"/>
          </w:tcPr>
          <w:p>
            <w:pPr>
              <w:keepNext/>
              <w:keepLines/>
              <w:pageBreakBefore w:val="0"/>
              <w:widowControl/>
              <w:numPr>
                <w:ilvl w:val="-1"/>
                <w:numId w:val="0"/>
              </w:numPr>
              <w:kinsoku/>
              <w:wordWrap/>
              <w:overflowPunct/>
              <w:topLinePunct w:val="0"/>
              <w:autoSpaceDE/>
              <w:autoSpaceDN/>
              <w:bidi w:val="0"/>
              <w:adjustRightInd/>
              <w:snapToGrid/>
              <w:spacing w:before="60" w:beforeLines="0" w:after="60" w:afterLines="0" w:line="240" w:lineRule="auto"/>
              <w:jc w:val="both"/>
              <w:textAlignment w:val="auto"/>
              <w:rPr>
                <w:rFonts w:hint="eastAsia" w:cs="Times New Roman"/>
                <w:i w:val="0"/>
                <w:iCs w:val="0"/>
                <w:kern w:val="0"/>
                <w:sz w:val="20"/>
                <w:vertAlign w:val="baseline"/>
                <w:lang w:val="en-US" w:eastAsia="zh-CN"/>
              </w:rPr>
            </w:pPr>
            <w:r>
              <w:rPr>
                <w:rFonts w:ascii="Times New Roman" w:hAnsi="Times New Roman" w:eastAsia="MS Mincho" w:cs="Times New Roman"/>
                <w:kern w:val="0"/>
                <w:sz w:val="20"/>
                <w:szCs w:val="20"/>
                <w:lang w:val="en-GB" w:eastAsia="en-US" w:bidi="ar-SA"/>
              </w:rPr>
              <w:t>1 Tx MPR/AMPR requirements for FDD PC2 non-RedCap can be reused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8" w:type="dxa"/>
            <w:vAlign w:val="center"/>
          </w:tcPr>
          <w:p>
            <w:pPr>
              <w:keepNext/>
              <w:keepLines/>
              <w:pageBreakBefore w:val="0"/>
              <w:widowControl/>
              <w:numPr>
                <w:ilvl w:val="-1"/>
                <w:numId w:val="0"/>
              </w:numPr>
              <w:kinsoku/>
              <w:wordWrap/>
              <w:overflowPunct/>
              <w:topLinePunct w:val="0"/>
              <w:autoSpaceDE/>
              <w:autoSpaceDN/>
              <w:bidi w:val="0"/>
              <w:adjustRightInd/>
              <w:snapToGrid/>
              <w:spacing w:before="60" w:beforeLines="0" w:after="60" w:afterLines="0" w:line="240" w:lineRule="auto"/>
              <w:jc w:val="both"/>
              <w:textAlignment w:val="auto"/>
              <w:rPr>
                <w:rFonts w:hint="default" w:cs="Times New Roman"/>
                <w:i w:val="0"/>
                <w:iCs w:val="0"/>
                <w:kern w:val="0"/>
                <w:sz w:val="20"/>
                <w:vertAlign w:val="baseline"/>
                <w:lang w:val="en-US" w:eastAsia="zh-CN"/>
              </w:rPr>
            </w:pPr>
            <w:r>
              <w:rPr>
                <w:rFonts w:hint="eastAsia" w:cs="Times New Roman"/>
                <w:i w:val="0"/>
                <w:iCs w:val="0"/>
                <w:kern w:val="0"/>
                <w:sz w:val="20"/>
                <w:vertAlign w:val="baseline"/>
                <w:lang w:val="en-US" w:eastAsia="zh-CN"/>
              </w:rPr>
              <w:t>REFSEN/RSD</w:t>
            </w:r>
          </w:p>
        </w:tc>
        <w:tc>
          <w:tcPr>
            <w:tcW w:w="3600" w:type="dxa"/>
            <w:vAlign w:val="center"/>
          </w:tcPr>
          <w:p>
            <w:pPr>
              <w:keepNext/>
              <w:keepLines/>
              <w:pageBreakBefore w:val="0"/>
              <w:widowControl/>
              <w:numPr>
                <w:ilvl w:val="-1"/>
                <w:numId w:val="0"/>
              </w:numPr>
              <w:kinsoku/>
              <w:wordWrap/>
              <w:overflowPunct/>
              <w:topLinePunct w:val="0"/>
              <w:autoSpaceDE/>
              <w:autoSpaceDN/>
              <w:bidi w:val="0"/>
              <w:adjustRightInd/>
              <w:snapToGrid/>
              <w:spacing w:before="60" w:beforeLines="0" w:after="60" w:afterLines="0" w:line="240" w:lineRule="auto"/>
              <w:jc w:val="both"/>
              <w:textAlignment w:val="auto"/>
              <w:rPr>
                <w:rFonts w:hint="eastAsia" w:cs="Times New Roman"/>
                <w:i w:val="0"/>
                <w:iCs w:val="0"/>
                <w:kern w:val="0"/>
                <w:sz w:val="20"/>
                <w:vertAlign w:val="baseline"/>
                <w:lang w:val="en-US" w:eastAsia="zh-CN"/>
              </w:rPr>
            </w:pPr>
            <w:r>
              <w:rPr>
                <w:rFonts w:hint="eastAsia" w:cs="Times New Roman"/>
                <w:i w:val="0"/>
                <w:iCs w:val="0"/>
                <w:kern w:val="0"/>
                <w:sz w:val="20"/>
                <w:vertAlign w:val="baseline"/>
                <w:lang w:val="en-US" w:eastAsia="zh-CN"/>
              </w:rPr>
              <w:t>For both 1Rx and 2Rx:</w:t>
            </w:r>
          </w:p>
          <w:p>
            <w:pPr>
              <w:keepNext/>
              <w:keepLines/>
              <w:pageBreakBefore w:val="0"/>
              <w:widowControl/>
              <w:numPr>
                <w:ilvl w:val="-1"/>
                <w:numId w:val="0"/>
              </w:numPr>
              <w:kinsoku/>
              <w:wordWrap/>
              <w:overflowPunct/>
              <w:topLinePunct w:val="0"/>
              <w:autoSpaceDE/>
              <w:autoSpaceDN/>
              <w:bidi w:val="0"/>
              <w:adjustRightInd/>
              <w:snapToGrid/>
              <w:spacing w:before="60" w:beforeLines="0" w:after="60" w:afterLines="0" w:line="240" w:lineRule="auto"/>
              <w:jc w:val="both"/>
              <w:textAlignment w:val="auto"/>
              <w:rPr>
                <w:rFonts w:hint="eastAsia" w:eastAsia="宋体" w:cs="Times New Roman"/>
                <w:kern w:val="0"/>
                <w:sz w:val="20"/>
                <w:szCs w:val="20"/>
                <w:lang w:val="en-US" w:eastAsia="zh-CN" w:bidi="ar-SA"/>
              </w:rPr>
            </w:pPr>
            <w:r>
              <w:rPr>
                <w:rFonts w:hint="eastAsia" w:cs="Times New Roman"/>
                <w:i w:val="0"/>
                <w:iCs w:val="0"/>
                <w:kern w:val="0"/>
                <w:sz w:val="20"/>
                <w:vertAlign w:val="baseline"/>
                <w:lang w:val="en-US" w:eastAsia="zh-CN"/>
              </w:rPr>
              <w:t>Reuse REFSEN requirements</w:t>
            </w:r>
            <w:r>
              <w:rPr>
                <w:rFonts w:ascii="Times New Roman" w:hAnsi="Times New Roman" w:eastAsia="MS Mincho" w:cs="Times New Roman"/>
                <w:kern w:val="0"/>
                <w:sz w:val="20"/>
                <w:szCs w:val="20"/>
                <w:lang w:val="en-GB" w:eastAsia="en-US" w:bidi="ar-SA"/>
              </w:rPr>
              <w:t xml:space="preserve"> for RedCap PC3 for HD-FDD in sub-clause 7.3I</w:t>
            </w:r>
            <w:r>
              <w:rPr>
                <w:rFonts w:hint="eastAsia" w:eastAsia="宋体" w:cs="Times New Roman"/>
                <w:kern w:val="0"/>
                <w:sz w:val="20"/>
                <w:szCs w:val="20"/>
                <w:lang w:val="en-US" w:eastAsia="zh-CN" w:bidi="ar-SA"/>
              </w:rPr>
              <w:t xml:space="preserve"> </w:t>
            </w:r>
          </w:p>
          <w:p>
            <w:pPr>
              <w:keepNext/>
              <w:keepLines/>
              <w:pageBreakBefore w:val="0"/>
              <w:widowControl/>
              <w:numPr>
                <w:ilvl w:val="-1"/>
                <w:numId w:val="0"/>
              </w:numPr>
              <w:kinsoku/>
              <w:wordWrap/>
              <w:overflowPunct/>
              <w:topLinePunct w:val="0"/>
              <w:autoSpaceDE/>
              <w:autoSpaceDN/>
              <w:bidi w:val="0"/>
              <w:adjustRightInd/>
              <w:snapToGrid/>
              <w:spacing w:before="60" w:beforeLines="0" w:after="60" w:afterLines="0" w:line="240" w:lineRule="auto"/>
              <w:jc w:val="both"/>
              <w:textAlignment w:val="auto"/>
              <w:rPr>
                <w:rFonts w:hint="default" w:eastAsia="宋体" w:cs="Times New Roman"/>
                <w:i w:val="0"/>
                <w:iCs w:val="0"/>
                <w:kern w:val="0"/>
                <w:sz w:val="20"/>
                <w:vertAlign w:val="baseline"/>
                <w:lang w:val="en-US" w:eastAsia="zh-CN"/>
              </w:rPr>
            </w:pPr>
            <w:r>
              <w:rPr>
                <w:rFonts w:hint="eastAsia" w:eastAsia="宋体" w:cs="Times New Roman"/>
                <w:i w:val="0"/>
                <w:iCs w:val="0"/>
                <w:kern w:val="0"/>
                <w:sz w:val="20"/>
                <w:vertAlign w:val="baseline"/>
                <w:lang w:val="en-US" w:eastAsia="zh-CN"/>
              </w:rPr>
              <w:t>Note: No RSD for HD-FDD</w:t>
            </w:r>
          </w:p>
        </w:tc>
        <w:tc>
          <w:tcPr>
            <w:tcW w:w="4098" w:type="dxa"/>
            <w:vAlign w:val="center"/>
          </w:tcPr>
          <w:p>
            <w:pPr>
              <w:keepNext/>
              <w:keepLines/>
              <w:pageBreakBefore w:val="0"/>
              <w:widowControl/>
              <w:numPr>
                <w:ilvl w:val="-1"/>
                <w:numId w:val="0"/>
              </w:numPr>
              <w:kinsoku/>
              <w:wordWrap/>
              <w:overflowPunct/>
              <w:topLinePunct w:val="0"/>
              <w:autoSpaceDE/>
              <w:autoSpaceDN/>
              <w:bidi w:val="0"/>
              <w:adjustRightInd/>
              <w:snapToGrid/>
              <w:spacing w:before="60" w:beforeLines="0" w:after="60" w:afterLines="0" w:line="240" w:lineRule="auto"/>
              <w:jc w:val="both"/>
              <w:textAlignment w:val="auto"/>
              <w:rPr>
                <w:rFonts w:hint="eastAsia" w:cs="Times New Roman"/>
                <w:i w:val="0"/>
                <w:iCs w:val="0"/>
                <w:kern w:val="0"/>
                <w:sz w:val="20"/>
                <w:highlight w:val="yellow"/>
                <w:vertAlign w:val="baseline"/>
                <w:lang w:val="en-US" w:eastAsia="zh-CN"/>
              </w:rPr>
            </w:pPr>
            <w:r>
              <w:rPr>
                <w:rFonts w:hint="eastAsia" w:cs="Times New Roman"/>
                <w:i w:val="0"/>
                <w:iCs w:val="0"/>
                <w:kern w:val="0"/>
                <w:sz w:val="20"/>
                <w:highlight w:val="yellow"/>
                <w:vertAlign w:val="baseline"/>
                <w:lang w:val="en-US" w:eastAsia="zh-CN"/>
              </w:rPr>
              <w:t>1Rx: FFS</w:t>
            </w:r>
          </w:p>
          <w:p>
            <w:pPr>
              <w:keepNext/>
              <w:keepLines/>
              <w:pageBreakBefore w:val="0"/>
              <w:widowControl/>
              <w:numPr>
                <w:ilvl w:val="-1"/>
                <w:numId w:val="0"/>
              </w:numPr>
              <w:kinsoku/>
              <w:wordWrap/>
              <w:overflowPunct/>
              <w:topLinePunct w:val="0"/>
              <w:autoSpaceDE/>
              <w:autoSpaceDN/>
              <w:bidi w:val="0"/>
              <w:adjustRightInd/>
              <w:snapToGrid/>
              <w:spacing w:before="60" w:beforeLines="0" w:after="60" w:afterLines="0" w:line="240" w:lineRule="auto"/>
              <w:jc w:val="both"/>
              <w:textAlignment w:val="auto"/>
              <w:rPr>
                <w:rFonts w:hint="default" w:eastAsia="宋体" w:cs="Times New Roman"/>
                <w:i w:val="0"/>
                <w:iCs w:val="0"/>
                <w:kern w:val="0"/>
                <w:sz w:val="20"/>
                <w:vertAlign w:val="baseline"/>
                <w:lang w:val="en-US" w:eastAsia="zh-CN"/>
              </w:rPr>
            </w:pPr>
            <w:r>
              <w:rPr>
                <w:rFonts w:hint="eastAsia" w:cs="Times New Roman"/>
                <w:i w:val="0"/>
                <w:iCs w:val="0"/>
                <w:kern w:val="0"/>
                <w:sz w:val="20"/>
                <w:vertAlign w:val="baseline"/>
                <w:lang w:val="en-US" w:eastAsia="zh-CN"/>
              </w:rPr>
              <w:t xml:space="preserve">2Rx: RSD is reused from 1Tx/2Rx </w:t>
            </w:r>
            <w:r>
              <w:rPr>
                <w:rFonts w:ascii="Times New Roman" w:hAnsi="Times New Roman" w:eastAsia="MS Mincho" w:cs="Times New Roman"/>
                <w:kern w:val="0"/>
                <w:sz w:val="20"/>
                <w:szCs w:val="20"/>
                <w:lang w:val="en-GB" w:eastAsia="en-US" w:bidi="ar-SA"/>
              </w:rPr>
              <w:t>non-Redcap UE</w:t>
            </w:r>
            <w:r>
              <w:rPr>
                <w:rFonts w:hint="eastAsia" w:eastAsia="宋体" w:cs="Times New Roman"/>
                <w:kern w:val="0"/>
                <w:sz w:val="20"/>
                <w:szCs w:val="20"/>
                <w:lang w:val="en-US" w:eastAsia="zh-CN" w:bidi="ar-SA"/>
              </w:rPr>
              <w:t xml:space="preserve"> PC2 FDD in </w:t>
            </w:r>
            <w:r>
              <w:rPr>
                <w:rFonts w:ascii="Times New Roman" w:hAnsi="Times New Roman" w:eastAsia="MS Mincho" w:cs="Times New Roman"/>
                <w:kern w:val="0"/>
                <w:sz w:val="20"/>
                <w:szCs w:val="20"/>
                <w:lang w:val="en-GB" w:eastAsia="en-US" w:bidi="ar-SA"/>
              </w:rPr>
              <w:t>Table 7.3.2-1c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8" w:type="dxa"/>
            <w:vAlign w:val="center"/>
          </w:tcPr>
          <w:p>
            <w:pPr>
              <w:keepNext/>
              <w:keepLines/>
              <w:pageBreakBefore w:val="0"/>
              <w:widowControl/>
              <w:numPr>
                <w:ilvl w:val="-1"/>
                <w:numId w:val="0"/>
              </w:numPr>
              <w:kinsoku/>
              <w:wordWrap/>
              <w:overflowPunct/>
              <w:topLinePunct w:val="0"/>
              <w:autoSpaceDE/>
              <w:autoSpaceDN/>
              <w:bidi w:val="0"/>
              <w:adjustRightInd/>
              <w:snapToGrid/>
              <w:spacing w:before="60" w:beforeLines="0" w:after="60" w:afterLines="0" w:line="240" w:lineRule="auto"/>
              <w:jc w:val="both"/>
              <w:textAlignment w:val="auto"/>
              <w:rPr>
                <w:rFonts w:hint="default" w:cs="Times New Roman"/>
                <w:i w:val="0"/>
                <w:iCs w:val="0"/>
                <w:kern w:val="0"/>
                <w:sz w:val="20"/>
                <w:vertAlign w:val="baseline"/>
                <w:lang w:val="en-US" w:eastAsia="zh-CN"/>
              </w:rPr>
            </w:pPr>
            <w:r>
              <w:rPr>
                <w:rFonts w:hint="eastAsia" w:cs="Times New Roman"/>
                <w:i w:val="0"/>
                <w:iCs w:val="0"/>
                <w:kern w:val="0"/>
                <w:sz w:val="20"/>
                <w:vertAlign w:val="baseline"/>
                <w:lang w:val="en-US" w:eastAsia="zh-CN"/>
              </w:rPr>
              <w:t>Other requirements</w:t>
            </w:r>
          </w:p>
        </w:tc>
        <w:tc>
          <w:tcPr>
            <w:tcW w:w="7698" w:type="dxa"/>
            <w:gridSpan w:val="2"/>
            <w:vAlign w:val="center"/>
          </w:tcPr>
          <w:p>
            <w:pPr>
              <w:keepNext/>
              <w:keepLines/>
              <w:pageBreakBefore w:val="0"/>
              <w:widowControl/>
              <w:numPr>
                <w:ilvl w:val="-1"/>
                <w:numId w:val="0"/>
              </w:numPr>
              <w:kinsoku/>
              <w:wordWrap/>
              <w:overflowPunct/>
              <w:topLinePunct w:val="0"/>
              <w:autoSpaceDE/>
              <w:autoSpaceDN/>
              <w:bidi w:val="0"/>
              <w:adjustRightInd/>
              <w:snapToGrid/>
              <w:spacing w:before="60" w:beforeLines="0" w:after="60" w:afterLines="0" w:line="240" w:lineRule="auto"/>
              <w:jc w:val="center"/>
              <w:textAlignment w:val="auto"/>
              <w:rPr>
                <w:rFonts w:hint="default" w:cs="Times New Roman"/>
                <w:i w:val="0"/>
                <w:iCs w:val="0"/>
                <w:kern w:val="0"/>
                <w:sz w:val="20"/>
                <w:vertAlign w:val="baseline"/>
                <w:lang w:val="en-US" w:eastAsia="zh-CN"/>
              </w:rPr>
            </w:pPr>
            <w:r>
              <w:rPr>
                <w:rFonts w:hint="eastAsia" w:cs="Times New Roman"/>
                <w:i w:val="0"/>
                <w:iCs w:val="0"/>
                <w:kern w:val="0"/>
                <w:sz w:val="20"/>
                <w:vertAlign w:val="baseline"/>
                <w:lang w:val="en-US" w:eastAsia="zh-CN"/>
              </w:rPr>
              <w:t>No impact</w:t>
            </w:r>
          </w:p>
        </w:tc>
      </w:tr>
    </w:tbl>
    <w:p>
      <w:pPr>
        <w:keepNext/>
        <w:keepLines/>
        <w:pageBreakBefore w:val="0"/>
        <w:kinsoku/>
        <w:wordWrap/>
        <w:topLinePunct w:val="0"/>
        <w:bidi w:val="0"/>
        <w:rPr>
          <w:rFonts w:hint="default" w:eastAsia="宋体"/>
          <w:sz w:val="20"/>
          <w:szCs w:val="20"/>
          <w:lang w:val="en-US" w:eastAsia="zh-CN"/>
        </w:rPr>
      </w:pPr>
      <w:r>
        <w:rPr>
          <w:rFonts w:hint="eastAsia" w:cs="Times New Roman"/>
          <w:i w:val="0"/>
          <w:iCs w:val="0"/>
          <w:kern w:val="0"/>
          <w:sz w:val="20"/>
          <w:lang w:val="en-US" w:eastAsia="zh-CN"/>
        </w:rPr>
        <w:t xml:space="preserve">For PC2 HD-FDD (e)RedCap UE, there are no new RF requirements defined, and the existing requirements are reused. In other words, </w:t>
      </w:r>
      <w:r>
        <w:rPr>
          <w:rFonts w:eastAsia="宋体"/>
          <w:sz w:val="20"/>
          <w:szCs w:val="20"/>
          <w:lang w:eastAsia="zh-CN"/>
        </w:rPr>
        <w:t xml:space="preserve">PC2 </w:t>
      </w:r>
      <w:r>
        <w:rPr>
          <w:rFonts w:hint="eastAsia"/>
          <w:sz w:val="20"/>
          <w:szCs w:val="20"/>
          <w:lang w:val="en-US" w:eastAsia="zh-CN"/>
        </w:rPr>
        <w:t>(e)</w:t>
      </w:r>
      <w:r>
        <w:rPr>
          <w:rFonts w:eastAsia="宋体"/>
          <w:sz w:val="20"/>
          <w:szCs w:val="20"/>
          <w:lang w:eastAsia="zh-CN"/>
        </w:rPr>
        <w:t>RedCap requirements</w:t>
      </w:r>
      <w:r>
        <w:rPr>
          <w:rFonts w:hint="eastAsia" w:eastAsia="宋体"/>
          <w:sz w:val="20"/>
          <w:szCs w:val="20"/>
          <w:lang w:eastAsia="zh-CN"/>
        </w:rPr>
        <w:t xml:space="preserve"> can be specified</w:t>
      </w:r>
      <w:r>
        <w:rPr>
          <w:rFonts w:eastAsia="宋体"/>
          <w:sz w:val="20"/>
          <w:szCs w:val="20"/>
          <w:lang w:eastAsia="zh-CN"/>
        </w:rPr>
        <w:t xml:space="preserve"> in the band agnostic </w:t>
      </w:r>
      <w:r>
        <w:rPr>
          <w:rFonts w:hint="eastAsia"/>
          <w:sz w:val="20"/>
          <w:szCs w:val="20"/>
          <w:lang w:val="en-US" w:eastAsia="zh-CN"/>
        </w:rPr>
        <w:t xml:space="preserve">for </w:t>
      </w:r>
      <w:r>
        <w:rPr>
          <w:rFonts w:eastAsia="宋体"/>
          <w:sz w:val="20"/>
          <w:szCs w:val="20"/>
          <w:lang w:eastAsia="zh-CN"/>
        </w:rPr>
        <w:t>HD-FD</w:t>
      </w:r>
      <w:r>
        <w:rPr>
          <w:rFonts w:hint="eastAsia" w:eastAsia="宋体"/>
          <w:sz w:val="20"/>
          <w:szCs w:val="20"/>
          <w:lang w:eastAsia="zh-CN"/>
        </w:rPr>
        <w:t>D</w:t>
      </w:r>
      <w:r>
        <w:rPr>
          <w:rFonts w:hint="eastAsia"/>
          <w:sz w:val="20"/>
          <w:szCs w:val="20"/>
          <w:lang w:val="en-US" w:eastAsia="zh-CN"/>
        </w:rPr>
        <w:t xml:space="preserve">. </w:t>
      </w:r>
      <w:r>
        <w:rPr>
          <w:rFonts w:hint="eastAsia" w:cs="Times New Roman"/>
          <w:i w:val="0"/>
          <w:iCs w:val="0"/>
          <w:kern w:val="0"/>
          <w:sz w:val="20"/>
          <w:lang w:val="en-US" w:eastAsia="zh-CN"/>
        </w:rPr>
        <w:t>The only additional work for 1Tx FDD PC2 (e)RedCap UEs is to develop RSD for 1Rx/1Tx FD-FDD case.</w:t>
      </w:r>
    </w:p>
    <w:p>
      <w:pPr>
        <w:pStyle w:val="62"/>
        <w:keepNext/>
        <w:keepLines/>
        <w:pageBreakBefore w:val="0"/>
        <w:widowControl w:val="0"/>
        <w:suppressLineNumbers w:val="0"/>
        <w:kinsoku/>
        <w:wordWrap/>
        <w:topLinePunct w:val="0"/>
        <w:bidi w:val="0"/>
        <w:spacing w:before="120" w:after="120" w:line="240" w:lineRule="auto"/>
        <w:ind w:left="0" w:firstLine="0"/>
        <w:jc w:val="left"/>
        <w:rPr>
          <w:rFonts w:hint="eastAsia" w:cs="Times New Roman"/>
          <w:kern w:val="0"/>
          <w:sz w:val="20"/>
          <w:szCs w:val="20"/>
          <w:highlight w:val="none"/>
          <w:lang w:val="en-US" w:eastAsia="zh-CN"/>
        </w:rPr>
      </w:pPr>
      <w:r>
        <w:rPr>
          <w:rFonts w:hint="eastAsia" w:cs="Times New Roman"/>
          <w:i w:val="0"/>
          <w:iCs w:val="0"/>
          <w:kern w:val="0"/>
          <w:sz w:val="20"/>
          <w:vertAlign w:val="baseline"/>
          <w:lang w:val="en-US" w:eastAsia="zh-CN"/>
        </w:rPr>
        <w:t xml:space="preserve">For the two options in the WF, the formats of </w:t>
      </w:r>
      <w:r>
        <w:rPr>
          <w:rFonts w:hint="eastAsia" w:ascii="Times New Roman" w:hAnsi="Times New Roman" w:eastAsia="MS Mincho" w:cs="Times New Roman"/>
          <w:kern w:val="0"/>
          <w:sz w:val="20"/>
          <w:szCs w:val="20"/>
          <w:highlight w:val="none"/>
          <w:lang w:val="en-GB" w:eastAsia="en-US" w:bidi="ar-SA"/>
        </w:rPr>
        <w:t>R</w:t>
      </w:r>
      <w:r>
        <w:rPr>
          <w:rFonts w:ascii="Times New Roman" w:hAnsi="Times New Roman" w:eastAsia="MS Mincho" w:cs="Times New Roman"/>
          <w:kern w:val="0"/>
          <w:sz w:val="20"/>
          <w:szCs w:val="20"/>
          <w:highlight w:val="none"/>
          <w:lang w:val="en-GB" w:eastAsia="en-US" w:bidi="ar-SA"/>
        </w:rPr>
        <w:t>EFSENS (</w:t>
      </w:r>
      <w:r>
        <w:rPr>
          <w:rFonts w:hint="eastAsia" w:ascii="Times New Roman" w:hAnsi="Times New Roman" w:eastAsia="MS Mincho" w:cs="Times New Roman"/>
          <w:kern w:val="0"/>
          <w:sz w:val="20"/>
          <w:szCs w:val="20"/>
          <w:highlight w:val="none"/>
          <w:lang w:val="en-GB" w:eastAsia="en-US" w:bidi="ar-SA"/>
        </w:rPr>
        <w:t>1</w:t>
      </w:r>
      <w:r>
        <w:rPr>
          <w:rFonts w:ascii="Times New Roman" w:hAnsi="Times New Roman" w:eastAsia="MS Mincho" w:cs="Times New Roman"/>
          <w:kern w:val="0"/>
          <w:sz w:val="20"/>
          <w:szCs w:val="20"/>
          <w:highlight w:val="none"/>
          <w:lang w:val="en-GB" w:eastAsia="en-US" w:bidi="ar-SA"/>
        </w:rPr>
        <w:t>Tx (26dBm) /2Rx) + ΔR</w:t>
      </w:r>
      <w:r>
        <w:rPr>
          <w:rFonts w:ascii="Times New Roman" w:hAnsi="Times New Roman" w:eastAsia="MS Mincho" w:cs="Times New Roman"/>
          <w:kern w:val="0"/>
          <w:sz w:val="20"/>
          <w:szCs w:val="20"/>
          <w:highlight w:val="none"/>
          <w:vertAlign w:val="subscript"/>
          <w:lang w:val="en-GB" w:eastAsia="en-US" w:bidi="ar-SA"/>
        </w:rPr>
        <w:t>1R</w:t>
      </w:r>
      <w:r>
        <w:rPr>
          <w:rFonts w:hint="eastAsia" w:eastAsia="宋体" w:cs="Times New Roman"/>
          <w:kern w:val="0"/>
          <w:sz w:val="20"/>
          <w:szCs w:val="20"/>
          <w:highlight w:val="none"/>
          <w:vertAlign w:val="subscript"/>
          <w:lang w:val="en-US" w:eastAsia="zh-CN" w:bidi="ar-SA"/>
        </w:rPr>
        <w:t xml:space="preserve"> </w:t>
      </w:r>
      <w:r>
        <w:rPr>
          <w:rFonts w:hint="eastAsia" w:eastAsia="宋体" w:cs="Times New Roman"/>
          <w:kern w:val="0"/>
          <w:sz w:val="20"/>
          <w:szCs w:val="20"/>
          <w:highlight w:val="none"/>
          <w:vertAlign w:val="baseline"/>
          <w:lang w:val="en-US" w:eastAsia="zh-CN" w:bidi="ar-SA"/>
        </w:rPr>
        <w:t>are used to</w:t>
      </w:r>
      <w:r>
        <w:rPr>
          <w:rFonts w:ascii="Times New Roman" w:hAnsi="Times New Roman" w:eastAsia="宋体" w:cs="Times New Roman"/>
          <w:kern w:val="0"/>
          <w:sz w:val="20"/>
          <w:szCs w:val="20"/>
          <w:highlight w:val="none"/>
          <w:lang w:val="en-GB" w:eastAsia="en-US"/>
        </w:rPr>
        <w:t xml:space="preserve"> specify</w:t>
      </w:r>
      <w:r>
        <w:rPr>
          <w:rFonts w:hint="eastAsia" w:cs="Times New Roman"/>
          <w:kern w:val="0"/>
          <w:sz w:val="20"/>
          <w:szCs w:val="20"/>
          <w:highlight w:val="none"/>
          <w:lang w:val="en-US" w:eastAsia="zh-CN"/>
        </w:rPr>
        <w:t xml:space="preserve"> the</w:t>
      </w:r>
      <w:r>
        <w:rPr>
          <w:rFonts w:ascii="Times New Roman" w:hAnsi="Times New Roman" w:eastAsia="宋体" w:cs="Times New Roman"/>
          <w:kern w:val="0"/>
          <w:sz w:val="20"/>
          <w:szCs w:val="20"/>
          <w:highlight w:val="none"/>
          <w:lang w:val="en-GB" w:eastAsia="en-US"/>
        </w:rPr>
        <w:t xml:space="preserve"> REFSENS for 1Rx PC2 RedCap in FD-FDD</w:t>
      </w:r>
      <w:r>
        <w:rPr>
          <w:rFonts w:hint="eastAsia" w:cs="Times New Roman"/>
          <w:kern w:val="0"/>
          <w:sz w:val="20"/>
          <w:szCs w:val="20"/>
          <w:highlight w:val="none"/>
          <w:lang w:val="en-US" w:eastAsia="zh-CN"/>
        </w:rPr>
        <w:t xml:space="preserve">. </w:t>
      </w:r>
    </w:p>
    <w:p>
      <w:pPr>
        <w:pStyle w:val="62"/>
        <w:keepNext/>
        <w:keepLines/>
        <w:pageBreakBefore w:val="0"/>
        <w:widowControl w:val="0"/>
        <w:suppressLineNumbers w:val="0"/>
        <w:kinsoku/>
        <w:wordWrap/>
        <w:topLinePunct w:val="0"/>
        <w:bidi w:val="0"/>
        <w:spacing w:before="120" w:after="120" w:line="240" w:lineRule="auto"/>
        <w:ind w:left="0" w:firstLine="0"/>
        <w:jc w:val="left"/>
        <w:rPr>
          <w:rFonts w:hint="eastAsia" w:cs="Times New Roman"/>
          <w:kern w:val="0"/>
          <w:sz w:val="20"/>
          <w:szCs w:val="20"/>
          <w:highlight w:val="none"/>
          <w:lang w:val="en-US" w:eastAsia="zh-CN"/>
        </w:rPr>
      </w:pPr>
      <w:r>
        <w:rPr>
          <w:rFonts w:hint="eastAsia" w:cs="Times New Roman"/>
          <w:kern w:val="0"/>
          <w:sz w:val="20"/>
          <w:szCs w:val="20"/>
          <w:highlight w:val="none"/>
          <w:lang w:val="en-US" w:eastAsia="zh-CN"/>
        </w:rPr>
        <w:t xml:space="preserve">For option 2, </w:t>
      </w:r>
      <w:r>
        <w:rPr>
          <w:rFonts w:hint="default" w:ascii="Times New Roman" w:hAnsi="Times New Roman" w:cs="Times New Roman"/>
          <w:kern w:val="0"/>
          <w:sz w:val="20"/>
          <w:szCs w:val="20"/>
          <w:highlight w:val="none"/>
          <w:lang w:val="en-US" w:eastAsia="zh-CN"/>
        </w:rPr>
        <w:t>Δ</w:t>
      </w:r>
      <w:r>
        <w:rPr>
          <w:rFonts w:hint="eastAsia" w:cs="Times New Roman"/>
          <w:kern w:val="0"/>
          <w:sz w:val="20"/>
          <w:szCs w:val="20"/>
          <w:highlight w:val="none"/>
          <w:lang w:val="en-US" w:eastAsia="zh-CN"/>
        </w:rPr>
        <w:t>R</w:t>
      </w:r>
      <w:r>
        <w:rPr>
          <w:rFonts w:hint="eastAsia" w:cs="Times New Roman"/>
          <w:kern w:val="0"/>
          <w:sz w:val="20"/>
          <w:szCs w:val="20"/>
          <w:highlight w:val="none"/>
          <w:vertAlign w:val="subscript"/>
          <w:lang w:val="en-US" w:eastAsia="zh-CN"/>
        </w:rPr>
        <w:t>1R</w:t>
      </w:r>
      <w:r>
        <w:rPr>
          <w:rFonts w:hint="eastAsia" w:cs="Times New Roman"/>
          <w:kern w:val="0"/>
          <w:sz w:val="20"/>
          <w:szCs w:val="20"/>
          <w:highlight w:val="none"/>
          <w:lang w:val="en-US" w:eastAsia="zh-CN"/>
        </w:rPr>
        <w:t xml:space="preserve"> is calculated by comparing the REFSESN specified in TS 36.101 Table 7.3.1E-1A with TS 36.101 Table 7.3.1 shown in table 1.</w:t>
      </w:r>
    </w:p>
    <w:p>
      <w:pPr>
        <w:pStyle w:val="62"/>
        <w:keepNext/>
        <w:keepLines/>
        <w:pageBreakBefore w:val="0"/>
        <w:widowControl w:val="0"/>
        <w:suppressLineNumbers w:val="0"/>
        <w:kinsoku/>
        <w:wordWrap/>
        <w:topLinePunct w:val="0"/>
        <w:bidi w:val="0"/>
        <w:spacing w:before="120" w:after="120" w:line="240" w:lineRule="auto"/>
        <w:ind w:left="0" w:firstLine="420"/>
        <w:jc w:val="center"/>
        <w:rPr>
          <w:rFonts w:hint="default" w:cs="Times New Roman"/>
          <w:kern w:val="0"/>
          <w:sz w:val="20"/>
          <w:szCs w:val="20"/>
          <w:highlight w:val="none"/>
          <w:lang w:val="en-US" w:eastAsia="zh-CN"/>
        </w:rPr>
      </w:pPr>
      <w:r>
        <w:rPr>
          <w:rFonts w:hint="eastAsia" w:cs="Times New Roman"/>
          <w:kern w:val="0"/>
          <w:sz w:val="20"/>
          <w:szCs w:val="20"/>
          <w:highlight w:val="none"/>
          <w:lang w:val="en-US" w:eastAsia="zh-CN"/>
        </w:rPr>
        <w:t xml:space="preserve">Table 1: </w:t>
      </w:r>
      <w:r>
        <w:rPr>
          <w:rFonts w:hint="default" w:ascii="Times New Roman" w:hAnsi="Times New Roman" w:cs="Times New Roman"/>
          <w:kern w:val="0"/>
          <w:sz w:val="20"/>
          <w:szCs w:val="20"/>
          <w:highlight w:val="none"/>
          <w:lang w:val="en-US" w:eastAsia="zh-CN"/>
        </w:rPr>
        <w:t>Δ</w:t>
      </w:r>
      <w:r>
        <w:rPr>
          <w:rFonts w:hint="eastAsia" w:cs="Times New Roman"/>
          <w:kern w:val="0"/>
          <w:sz w:val="20"/>
          <w:szCs w:val="20"/>
          <w:highlight w:val="none"/>
          <w:lang w:val="en-US" w:eastAsia="zh-CN"/>
        </w:rPr>
        <w:t>R</w:t>
      </w:r>
      <w:r>
        <w:rPr>
          <w:rFonts w:hint="eastAsia" w:cs="Times New Roman"/>
          <w:kern w:val="0"/>
          <w:sz w:val="20"/>
          <w:szCs w:val="20"/>
          <w:highlight w:val="none"/>
          <w:vertAlign w:val="subscript"/>
          <w:lang w:val="en-US" w:eastAsia="zh-CN"/>
        </w:rPr>
        <w:t>1R</w:t>
      </w:r>
      <w:r>
        <w:rPr>
          <w:rFonts w:hint="eastAsia" w:cs="Times New Roman"/>
          <w:kern w:val="0"/>
          <w:sz w:val="20"/>
          <w:szCs w:val="20"/>
          <w:highlight w:val="none"/>
          <w:lang w:val="en-US" w:eastAsia="zh-CN"/>
        </w:rPr>
        <w:t xml:space="preserve"> for LTE </w:t>
      </w:r>
      <w:r>
        <w:rPr>
          <w:snapToGrid w:val="0"/>
        </w:rPr>
        <w:t>category 0</w:t>
      </w:r>
    </w:p>
    <w:tbl>
      <w:tblPr>
        <w:tblStyle w:val="22"/>
        <w:tblW w:w="6240" w:type="dxa"/>
        <w:jc w:val="center"/>
        <w:shd w:val="clear" w:color="auto" w:fill="auto"/>
        <w:tblLayout w:type="autofit"/>
        <w:tblCellMar>
          <w:top w:w="0" w:type="dxa"/>
          <w:left w:w="108" w:type="dxa"/>
          <w:bottom w:w="0" w:type="dxa"/>
          <w:right w:w="108" w:type="dxa"/>
        </w:tblCellMar>
      </w:tblPr>
      <w:tblGrid>
        <w:gridCol w:w="1788"/>
        <w:gridCol w:w="1212"/>
        <w:gridCol w:w="1080"/>
        <w:gridCol w:w="1080"/>
        <w:gridCol w:w="1080"/>
      </w:tblGrid>
      <w:tr>
        <w:tblPrEx>
          <w:tblCellMar>
            <w:top w:w="0" w:type="dxa"/>
            <w:left w:w="108" w:type="dxa"/>
            <w:bottom w:w="0" w:type="dxa"/>
            <w:right w:w="108" w:type="dxa"/>
          </w:tblCellMar>
        </w:tblPrEx>
        <w:trPr>
          <w:trHeight w:val="360" w:hRule="atLeast"/>
          <w:jc w:val="center"/>
        </w:trPr>
        <w:tc>
          <w:tcPr>
            <w:tcW w:w="1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E-UTRA Band</w:t>
            </w:r>
          </w:p>
        </w:tc>
        <w:tc>
          <w:tcPr>
            <w:tcW w:w="44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Channel bandwidth (MHz)</w:t>
            </w:r>
          </w:p>
        </w:tc>
      </w:tr>
      <w:tr>
        <w:tblPrEx>
          <w:shd w:val="clear" w:color="auto" w:fill="auto"/>
          <w:tblCellMar>
            <w:top w:w="0" w:type="dxa"/>
            <w:left w:w="108" w:type="dxa"/>
            <w:bottom w:w="0" w:type="dxa"/>
            <w:right w:w="108" w:type="dxa"/>
          </w:tblCellMar>
        </w:tblPrEx>
        <w:trPr>
          <w:trHeight w:val="312" w:hRule="atLeast"/>
          <w:jc w:val="center"/>
        </w:trPr>
        <w:tc>
          <w:tcPr>
            <w:tcW w:w="1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b/>
                <w:bCs/>
                <w:i w:val="0"/>
                <w:iCs w:val="0"/>
                <w:color w:val="000000"/>
                <w:sz w:val="18"/>
                <w:szCs w:val="18"/>
                <w:u w:val="none"/>
              </w:rPr>
            </w:pP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5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10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15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20 MHz</w:t>
            </w:r>
          </w:p>
        </w:tc>
      </w:tr>
      <w:tr>
        <w:tblPrEx>
          <w:tblCellMar>
            <w:top w:w="0" w:type="dxa"/>
            <w:left w:w="108" w:type="dxa"/>
            <w:bottom w:w="0" w:type="dxa"/>
            <w:right w:w="108" w:type="dxa"/>
          </w:tblCellMar>
        </w:tblPrEx>
        <w:trPr>
          <w:trHeight w:val="312" w:hRule="atLeast"/>
          <w:jc w:val="center"/>
        </w:trPr>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r>
      <w:tr>
        <w:tblPrEx>
          <w:tblCellMar>
            <w:top w:w="0" w:type="dxa"/>
            <w:left w:w="108" w:type="dxa"/>
            <w:bottom w:w="0" w:type="dxa"/>
            <w:right w:w="108" w:type="dxa"/>
          </w:tblCellMar>
        </w:tblPrEx>
        <w:trPr>
          <w:trHeight w:val="312" w:hRule="atLeast"/>
          <w:jc w:val="center"/>
        </w:trPr>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r>
      <w:tr>
        <w:tblPrEx>
          <w:tblCellMar>
            <w:top w:w="0" w:type="dxa"/>
            <w:left w:w="108" w:type="dxa"/>
            <w:bottom w:w="0" w:type="dxa"/>
            <w:right w:w="108" w:type="dxa"/>
          </w:tblCellMar>
        </w:tblPrEx>
        <w:trPr>
          <w:trHeight w:val="312" w:hRule="atLeast"/>
          <w:jc w:val="center"/>
        </w:trPr>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r>
      <w:tr>
        <w:tblPrEx>
          <w:tblCellMar>
            <w:top w:w="0" w:type="dxa"/>
            <w:left w:w="108" w:type="dxa"/>
            <w:bottom w:w="0" w:type="dxa"/>
            <w:right w:w="108" w:type="dxa"/>
          </w:tblCellMar>
        </w:tblPrEx>
        <w:trPr>
          <w:trHeight w:val="312" w:hRule="atLeast"/>
          <w:jc w:val="center"/>
        </w:trPr>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r>
      <w:tr>
        <w:tblPrEx>
          <w:tblCellMar>
            <w:top w:w="0" w:type="dxa"/>
            <w:left w:w="108" w:type="dxa"/>
            <w:bottom w:w="0" w:type="dxa"/>
            <w:right w:w="108" w:type="dxa"/>
          </w:tblCellMar>
        </w:tblPrEx>
        <w:trPr>
          <w:trHeight w:val="312" w:hRule="atLeast"/>
          <w:jc w:val="center"/>
        </w:trPr>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13</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r>
      <w:tr>
        <w:tblPrEx>
          <w:tblCellMar>
            <w:top w:w="0" w:type="dxa"/>
            <w:left w:w="108" w:type="dxa"/>
            <w:bottom w:w="0" w:type="dxa"/>
            <w:right w:w="108" w:type="dxa"/>
          </w:tblCellMar>
        </w:tblPrEx>
        <w:trPr>
          <w:trHeight w:val="312" w:hRule="atLeast"/>
          <w:jc w:val="center"/>
        </w:trPr>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r>
      <w:tr>
        <w:tblPrEx>
          <w:tblCellMar>
            <w:top w:w="0" w:type="dxa"/>
            <w:left w:w="108" w:type="dxa"/>
            <w:bottom w:w="0" w:type="dxa"/>
            <w:right w:w="108" w:type="dxa"/>
          </w:tblCellMar>
        </w:tblPrEx>
        <w:trPr>
          <w:trHeight w:val="312" w:hRule="atLeast"/>
          <w:jc w:val="center"/>
        </w:trPr>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r>
      <w:tr>
        <w:tblPrEx>
          <w:tblCellMar>
            <w:top w:w="0" w:type="dxa"/>
            <w:left w:w="108" w:type="dxa"/>
            <w:bottom w:w="0" w:type="dxa"/>
            <w:right w:w="108" w:type="dxa"/>
          </w:tblCellMar>
        </w:tblPrEx>
        <w:trPr>
          <w:trHeight w:val="312" w:hRule="atLeast"/>
          <w:jc w:val="center"/>
        </w:trPr>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26</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r>
      <w:tr>
        <w:tblPrEx>
          <w:tblCellMar>
            <w:top w:w="0" w:type="dxa"/>
            <w:left w:w="108" w:type="dxa"/>
            <w:bottom w:w="0" w:type="dxa"/>
            <w:right w:w="108" w:type="dxa"/>
          </w:tblCellMar>
        </w:tblPrEx>
        <w:trPr>
          <w:trHeight w:val="312" w:hRule="atLeast"/>
          <w:jc w:val="center"/>
        </w:trPr>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28</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r>
      <w:tr>
        <w:tblPrEx>
          <w:tblCellMar>
            <w:top w:w="0" w:type="dxa"/>
            <w:left w:w="108" w:type="dxa"/>
            <w:bottom w:w="0" w:type="dxa"/>
            <w:right w:w="108" w:type="dxa"/>
          </w:tblCellMar>
        </w:tblPrEx>
        <w:trPr>
          <w:trHeight w:val="312" w:hRule="atLeast"/>
          <w:jc w:val="center"/>
        </w:trPr>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39</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r>
      <w:tr>
        <w:tblPrEx>
          <w:tblCellMar>
            <w:top w:w="0" w:type="dxa"/>
            <w:left w:w="108" w:type="dxa"/>
            <w:bottom w:w="0" w:type="dxa"/>
            <w:right w:w="108" w:type="dxa"/>
          </w:tblCellMar>
        </w:tblPrEx>
        <w:trPr>
          <w:trHeight w:val="312" w:hRule="atLeast"/>
          <w:jc w:val="center"/>
        </w:trPr>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40</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r>
      <w:tr>
        <w:tblPrEx>
          <w:tblCellMar>
            <w:top w:w="0" w:type="dxa"/>
            <w:left w:w="108" w:type="dxa"/>
            <w:bottom w:w="0" w:type="dxa"/>
            <w:right w:w="108" w:type="dxa"/>
          </w:tblCellMar>
        </w:tblPrEx>
        <w:trPr>
          <w:trHeight w:val="312" w:hRule="atLeast"/>
          <w:jc w:val="center"/>
        </w:trPr>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41</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r>
    </w:tbl>
    <w:p>
      <w:pPr>
        <w:pStyle w:val="62"/>
        <w:keepNext/>
        <w:keepLines/>
        <w:pageBreakBefore w:val="0"/>
        <w:widowControl w:val="0"/>
        <w:suppressLineNumbers w:val="0"/>
        <w:kinsoku/>
        <w:wordWrap/>
        <w:topLinePunct w:val="0"/>
        <w:bidi w:val="0"/>
        <w:spacing w:before="120" w:after="120" w:line="240" w:lineRule="auto"/>
        <w:ind w:left="0" w:firstLine="0"/>
        <w:jc w:val="left"/>
        <w:rPr>
          <w:rFonts w:hint="default" w:eastAsia="宋体" w:cs="Times New Roman"/>
          <w:kern w:val="0"/>
          <w:sz w:val="20"/>
          <w:szCs w:val="20"/>
          <w:highlight w:val="none"/>
          <w:lang w:val="en-US" w:eastAsia="zh-CN"/>
        </w:rPr>
      </w:pPr>
      <w:r>
        <w:rPr>
          <w:rFonts w:hint="eastAsia" w:cs="Times New Roman"/>
          <w:i w:val="0"/>
          <w:iCs w:val="0"/>
          <w:sz w:val="20"/>
          <w:szCs w:val="20"/>
          <w:highlight w:val="none"/>
          <w:lang w:val="en-US" w:eastAsia="zh-CN"/>
        </w:rPr>
        <w:t xml:space="preserve">Comparing to the </w:t>
      </w:r>
      <w:r>
        <w:rPr>
          <w:rFonts w:hint="default" w:ascii="Times New Roman" w:hAnsi="Times New Roman" w:cs="Times New Roman"/>
          <w:kern w:val="0"/>
          <w:sz w:val="20"/>
          <w:szCs w:val="20"/>
          <w:highlight w:val="none"/>
          <w:lang w:val="en-US" w:eastAsia="zh-CN"/>
        </w:rPr>
        <w:t>Δ</w:t>
      </w:r>
      <w:r>
        <w:rPr>
          <w:rFonts w:hint="eastAsia" w:cs="Times New Roman"/>
          <w:kern w:val="0"/>
          <w:sz w:val="20"/>
          <w:szCs w:val="20"/>
          <w:highlight w:val="none"/>
          <w:lang w:val="en-US" w:eastAsia="zh-CN"/>
        </w:rPr>
        <w:t>R</w:t>
      </w:r>
      <w:r>
        <w:rPr>
          <w:rFonts w:hint="eastAsia" w:cs="Times New Roman"/>
          <w:kern w:val="0"/>
          <w:sz w:val="20"/>
          <w:szCs w:val="20"/>
          <w:highlight w:val="none"/>
          <w:vertAlign w:val="subscript"/>
          <w:lang w:val="en-US" w:eastAsia="zh-CN"/>
        </w:rPr>
        <w:t>1R</w:t>
      </w:r>
      <w:r>
        <w:rPr>
          <w:rFonts w:hint="eastAsia" w:cs="Times New Roman"/>
          <w:kern w:val="0"/>
          <w:sz w:val="20"/>
          <w:szCs w:val="20"/>
          <w:highlight w:val="none"/>
          <w:lang w:val="en-US" w:eastAsia="zh-CN"/>
        </w:rPr>
        <w:t xml:space="preserve"> for NR PC3 (e)RedCap UE, the latter one is more stringent for most of the bands, and we are discussing the NR PC2 RedCap, it is straightforward to use the NR approach (i.e. option 1). In addition to that, we think the supported bands for PC2 (e)RedCap UE should be the subset of the bands for PC2 RedCap UE, also we think RAN4 should try to develop a band agnostic way to define the </w:t>
      </w:r>
      <w:r>
        <w:rPr>
          <w:rFonts w:ascii="Times New Roman" w:hAnsi="Times New Roman" w:eastAsia="宋体" w:cs="Times New Roman"/>
          <w:kern w:val="0"/>
          <w:sz w:val="20"/>
          <w:szCs w:val="20"/>
          <w:highlight w:val="none"/>
          <w:lang w:val="en-GB" w:eastAsia="en-US"/>
        </w:rPr>
        <w:t>REFSENS for 1Rx PC2 RedCap in FD-FDD</w:t>
      </w:r>
      <w:r>
        <w:rPr>
          <w:rFonts w:hint="eastAsia" w:cs="Times New Roman"/>
          <w:kern w:val="0"/>
          <w:sz w:val="20"/>
          <w:szCs w:val="20"/>
          <w:highlight w:val="none"/>
          <w:lang w:val="en-US" w:eastAsia="zh-CN"/>
        </w:rPr>
        <w:t>. Therefor, we prefer to option 1.</w:t>
      </w:r>
    </w:p>
    <w:p>
      <w:pPr>
        <w:pStyle w:val="62"/>
        <w:keepNext/>
        <w:keepLines/>
        <w:pageBreakBefore w:val="0"/>
        <w:widowControl w:val="0"/>
        <w:suppressLineNumbers w:val="0"/>
        <w:kinsoku/>
        <w:wordWrap/>
        <w:topLinePunct w:val="0"/>
        <w:bidi w:val="0"/>
        <w:spacing w:before="120" w:after="120" w:line="240" w:lineRule="auto"/>
        <w:ind w:left="0" w:firstLine="0"/>
        <w:jc w:val="left"/>
        <w:rPr>
          <w:rFonts w:hint="eastAsia" w:cs="Times New Roman"/>
          <w:i w:val="0"/>
          <w:iCs w:val="0"/>
          <w:kern w:val="0"/>
          <w:sz w:val="20"/>
          <w:vertAlign w:val="baseline"/>
          <w:lang w:val="en-US" w:eastAsia="zh-CN"/>
        </w:rPr>
      </w:pPr>
      <w:r>
        <w:rPr>
          <w:rFonts w:hint="eastAsia" w:cs="Times New Roman"/>
          <w:i w:val="0"/>
          <w:iCs w:val="0"/>
          <w:sz w:val="20"/>
          <w:szCs w:val="20"/>
          <w:highlight w:val="none"/>
          <w:lang w:val="en-US" w:eastAsia="zh-CN"/>
        </w:rPr>
        <w:t xml:space="preserve">As we discussed in [3], </w:t>
      </w:r>
      <w:r>
        <w:rPr>
          <w:rFonts w:hint="eastAsia" w:cs="Times New Roman"/>
          <w:i w:val="0"/>
          <w:iCs w:val="0"/>
          <w:kern w:val="0"/>
          <w:sz w:val="20"/>
          <w:vertAlign w:val="baseline"/>
          <w:lang w:val="en-US" w:eastAsia="zh-CN"/>
        </w:rPr>
        <w:t xml:space="preserve">PC2 (e)RedCap 1Rx REFSEN = PC2 (e)RedCap 2Rx REFSEN - RSD + </w:t>
      </w:r>
      <w:r>
        <w:rPr>
          <w:sz w:val="20"/>
          <w:szCs w:val="20"/>
        </w:rPr>
        <w:t>ΔR</w:t>
      </w:r>
      <w:r>
        <w:rPr>
          <w:bCs/>
          <w:sz w:val="20"/>
          <w:szCs w:val="20"/>
          <w:vertAlign w:val="subscript"/>
        </w:rPr>
        <w:t>1R</w:t>
      </w:r>
      <w:r>
        <w:rPr>
          <w:rFonts w:hint="eastAsia" w:cs="Times New Roman"/>
          <w:i w:val="0"/>
          <w:iCs w:val="0"/>
          <w:sz w:val="20"/>
          <w:szCs w:val="20"/>
          <w:highlight w:val="none"/>
          <w:lang w:val="en-US" w:eastAsia="zh-CN"/>
        </w:rPr>
        <w:t xml:space="preserve"> </w:t>
      </w:r>
      <w:r>
        <w:rPr>
          <w:rFonts w:hint="eastAsia" w:cs="Times New Roman"/>
          <w:i w:val="0"/>
          <w:iCs w:val="0"/>
          <w:kern w:val="0"/>
          <w:sz w:val="20"/>
          <w:vertAlign w:val="baseline"/>
          <w:lang w:val="en-US" w:eastAsia="zh-CN"/>
        </w:rPr>
        <w:t>+ RSD</w:t>
      </w:r>
      <w:r>
        <w:rPr>
          <w:rFonts w:hint="default" w:cs="Times New Roman"/>
          <w:i w:val="0"/>
          <w:iCs w:val="0"/>
          <w:kern w:val="0"/>
          <w:sz w:val="20"/>
          <w:vertAlign w:val="baseline"/>
          <w:lang w:val="en-US" w:eastAsia="zh-CN"/>
        </w:rPr>
        <w:t>’</w:t>
      </w:r>
      <w:r>
        <w:rPr>
          <w:rFonts w:hint="eastAsia" w:cs="Times New Roman"/>
          <w:i w:val="0"/>
          <w:iCs w:val="0"/>
          <w:kern w:val="0"/>
          <w:sz w:val="20"/>
          <w:vertAlign w:val="baseline"/>
          <w:lang w:val="en-US" w:eastAsia="zh-CN"/>
        </w:rPr>
        <w:t xml:space="preserve">, where RSD is existing reference sensitivity degradation for </w:t>
      </w:r>
      <w:r>
        <w:rPr>
          <w:rFonts w:hint="eastAsia" w:cs="Times New Roman"/>
          <w:i w:val="0"/>
          <w:iCs w:val="0"/>
          <w:kern w:val="0"/>
          <w:sz w:val="20"/>
          <w:lang w:val="en-US" w:eastAsia="zh-CN"/>
        </w:rPr>
        <w:t xml:space="preserve">PC2 </w:t>
      </w:r>
      <w:r>
        <w:rPr>
          <w:rFonts w:hint="eastAsia" w:cs="Times New Roman"/>
          <w:i w:val="0"/>
          <w:iCs w:val="0"/>
          <w:kern w:val="0"/>
          <w:sz w:val="20"/>
          <w:vertAlign w:val="baseline"/>
          <w:lang w:val="en-US" w:eastAsia="zh-CN"/>
        </w:rPr>
        <w:t>non-RedCap 2Rx, and RSD</w:t>
      </w:r>
      <w:r>
        <w:rPr>
          <w:rFonts w:hint="default" w:cs="Times New Roman"/>
          <w:i w:val="0"/>
          <w:iCs w:val="0"/>
          <w:kern w:val="0"/>
          <w:sz w:val="20"/>
          <w:vertAlign w:val="baseline"/>
          <w:lang w:val="en-US" w:eastAsia="zh-CN"/>
        </w:rPr>
        <w:t>’</w:t>
      </w:r>
      <w:r>
        <w:rPr>
          <w:rFonts w:hint="eastAsia" w:cs="Times New Roman"/>
          <w:i w:val="0"/>
          <w:iCs w:val="0"/>
          <w:kern w:val="0"/>
          <w:sz w:val="20"/>
          <w:vertAlign w:val="baseline"/>
          <w:lang w:val="en-US" w:eastAsia="zh-CN"/>
        </w:rPr>
        <w:t xml:space="preserve"> is reference sensitivity degradation for </w:t>
      </w:r>
      <w:r>
        <w:rPr>
          <w:rFonts w:hint="eastAsia" w:cs="Times New Roman"/>
          <w:i w:val="0"/>
          <w:iCs w:val="0"/>
          <w:kern w:val="0"/>
          <w:sz w:val="20"/>
          <w:lang w:val="en-US" w:eastAsia="zh-CN"/>
        </w:rPr>
        <w:t>PC2 (e)</w:t>
      </w:r>
      <w:r>
        <w:rPr>
          <w:rFonts w:hint="eastAsia" w:cs="Times New Roman"/>
          <w:i w:val="0"/>
          <w:iCs w:val="0"/>
          <w:kern w:val="0"/>
          <w:sz w:val="20"/>
          <w:vertAlign w:val="baseline"/>
          <w:lang w:val="en-US" w:eastAsia="zh-CN"/>
        </w:rPr>
        <w:t>RedCap 2Rx. In last meeting, we assume RSD=RSD</w:t>
      </w:r>
      <w:r>
        <w:rPr>
          <w:rFonts w:hint="default" w:cs="Times New Roman"/>
          <w:i w:val="0"/>
          <w:iCs w:val="0"/>
          <w:kern w:val="0"/>
          <w:sz w:val="20"/>
          <w:vertAlign w:val="baseline"/>
          <w:lang w:val="en-US" w:eastAsia="zh-CN"/>
        </w:rPr>
        <w:t>’</w:t>
      </w:r>
      <w:r>
        <w:rPr>
          <w:rFonts w:hint="eastAsia" w:cs="Times New Roman"/>
          <w:i w:val="0"/>
          <w:iCs w:val="0"/>
          <w:kern w:val="0"/>
          <w:sz w:val="20"/>
          <w:vertAlign w:val="baseline"/>
          <w:lang w:val="en-US" w:eastAsia="zh-CN"/>
        </w:rPr>
        <w:t xml:space="preserve">, then we get PC2 (e)RedCap 1Rx REFSEN = PC2 (e)RedCap 2Rx REFSEN + </w:t>
      </w:r>
      <w:r>
        <w:rPr>
          <w:sz w:val="20"/>
          <w:szCs w:val="20"/>
        </w:rPr>
        <w:t>ΔR</w:t>
      </w:r>
      <w:r>
        <w:rPr>
          <w:bCs/>
          <w:sz w:val="20"/>
          <w:szCs w:val="20"/>
          <w:vertAlign w:val="subscript"/>
        </w:rPr>
        <w:t>1R</w:t>
      </w:r>
      <w:r>
        <w:rPr>
          <w:rFonts w:hint="eastAsia"/>
          <w:bCs/>
          <w:sz w:val="20"/>
          <w:szCs w:val="20"/>
          <w:vertAlign w:val="subscript"/>
          <w:lang w:val="en-US" w:eastAsia="zh-CN"/>
        </w:rPr>
        <w:t xml:space="preserve">. </w:t>
      </w:r>
      <w:r>
        <w:rPr>
          <w:rFonts w:hint="eastAsia"/>
          <w:bCs/>
          <w:sz w:val="20"/>
          <w:szCs w:val="20"/>
          <w:vertAlign w:val="baseline"/>
          <w:lang w:val="en-US" w:eastAsia="zh-CN"/>
        </w:rPr>
        <w:t xml:space="preserve">However, as commented by some companies, the </w:t>
      </w:r>
      <w:r>
        <w:rPr>
          <w:rFonts w:hint="eastAsia" w:cs="Times New Roman"/>
          <w:i w:val="0"/>
          <w:iCs w:val="0"/>
          <w:kern w:val="0"/>
          <w:sz w:val="20"/>
          <w:vertAlign w:val="baseline"/>
          <w:lang w:val="en-US" w:eastAsia="zh-CN"/>
        </w:rPr>
        <w:t>RSD may not equal to RSD</w:t>
      </w:r>
      <w:r>
        <w:rPr>
          <w:rFonts w:hint="default" w:cs="Times New Roman"/>
          <w:i w:val="0"/>
          <w:iCs w:val="0"/>
          <w:kern w:val="0"/>
          <w:sz w:val="20"/>
          <w:vertAlign w:val="baseline"/>
          <w:lang w:val="en-US" w:eastAsia="zh-CN"/>
        </w:rPr>
        <w:t>’</w:t>
      </w:r>
      <w:r>
        <w:rPr>
          <w:rFonts w:hint="eastAsia" w:cs="Times New Roman"/>
          <w:i w:val="0"/>
          <w:iCs w:val="0"/>
          <w:kern w:val="0"/>
          <w:sz w:val="20"/>
          <w:vertAlign w:val="baseline"/>
          <w:lang w:val="en-US" w:eastAsia="zh-CN"/>
        </w:rPr>
        <w:t xml:space="preserve"> due to diversity path has no contribute to the whole degradation and it seems the problem exists for PC2 non-RedCap 2Rx either. General speaking, the noise in diversity path is smaller than the noise in primary path, and it will reduce the RSD value after MRC calculation.</w:t>
      </w:r>
    </w:p>
    <w:p>
      <w:pPr>
        <w:pStyle w:val="62"/>
        <w:keepNext/>
        <w:keepLines/>
        <w:pageBreakBefore w:val="0"/>
        <w:widowControl w:val="0"/>
        <w:suppressLineNumbers w:val="0"/>
        <w:kinsoku/>
        <w:wordWrap/>
        <w:overflowPunct/>
        <w:topLinePunct w:val="0"/>
        <w:autoSpaceDE/>
        <w:autoSpaceDN/>
        <w:bidi w:val="0"/>
        <w:adjustRightInd/>
        <w:snapToGrid/>
        <w:spacing w:before="120" w:after="120" w:line="240" w:lineRule="auto"/>
        <w:ind w:left="0" w:leftChars="0" w:firstLine="0" w:firstLineChars="0"/>
        <w:jc w:val="left"/>
        <w:textAlignment w:val="auto"/>
        <w:rPr>
          <w:rFonts w:hint="eastAsia" w:cs="Times New Roman"/>
          <w:i w:val="0"/>
          <w:iCs w:val="0"/>
          <w:sz w:val="20"/>
          <w:szCs w:val="20"/>
          <w:highlight w:val="none"/>
          <w:lang w:val="en-US" w:eastAsia="zh-CN"/>
        </w:rPr>
      </w:pPr>
      <w:r>
        <w:rPr>
          <w:rFonts w:hint="eastAsia" w:cs="Times New Roman"/>
          <w:i w:val="0"/>
          <w:iCs w:val="0"/>
          <w:sz w:val="20"/>
          <w:szCs w:val="20"/>
          <w:highlight w:val="none"/>
          <w:lang w:val="en-US" w:eastAsia="zh-CN"/>
        </w:rPr>
        <w:t>We use the similar method in [4] to analysis the sensitivity degradation for some bands. On top of that, we calculate the delta RSD (=RSD</w:t>
      </w:r>
      <w:r>
        <w:rPr>
          <w:rFonts w:hint="default" w:cs="Times New Roman"/>
          <w:i w:val="0"/>
          <w:iCs w:val="0"/>
          <w:sz w:val="20"/>
          <w:szCs w:val="20"/>
          <w:highlight w:val="none"/>
          <w:lang w:val="en-US" w:eastAsia="zh-CN"/>
        </w:rPr>
        <w:t>’</w:t>
      </w:r>
      <w:r>
        <w:rPr>
          <w:rFonts w:hint="eastAsia" w:cs="Times New Roman"/>
          <w:i w:val="0"/>
          <w:iCs w:val="0"/>
          <w:sz w:val="20"/>
          <w:szCs w:val="20"/>
          <w:highlight w:val="none"/>
          <w:lang w:val="en-US" w:eastAsia="zh-CN"/>
        </w:rPr>
        <w:t xml:space="preserve">-RSD) which can be seen as the additional value on top of the </w:t>
      </w:r>
      <w:r>
        <w:rPr>
          <w:sz w:val="20"/>
          <w:szCs w:val="20"/>
        </w:rPr>
        <w:t>ΔR</w:t>
      </w:r>
      <w:r>
        <w:rPr>
          <w:bCs/>
          <w:sz w:val="20"/>
          <w:szCs w:val="20"/>
          <w:vertAlign w:val="subscript"/>
        </w:rPr>
        <w:t>1R</w:t>
      </w:r>
      <w:r>
        <w:rPr>
          <w:rFonts w:hint="eastAsia" w:cs="Times New Roman"/>
          <w:i w:val="0"/>
          <w:iCs w:val="0"/>
          <w:sz w:val="20"/>
          <w:szCs w:val="20"/>
          <w:highlight w:val="none"/>
          <w:lang w:val="en-US" w:eastAsia="zh-CN"/>
        </w:rPr>
        <w:t>. The results can be found in the Annex part.</w:t>
      </w:r>
    </w:p>
    <w:p>
      <w:pPr>
        <w:pStyle w:val="62"/>
        <w:keepNext/>
        <w:keepLines/>
        <w:pageBreakBefore w:val="0"/>
        <w:widowControl w:val="0"/>
        <w:suppressLineNumbers w:val="0"/>
        <w:kinsoku/>
        <w:wordWrap/>
        <w:overflowPunct/>
        <w:topLinePunct w:val="0"/>
        <w:autoSpaceDE/>
        <w:autoSpaceDN/>
        <w:bidi w:val="0"/>
        <w:adjustRightInd/>
        <w:snapToGrid/>
        <w:spacing w:before="120" w:after="120" w:line="240" w:lineRule="auto"/>
        <w:ind w:left="0" w:leftChars="0" w:firstLine="0" w:firstLineChars="0"/>
        <w:jc w:val="left"/>
        <w:textAlignment w:val="auto"/>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 xml:space="preserve">In order to develop a band agnostic method for all the bands, the format for </w:t>
      </w:r>
      <w:r>
        <w:rPr>
          <w:rFonts w:hint="eastAsia" w:cs="Times New Roman"/>
          <w:i w:val="0"/>
          <w:iCs w:val="0"/>
          <w:kern w:val="0"/>
          <w:sz w:val="20"/>
          <w:vertAlign w:val="baseline"/>
          <w:lang w:val="en-US" w:eastAsia="zh-CN"/>
        </w:rPr>
        <w:t>REFSEN degradation</w:t>
      </w:r>
      <w:r>
        <w:rPr>
          <w:rFonts w:hint="eastAsia" w:eastAsia="宋体" w:cs="Times New Roman"/>
          <w:kern w:val="0"/>
          <w:sz w:val="20"/>
          <w:szCs w:val="20"/>
          <w:highlight w:val="none"/>
          <w:vertAlign w:val="baseline"/>
          <w:lang w:val="en-US" w:eastAsia="zh-CN" w:bidi="ar-SA"/>
        </w:rPr>
        <w:t xml:space="preserve"> for PC2 </w:t>
      </w:r>
      <w:r>
        <w:rPr>
          <w:rFonts w:hint="eastAsia" w:cs="Times New Roman"/>
          <w:i w:val="0"/>
          <w:iCs w:val="0"/>
          <w:kern w:val="0"/>
          <w:sz w:val="20"/>
          <w:vertAlign w:val="baseline"/>
          <w:lang w:val="en-US" w:eastAsia="zh-CN"/>
        </w:rPr>
        <w:t>(e)RedCap 1Rx comparing with</w:t>
      </w:r>
      <w:r>
        <w:rPr>
          <w:rFonts w:hint="eastAsia" w:eastAsia="宋体" w:cs="Times New Roman"/>
          <w:kern w:val="0"/>
          <w:sz w:val="20"/>
          <w:szCs w:val="20"/>
          <w:highlight w:val="none"/>
          <w:vertAlign w:val="baseline"/>
          <w:lang w:val="en-US" w:eastAsia="zh-CN" w:bidi="ar-SA"/>
        </w:rPr>
        <w:t xml:space="preserve"> PC2 </w:t>
      </w:r>
      <w:r>
        <w:rPr>
          <w:rFonts w:hint="eastAsia" w:cs="Times New Roman"/>
          <w:i w:val="0"/>
          <w:iCs w:val="0"/>
          <w:kern w:val="0"/>
          <w:sz w:val="20"/>
          <w:vertAlign w:val="baseline"/>
          <w:lang w:val="en-US" w:eastAsia="zh-CN"/>
        </w:rPr>
        <w:t>(e)RedCap 2Rx based on RSD ranges could be:</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1"/>
        <w:gridCol w:w="4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keepNext/>
              <w:keepLines/>
              <w:pageBreakBefore w:val="0"/>
              <w:widowControl w:val="0"/>
              <w:suppressLineNumbers w:val="0"/>
              <w:kinsoku/>
              <w:wordWrap/>
              <w:overflowPunct/>
              <w:topLinePunct w:val="0"/>
              <w:autoSpaceDE/>
              <w:autoSpaceDN/>
              <w:bidi w:val="0"/>
              <w:adjustRightInd/>
              <w:snapToGrid/>
              <w:spacing w:after="180" w:line="240" w:lineRule="auto"/>
              <w:ind w:left="1134" w:hanging="850"/>
              <w:jc w:val="center"/>
              <w:textAlignment w:val="auto"/>
              <w:rPr>
                <w:rFonts w:hint="default" w:cs="Times New Roman"/>
                <w:i w:val="0"/>
                <w:iCs w:val="0"/>
                <w:sz w:val="20"/>
                <w:szCs w:val="20"/>
                <w:highlight w:val="none"/>
                <w:vertAlign w:val="baseline"/>
                <w:lang w:val="en-US" w:eastAsia="zh-CN"/>
              </w:rPr>
            </w:pPr>
            <w:r>
              <w:rPr>
                <w:rFonts w:hint="eastAsia" w:cs="Times New Roman"/>
                <w:i w:val="0"/>
                <w:iCs w:val="0"/>
                <w:sz w:val="20"/>
                <w:szCs w:val="20"/>
                <w:highlight w:val="none"/>
                <w:vertAlign w:val="baseline"/>
                <w:lang w:val="en-US" w:eastAsia="zh-CN"/>
              </w:rPr>
              <w:t>RSD Range</w:t>
            </w:r>
          </w:p>
        </w:tc>
        <w:tc>
          <w:tcPr>
            <w:tcW w:w="0" w:type="auto"/>
          </w:tcPr>
          <w:p>
            <w:pPr>
              <w:pStyle w:val="62"/>
              <w:keepNext/>
              <w:keepLines/>
              <w:pageBreakBefore w:val="0"/>
              <w:widowControl w:val="0"/>
              <w:suppressLineNumbers w:val="0"/>
              <w:kinsoku/>
              <w:wordWrap/>
              <w:overflowPunct/>
              <w:topLinePunct w:val="0"/>
              <w:autoSpaceDE/>
              <w:autoSpaceDN/>
              <w:bidi w:val="0"/>
              <w:adjustRightInd/>
              <w:snapToGrid/>
              <w:spacing w:after="180" w:line="240" w:lineRule="auto"/>
              <w:jc w:val="left"/>
              <w:textAlignment w:val="auto"/>
              <w:rPr>
                <w:rFonts w:hint="eastAsia" w:cs="Times New Roman"/>
                <w:i w:val="0"/>
                <w:iCs w:val="0"/>
                <w:kern w:val="0"/>
                <w:sz w:val="20"/>
                <w:vertAlign w:val="baseline"/>
                <w:lang w:val="en-US" w:eastAsia="zh-CN"/>
              </w:rPr>
            </w:pPr>
            <w:r>
              <w:rPr>
                <w:rFonts w:hint="eastAsia" w:cs="Times New Roman"/>
                <w:i w:val="0"/>
                <w:iCs w:val="0"/>
                <w:kern w:val="0"/>
                <w:sz w:val="20"/>
                <w:vertAlign w:val="baseline"/>
                <w:lang w:val="en-US" w:eastAsia="zh-CN"/>
              </w:rPr>
              <w:t>REFSEN degradation</w:t>
            </w:r>
            <w:r>
              <w:rPr>
                <w:rFonts w:hint="eastAsia" w:eastAsia="宋体" w:cs="Times New Roman"/>
                <w:kern w:val="0"/>
                <w:sz w:val="20"/>
                <w:szCs w:val="20"/>
                <w:highlight w:val="none"/>
                <w:vertAlign w:val="baseline"/>
                <w:lang w:val="en-US" w:eastAsia="zh-CN" w:bidi="ar-SA"/>
              </w:rPr>
              <w:t xml:space="preserve"> for PC2 </w:t>
            </w:r>
            <w:r>
              <w:rPr>
                <w:rFonts w:hint="eastAsia" w:cs="Times New Roman"/>
                <w:i w:val="0"/>
                <w:iCs w:val="0"/>
                <w:kern w:val="0"/>
                <w:sz w:val="20"/>
                <w:vertAlign w:val="baseline"/>
                <w:lang w:val="en-US" w:eastAsia="zh-CN"/>
              </w:rPr>
              <w:t xml:space="preserve">(e)RedCap 1Rx </w:t>
            </w:r>
          </w:p>
          <w:p>
            <w:pPr>
              <w:pStyle w:val="62"/>
              <w:keepNext/>
              <w:keepLines/>
              <w:pageBreakBefore w:val="0"/>
              <w:widowControl w:val="0"/>
              <w:suppressLineNumbers w:val="0"/>
              <w:kinsoku/>
              <w:wordWrap/>
              <w:overflowPunct/>
              <w:topLinePunct w:val="0"/>
              <w:autoSpaceDE/>
              <w:autoSpaceDN/>
              <w:bidi w:val="0"/>
              <w:adjustRightInd/>
              <w:snapToGrid/>
              <w:spacing w:after="180" w:line="240" w:lineRule="auto"/>
              <w:ind w:left="1134" w:hanging="850"/>
              <w:jc w:val="left"/>
              <w:textAlignment w:val="auto"/>
              <w:rPr>
                <w:rFonts w:hint="default" w:eastAsia="宋体" w:cs="Times New Roman"/>
                <w:i w:val="0"/>
                <w:iCs w:val="0"/>
                <w:sz w:val="20"/>
                <w:szCs w:val="20"/>
                <w:highlight w:val="none"/>
                <w:vertAlign w:val="baseline"/>
                <w:lang w:val="en-US" w:eastAsia="zh-CN"/>
              </w:rPr>
            </w:pPr>
            <w:r>
              <w:rPr>
                <w:rFonts w:hint="eastAsia" w:cs="Times New Roman"/>
                <w:i w:val="0"/>
                <w:iCs w:val="0"/>
                <w:kern w:val="0"/>
                <w:sz w:val="20"/>
                <w:vertAlign w:val="baseline"/>
                <w:lang w:val="en-US" w:eastAsia="zh-CN"/>
              </w:rPr>
              <w:t>comparing with</w:t>
            </w:r>
            <w:r>
              <w:rPr>
                <w:rFonts w:hint="eastAsia" w:eastAsia="宋体" w:cs="Times New Roman"/>
                <w:kern w:val="0"/>
                <w:sz w:val="20"/>
                <w:szCs w:val="20"/>
                <w:highlight w:val="none"/>
                <w:vertAlign w:val="baseline"/>
                <w:lang w:val="en-US" w:eastAsia="zh-CN" w:bidi="ar-SA"/>
              </w:rPr>
              <w:t xml:space="preserve"> PC2 </w:t>
            </w:r>
            <w:r>
              <w:rPr>
                <w:rFonts w:hint="eastAsia" w:cs="Times New Roman"/>
                <w:i w:val="0"/>
                <w:iCs w:val="0"/>
                <w:kern w:val="0"/>
                <w:sz w:val="20"/>
                <w:vertAlign w:val="baseline"/>
                <w:lang w:val="en-US" w:eastAsia="zh-CN"/>
              </w:rPr>
              <w:t xml:space="preserve">(e)RedCap 2Rx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62"/>
              <w:keepNext/>
              <w:keepLines/>
              <w:pageBreakBefore w:val="0"/>
              <w:widowControl w:val="0"/>
              <w:suppressLineNumbers w:val="0"/>
              <w:kinsoku/>
              <w:wordWrap/>
              <w:overflowPunct/>
              <w:topLinePunct w:val="0"/>
              <w:autoSpaceDE/>
              <w:autoSpaceDN/>
              <w:bidi w:val="0"/>
              <w:adjustRightInd/>
              <w:snapToGrid/>
              <w:spacing w:after="180" w:line="240" w:lineRule="auto"/>
              <w:jc w:val="center"/>
              <w:textAlignment w:val="auto"/>
              <w:rPr>
                <w:rFonts w:hint="default" w:cs="Times New Roman"/>
                <w:i w:val="0"/>
                <w:iCs w:val="0"/>
                <w:sz w:val="20"/>
                <w:szCs w:val="20"/>
                <w:highlight w:val="none"/>
                <w:vertAlign w:val="baseline"/>
                <w:lang w:val="en-US" w:eastAsia="zh-CN"/>
              </w:rPr>
            </w:pPr>
            <w:r>
              <w:rPr>
                <w:rFonts w:hint="eastAsia" w:cs="Times New Roman"/>
                <w:i w:val="0"/>
                <w:iCs w:val="0"/>
                <w:sz w:val="20"/>
                <w:szCs w:val="20"/>
                <w:highlight w:val="none"/>
                <w:vertAlign w:val="baseline"/>
                <w:lang w:val="en-US" w:eastAsia="zh-CN"/>
              </w:rPr>
              <w:t>0</w:t>
            </w:r>
          </w:p>
        </w:tc>
        <w:tc>
          <w:tcPr>
            <w:tcW w:w="0" w:type="auto"/>
          </w:tcPr>
          <w:p>
            <w:pPr>
              <w:pStyle w:val="62"/>
              <w:keepNext/>
              <w:keepLines/>
              <w:pageBreakBefore w:val="0"/>
              <w:widowControl w:val="0"/>
              <w:suppressLineNumbers w:val="0"/>
              <w:kinsoku/>
              <w:wordWrap/>
              <w:overflowPunct/>
              <w:topLinePunct w:val="0"/>
              <w:autoSpaceDE/>
              <w:autoSpaceDN/>
              <w:bidi w:val="0"/>
              <w:adjustRightInd/>
              <w:snapToGrid/>
              <w:spacing w:after="180" w:line="240" w:lineRule="auto"/>
              <w:jc w:val="center"/>
              <w:textAlignment w:val="auto"/>
              <w:rPr>
                <w:rFonts w:hint="eastAsia" w:cs="Times New Roman"/>
                <w:i w:val="0"/>
                <w:iCs w:val="0"/>
                <w:sz w:val="20"/>
                <w:szCs w:val="20"/>
                <w:highlight w:val="none"/>
                <w:vertAlign w:val="baseline"/>
                <w:lang w:val="en-US" w:eastAsia="zh-CN"/>
              </w:rPr>
            </w:pPr>
            <w:r>
              <w:rPr>
                <w:rFonts w:ascii="Times New Roman" w:hAnsi="Times New Roman" w:eastAsia="MS Mincho" w:cs="Times New Roman"/>
                <w:kern w:val="0"/>
                <w:sz w:val="20"/>
                <w:szCs w:val="20"/>
                <w:highlight w:val="none"/>
                <w:lang w:val="en-GB" w:eastAsia="en-US" w:bidi="ar-SA"/>
              </w:rPr>
              <w:t>ΔR</w:t>
            </w:r>
            <w:r>
              <w:rPr>
                <w:rFonts w:ascii="Times New Roman" w:hAnsi="Times New Roman" w:eastAsia="MS Mincho" w:cs="Times New Roman"/>
                <w:kern w:val="0"/>
                <w:sz w:val="20"/>
                <w:szCs w:val="20"/>
                <w:highlight w:val="none"/>
                <w:vertAlign w:val="subscript"/>
                <w:lang w:val="en-GB" w:eastAsia="en-US" w:bidi="ar-SA"/>
              </w:rPr>
              <w:t>1R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62"/>
              <w:keepNext/>
              <w:keepLines/>
              <w:pageBreakBefore w:val="0"/>
              <w:widowControl w:val="0"/>
              <w:suppressLineNumbers w:val="0"/>
              <w:kinsoku/>
              <w:wordWrap/>
              <w:overflowPunct/>
              <w:topLinePunct w:val="0"/>
              <w:autoSpaceDE/>
              <w:autoSpaceDN/>
              <w:bidi w:val="0"/>
              <w:adjustRightInd/>
              <w:snapToGrid/>
              <w:spacing w:after="180" w:line="240" w:lineRule="auto"/>
              <w:jc w:val="center"/>
              <w:textAlignment w:val="auto"/>
              <w:rPr>
                <w:rFonts w:hint="default" w:cs="Times New Roman"/>
                <w:i w:val="0"/>
                <w:iCs w:val="0"/>
                <w:sz w:val="20"/>
                <w:szCs w:val="20"/>
                <w:highlight w:val="none"/>
                <w:vertAlign w:val="baseline"/>
                <w:lang w:val="en-US" w:eastAsia="zh-CN"/>
              </w:rPr>
            </w:pPr>
            <w:r>
              <w:rPr>
                <w:rFonts w:hint="eastAsia" w:cs="Times New Roman"/>
                <w:i w:val="0"/>
                <w:iCs w:val="0"/>
                <w:sz w:val="20"/>
                <w:szCs w:val="20"/>
                <w:highlight w:val="none"/>
                <w:vertAlign w:val="baseline"/>
                <w:lang w:val="en-US" w:eastAsia="zh-CN"/>
              </w:rPr>
              <w:t xml:space="preserve">0&lt;RSD </w:t>
            </w:r>
            <w:r>
              <w:rPr>
                <w:rFonts w:hint="default" w:ascii="Arial" w:hAnsi="Arial" w:cs="Arial"/>
                <w:i w:val="0"/>
                <w:iCs w:val="0"/>
                <w:sz w:val="20"/>
                <w:szCs w:val="20"/>
                <w:highlight w:val="none"/>
                <w:vertAlign w:val="baseline"/>
                <w:lang w:val="en-US" w:eastAsia="zh-CN"/>
              </w:rPr>
              <w:t>≤</w:t>
            </w:r>
            <w:r>
              <w:rPr>
                <w:rFonts w:hint="eastAsia" w:cs="Times New Roman"/>
                <w:i w:val="0"/>
                <w:iCs w:val="0"/>
                <w:sz w:val="20"/>
                <w:szCs w:val="20"/>
                <w:highlight w:val="none"/>
                <w:vertAlign w:val="baseline"/>
                <w:lang w:val="en-US" w:eastAsia="zh-CN"/>
              </w:rPr>
              <w:t xml:space="preserve"> 0.5</w:t>
            </w:r>
          </w:p>
        </w:tc>
        <w:tc>
          <w:tcPr>
            <w:tcW w:w="0" w:type="auto"/>
          </w:tcPr>
          <w:p>
            <w:pPr>
              <w:pStyle w:val="62"/>
              <w:keepNext/>
              <w:keepLines/>
              <w:pageBreakBefore w:val="0"/>
              <w:widowControl w:val="0"/>
              <w:suppressLineNumbers w:val="0"/>
              <w:kinsoku/>
              <w:wordWrap/>
              <w:overflowPunct/>
              <w:topLinePunct w:val="0"/>
              <w:autoSpaceDE/>
              <w:autoSpaceDN/>
              <w:bidi w:val="0"/>
              <w:adjustRightInd/>
              <w:snapToGrid/>
              <w:spacing w:after="180" w:line="240" w:lineRule="auto"/>
              <w:jc w:val="center"/>
              <w:textAlignment w:val="auto"/>
              <w:rPr>
                <w:rFonts w:hint="default" w:eastAsia="宋体" w:cs="Times New Roman"/>
                <w:i w:val="0"/>
                <w:iCs w:val="0"/>
                <w:sz w:val="20"/>
                <w:szCs w:val="20"/>
                <w:highlight w:val="none"/>
                <w:vertAlign w:val="baseline"/>
                <w:lang w:val="en-US" w:eastAsia="zh-CN"/>
              </w:rPr>
            </w:pPr>
            <w:r>
              <w:rPr>
                <w:rFonts w:ascii="Times New Roman" w:hAnsi="Times New Roman" w:eastAsia="MS Mincho" w:cs="Times New Roman"/>
                <w:kern w:val="0"/>
                <w:sz w:val="20"/>
                <w:szCs w:val="20"/>
                <w:highlight w:val="none"/>
                <w:lang w:val="en-GB" w:eastAsia="en-US" w:bidi="ar-SA"/>
              </w:rPr>
              <w:t>ΔR</w:t>
            </w:r>
            <w:r>
              <w:rPr>
                <w:rFonts w:ascii="Times New Roman" w:hAnsi="Times New Roman" w:eastAsia="MS Mincho" w:cs="Times New Roman"/>
                <w:kern w:val="0"/>
                <w:sz w:val="20"/>
                <w:szCs w:val="20"/>
                <w:highlight w:val="none"/>
                <w:vertAlign w:val="subscript"/>
                <w:lang w:val="en-GB" w:eastAsia="en-US" w:bidi="ar-SA"/>
              </w:rPr>
              <w:t>1R</w:t>
            </w:r>
            <w:r>
              <w:rPr>
                <w:rFonts w:hint="eastAsia" w:eastAsia="宋体" w:cs="Times New Roman"/>
                <w:kern w:val="0"/>
                <w:sz w:val="20"/>
                <w:szCs w:val="20"/>
                <w:highlight w:val="none"/>
                <w:vertAlign w:val="subscript"/>
                <w:lang w:val="en-US" w:eastAsia="zh-CN" w:bidi="ar-SA"/>
              </w:rPr>
              <w:t xml:space="preserve"> </w:t>
            </w:r>
            <w:r>
              <w:rPr>
                <w:rFonts w:hint="eastAsia" w:eastAsia="宋体" w:cs="Times New Roman"/>
                <w:kern w:val="0"/>
                <w:sz w:val="20"/>
                <w:szCs w:val="20"/>
                <w:highlight w:val="none"/>
                <w:vertAlign w:val="baseline"/>
                <w:lang w:val="en-US" w:eastAsia="zh-CN" w:bidi="ar-SA"/>
              </w:rPr>
              <w:t>+ [0.3]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pStyle w:val="62"/>
              <w:keepNext/>
              <w:keepLines/>
              <w:pageBreakBefore w:val="0"/>
              <w:widowControl w:val="0"/>
              <w:suppressLineNumbers w:val="0"/>
              <w:kinsoku/>
              <w:wordWrap/>
              <w:overflowPunct/>
              <w:topLinePunct w:val="0"/>
              <w:autoSpaceDE/>
              <w:autoSpaceDN/>
              <w:bidi w:val="0"/>
              <w:adjustRightInd/>
              <w:snapToGrid/>
              <w:spacing w:after="180" w:line="240" w:lineRule="auto"/>
              <w:ind w:left="1135" w:leftChars="0" w:hanging="851" w:firstLineChars="0"/>
              <w:jc w:val="center"/>
              <w:textAlignment w:val="auto"/>
              <w:rPr>
                <w:rFonts w:hint="default" w:cs="Times New Roman"/>
                <w:i w:val="0"/>
                <w:iCs w:val="0"/>
                <w:sz w:val="20"/>
                <w:szCs w:val="20"/>
                <w:highlight w:val="none"/>
                <w:vertAlign w:val="baseline"/>
                <w:lang w:val="en-US" w:eastAsia="zh-CN"/>
              </w:rPr>
            </w:pPr>
            <w:r>
              <w:rPr>
                <w:rFonts w:hint="eastAsia" w:cs="Times New Roman"/>
                <w:i w:val="0"/>
                <w:iCs w:val="0"/>
                <w:sz w:val="20"/>
                <w:szCs w:val="20"/>
                <w:highlight w:val="none"/>
                <w:vertAlign w:val="baseline"/>
                <w:lang w:val="en-US" w:eastAsia="zh-CN"/>
              </w:rPr>
              <w:t xml:space="preserve">0.5&lt;RSD </w:t>
            </w:r>
            <w:r>
              <w:rPr>
                <w:rFonts w:hint="default" w:ascii="Arial" w:hAnsi="Arial" w:cs="Arial"/>
                <w:i w:val="0"/>
                <w:iCs w:val="0"/>
                <w:sz w:val="20"/>
                <w:szCs w:val="20"/>
                <w:highlight w:val="none"/>
                <w:vertAlign w:val="baseline"/>
                <w:lang w:val="en-US" w:eastAsia="zh-CN"/>
              </w:rPr>
              <w:t>≤</w:t>
            </w:r>
            <w:r>
              <w:rPr>
                <w:rFonts w:hint="eastAsia" w:cs="Times New Roman"/>
                <w:i w:val="0"/>
                <w:iCs w:val="0"/>
                <w:sz w:val="20"/>
                <w:szCs w:val="20"/>
                <w:highlight w:val="none"/>
                <w:vertAlign w:val="baseline"/>
                <w:lang w:val="en-US" w:eastAsia="zh-CN"/>
              </w:rPr>
              <w:t xml:space="preserve"> 1.5</w:t>
            </w:r>
          </w:p>
        </w:tc>
        <w:tc>
          <w:tcPr>
            <w:tcW w:w="0" w:type="auto"/>
            <w:vAlign w:val="top"/>
          </w:tcPr>
          <w:p>
            <w:pPr>
              <w:pStyle w:val="62"/>
              <w:keepNext/>
              <w:keepLines/>
              <w:pageBreakBefore w:val="0"/>
              <w:widowControl w:val="0"/>
              <w:suppressLineNumbers w:val="0"/>
              <w:kinsoku/>
              <w:wordWrap/>
              <w:overflowPunct/>
              <w:topLinePunct w:val="0"/>
              <w:autoSpaceDE/>
              <w:autoSpaceDN/>
              <w:bidi w:val="0"/>
              <w:adjustRightInd/>
              <w:snapToGrid/>
              <w:spacing w:after="180" w:line="240" w:lineRule="auto"/>
              <w:ind w:left="1135" w:leftChars="0" w:hanging="851" w:firstLineChars="0"/>
              <w:jc w:val="center"/>
              <w:textAlignment w:val="auto"/>
              <w:rPr>
                <w:rFonts w:hint="default" w:cs="Times New Roman"/>
                <w:i w:val="0"/>
                <w:iCs w:val="0"/>
                <w:sz w:val="20"/>
                <w:szCs w:val="20"/>
                <w:highlight w:val="none"/>
                <w:vertAlign w:val="baseline"/>
                <w:lang w:val="en-US" w:eastAsia="zh-CN"/>
              </w:rPr>
            </w:pPr>
            <w:r>
              <w:rPr>
                <w:rFonts w:ascii="Times New Roman" w:hAnsi="Times New Roman" w:eastAsia="MS Mincho" w:cs="Times New Roman"/>
                <w:kern w:val="0"/>
                <w:sz w:val="20"/>
                <w:szCs w:val="20"/>
                <w:highlight w:val="none"/>
                <w:lang w:val="en-GB" w:eastAsia="en-US" w:bidi="ar-SA"/>
              </w:rPr>
              <w:t>ΔR</w:t>
            </w:r>
            <w:r>
              <w:rPr>
                <w:rFonts w:ascii="Times New Roman" w:hAnsi="Times New Roman" w:eastAsia="MS Mincho" w:cs="Times New Roman"/>
                <w:kern w:val="0"/>
                <w:sz w:val="20"/>
                <w:szCs w:val="20"/>
                <w:highlight w:val="none"/>
                <w:vertAlign w:val="subscript"/>
                <w:lang w:val="en-GB" w:eastAsia="en-US" w:bidi="ar-SA"/>
              </w:rPr>
              <w:t>1R</w:t>
            </w:r>
            <w:r>
              <w:rPr>
                <w:rFonts w:hint="eastAsia" w:eastAsia="宋体" w:cs="Times New Roman"/>
                <w:kern w:val="0"/>
                <w:sz w:val="20"/>
                <w:szCs w:val="20"/>
                <w:highlight w:val="none"/>
                <w:vertAlign w:val="subscript"/>
                <w:lang w:val="en-US" w:eastAsia="zh-CN" w:bidi="ar-SA"/>
              </w:rPr>
              <w:t xml:space="preserve"> </w:t>
            </w:r>
            <w:r>
              <w:rPr>
                <w:rFonts w:hint="eastAsia" w:eastAsia="宋体" w:cs="Times New Roman"/>
                <w:kern w:val="0"/>
                <w:sz w:val="20"/>
                <w:szCs w:val="20"/>
                <w:highlight w:val="none"/>
                <w:vertAlign w:val="baseline"/>
                <w:lang w:val="en-US" w:eastAsia="zh-CN" w:bidi="ar-SA"/>
              </w:rPr>
              <w:t xml:space="preserve">+ </w:t>
            </w:r>
            <w:r>
              <w:rPr>
                <w:rFonts w:hint="eastAsia" w:cs="Times New Roman"/>
                <w:kern w:val="0"/>
                <w:sz w:val="20"/>
                <w:szCs w:val="20"/>
                <w:highlight w:val="none"/>
                <w:vertAlign w:val="baseline"/>
                <w:lang w:val="en-US" w:eastAsia="zh-CN" w:bidi="ar-SA"/>
              </w:rPr>
              <w:t>[</w:t>
            </w:r>
            <w:r>
              <w:rPr>
                <w:rFonts w:hint="eastAsia" w:eastAsia="宋体" w:cs="Times New Roman"/>
                <w:kern w:val="0"/>
                <w:sz w:val="20"/>
                <w:szCs w:val="20"/>
                <w:highlight w:val="none"/>
                <w:vertAlign w:val="baseline"/>
                <w:lang w:val="en-US" w:eastAsia="zh-CN" w:bidi="ar-SA"/>
              </w:rPr>
              <w:t>0.</w:t>
            </w:r>
            <w:r>
              <w:rPr>
                <w:rFonts w:hint="eastAsia" w:cs="Times New Roman"/>
                <w:kern w:val="0"/>
                <w:sz w:val="20"/>
                <w:szCs w:val="20"/>
                <w:highlight w:val="none"/>
                <w:vertAlign w:val="baseline"/>
                <w:lang w:val="en-US" w:eastAsia="zh-CN"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pStyle w:val="62"/>
              <w:keepNext/>
              <w:keepLines/>
              <w:pageBreakBefore w:val="0"/>
              <w:widowControl w:val="0"/>
              <w:suppressLineNumbers w:val="0"/>
              <w:kinsoku/>
              <w:wordWrap/>
              <w:overflowPunct/>
              <w:topLinePunct w:val="0"/>
              <w:autoSpaceDE/>
              <w:autoSpaceDN/>
              <w:bidi w:val="0"/>
              <w:adjustRightInd/>
              <w:snapToGrid/>
              <w:spacing w:after="180" w:line="240" w:lineRule="auto"/>
              <w:ind w:left="1135" w:leftChars="0" w:hanging="851" w:firstLineChars="0"/>
              <w:jc w:val="center"/>
              <w:textAlignment w:val="auto"/>
              <w:rPr>
                <w:rFonts w:hint="eastAsia" w:ascii="Times New Roman" w:hAnsi="Times New Roman" w:eastAsia="宋体" w:cs="Times New Roman"/>
                <w:i w:val="0"/>
                <w:iCs w:val="0"/>
                <w:kern w:val="0"/>
                <w:sz w:val="20"/>
                <w:szCs w:val="20"/>
                <w:highlight w:val="none"/>
                <w:vertAlign w:val="baseline"/>
                <w:lang w:val="en-US" w:eastAsia="zh-CN" w:bidi="ar-SA"/>
              </w:rPr>
            </w:pPr>
            <w:r>
              <w:rPr>
                <w:rFonts w:hint="eastAsia" w:cs="Times New Roman"/>
                <w:i w:val="0"/>
                <w:iCs w:val="0"/>
                <w:sz w:val="20"/>
                <w:szCs w:val="20"/>
                <w:highlight w:val="none"/>
                <w:vertAlign w:val="baseline"/>
                <w:lang w:val="en-US" w:eastAsia="zh-CN"/>
              </w:rPr>
              <w:t xml:space="preserve">1.5&lt;RSD </w:t>
            </w:r>
            <w:r>
              <w:rPr>
                <w:rFonts w:hint="default" w:ascii="Arial" w:hAnsi="Arial" w:cs="Arial"/>
                <w:i w:val="0"/>
                <w:iCs w:val="0"/>
                <w:sz w:val="20"/>
                <w:szCs w:val="20"/>
                <w:highlight w:val="none"/>
                <w:vertAlign w:val="baseline"/>
                <w:lang w:val="en-US" w:eastAsia="zh-CN"/>
              </w:rPr>
              <w:t>≤</w:t>
            </w:r>
            <w:r>
              <w:rPr>
                <w:rFonts w:hint="eastAsia" w:cs="Times New Roman"/>
                <w:i w:val="0"/>
                <w:iCs w:val="0"/>
                <w:sz w:val="20"/>
                <w:szCs w:val="20"/>
                <w:highlight w:val="none"/>
                <w:vertAlign w:val="baseline"/>
                <w:lang w:val="en-US" w:eastAsia="zh-CN"/>
              </w:rPr>
              <w:t xml:space="preserve"> 3</w:t>
            </w:r>
          </w:p>
        </w:tc>
        <w:tc>
          <w:tcPr>
            <w:tcW w:w="0" w:type="auto"/>
            <w:vAlign w:val="top"/>
          </w:tcPr>
          <w:p>
            <w:pPr>
              <w:pStyle w:val="62"/>
              <w:keepNext/>
              <w:keepLines/>
              <w:pageBreakBefore w:val="0"/>
              <w:widowControl w:val="0"/>
              <w:suppressLineNumbers w:val="0"/>
              <w:kinsoku/>
              <w:wordWrap/>
              <w:overflowPunct/>
              <w:topLinePunct w:val="0"/>
              <w:autoSpaceDE/>
              <w:autoSpaceDN/>
              <w:bidi w:val="0"/>
              <w:adjustRightInd/>
              <w:snapToGrid/>
              <w:spacing w:after="180" w:line="240" w:lineRule="auto"/>
              <w:ind w:left="1135" w:leftChars="0" w:hanging="851" w:firstLineChars="0"/>
              <w:jc w:val="center"/>
              <w:textAlignment w:val="auto"/>
              <w:rPr>
                <w:rFonts w:hint="default" w:ascii="Times New Roman" w:hAnsi="Times New Roman" w:eastAsia="宋体" w:cs="Times New Roman"/>
                <w:i w:val="0"/>
                <w:iCs w:val="0"/>
                <w:kern w:val="0"/>
                <w:sz w:val="20"/>
                <w:szCs w:val="20"/>
                <w:highlight w:val="none"/>
                <w:vertAlign w:val="baseline"/>
                <w:lang w:val="en-GB" w:eastAsia="en-US" w:bidi="ar-SA"/>
              </w:rPr>
            </w:pPr>
            <w:r>
              <w:rPr>
                <w:rFonts w:ascii="Times New Roman" w:hAnsi="Times New Roman" w:eastAsia="MS Mincho" w:cs="Times New Roman"/>
                <w:kern w:val="0"/>
                <w:sz w:val="20"/>
                <w:szCs w:val="20"/>
                <w:highlight w:val="none"/>
                <w:lang w:val="en-GB" w:eastAsia="en-US" w:bidi="ar-SA"/>
              </w:rPr>
              <w:t>ΔR</w:t>
            </w:r>
            <w:r>
              <w:rPr>
                <w:rFonts w:ascii="Times New Roman" w:hAnsi="Times New Roman" w:eastAsia="MS Mincho" w:cs="Times New Roman"/>
                <w:kern w:val="0"/>
                <w:sz w:val="20"/>
                <w:szCs w:val="20"/>
                <w:highlight w:val="none"/>
                <w:vertAlign w:val="subscript"/>
                <w:lang w:val="en-GB" w:eastAsia="en-US" w:bidi="ar-SA"/>
              </w:rPr>
              <w:t>1R</w:t>
            </w:r>
            <w:r>
              <w:rPr>
                <w:rFonts w:hint="eastAsia" w:eastAsia="宋体" w:cs="Times New Roman"/>
                <w:kern w:val="0"/>
                <w:sz w:val="20"/>
                <w:szCs w:val="20"/>
                <w:highlight w:val="none"/>
                <w:vertAlign w:val="subscript"/>
                <w:lang w:val="en-US" w:eastAsia="zh-CN" w:bidi="ar-SA"/>
              </w:rPr>
              <w:t xml:space="preserve"> </w:t>
            </w:r>
            <w:r>
              <w:rPr>
                <w:rFonts w:hint="eastAsia" w:eastAsia="宋体" w:cs="Times New Roman"/>
                <w:kern w:val="0"/>
                <w:sz w:val="20"/>
                <w:szCs w:val="20"/>
                <w:highlight w:val="none"/>
                <w:vertAlign w:val="baseline"/>
                <w:lang w:val="en-US" w:eastAsia="zh-CN" w:bidi="ar-SA"/>
              </w:rPr>
              <w:t xml:space="preserve">+ </w:t>
            </w:r>
            <w:r>
              <w:rPr>
                <w:rFonts w:hint="eastAsia" w:cs="Times New Roman"/>
                <w:kern w:val="0"/>
                <w:sz w:val="20"/>
                <w:szCs w:val="20"/>
                <w:highlight w:val="none"/>
                <w:vertAlign w:val="baseline"/>
                <w:lang w:val="en-US" w:eastAsia="zh-CN"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Align w:val="top"/>
          </w:tcPr>
          <w:p>
            <w:pPr>
              <w:pStyle w:val="62"/>
              <w:keepNext/>
              <w:keepLines/>
              <w:pageBreakBefore w:val="0"/>
              <w:widowControl w:val="0"/>
              <w:suppressLineNumbers w:val="0"/>
              <w:kinsoku/>
              <w:wordWrap/>
              <w:overflowPunct/>
              <w:topLinePunct w:val="0"/>
              <w:autoSpaceDE/>
              <w:autoSpaceDN/>
              <w:bidi w:val="0"/>
              <w:adjustRightInd/>
              <w:snapToGrid/>
              <w:spacing w:after="180" w:line="240" w:lineRule="auto"/>
              <w:ind w:left="1135" w:leftChars="0" w:hanging="851" w:firstLineChars="0"/>
              <w:jc w:val="left"/>
              <w:textAlignment w:val="auto"/>
              <w:rPr>
                <w:rFonts w:hint="default" w:ascii="Times New Roman" w:hAnsi="Times New Roman" w:eastAsia="宋体" w:cs="Times New Roman"/>
                <w:kern w:val="0"/>
                <w:sz w:val="20"/>
                <w:szCs w:val="20"/>
                <w:highlight w:val="none"/>
                <w:lang w:val="en-US" w:eastAsia="zh-CN" w:bidi="ar-SA"/>
              </w:rPr>
            </w:pPr>
            <w:r>
              <w:rPr>
                <w:rFonts w:hint="eastAsia" w:eastAsia="宋体" w:cs="Times New Roman"/>
                <w:kern w:val="0"/>
                <w:sz w:val="20"/>
                <w:szCs w:val="20"/>
                <w:highlight w:val="none"/>
                <w:lang w:val="en-US" w:eastAsia="zh-CN" w:bidi="ar-SA"/>
              </w:rPr>
              <w:t xml:space="preserve">NOTE: </w:t>
            </w:r>
            <w:r>
              <w:rPr>
                <w:rFonts w:ascii="Times New Roman" w:hAnsi="Times New Roman" w:eastAsia="MS Mincho" w:cs="Times New Roman"/>
                <w:kern w:val="0"/>
                <w:sz w:val="20"/>
                <w:szCs w:val="20"/>
                <w:highlight w:val="none"/>
                <w:lang w:val="en-GB" w:eastAsia="en-US" w:bidi="ar-SA"/>
              </w:rPr>
              <w:t>ΔR</w:t>
            </w:r>
            <w:r>
              <w:rPr>
                <w:rFonts w:ascii="Times New Roman" w:hAnsi="Times New Roman" w:eastAsia="MS Mincho" w:cs="Times New Roman"/>
                <w:kern w:val="0"/>
                <w:sz w:val="20"/>
                <w:szCs w:val="20"/>
                <w:highlight w:val="none"/>
                <w:vertAlign w:val="subscript"/>
                <w:lang w:val="en-GB" w:eastAsia="en-US" w:bidi="ar-SA"/>
              </w:rPr>
              <w:t>1R</w:t>
            </w:r>
            <w:r>
              <w:rPr>
                <w:rFonts w:hint="eastAsia" w:eastAsia="宋体" w:cs="Times New Roman"/>
                <w:kern w:val="0"/>
                <w:sz w:val="20"/>
                <w:szCs w:val="20"/>
                <w:highlight w:val="none"/>
                <w:vertAlign w:val="baseline"/>
                <w:lang w:val="en-US" w:eastAsia="zh-CN" w:bidi="ar-SA"/>
              </w:rPr>
              <w:t xml:space="preserve"> is defined </w:t>
            </w:r>
            <w:r>
              <w:rPr>
                <w:rFonts w:ascii="Times New Roman" w:hAnsi="Times New Roman" w:eastAsia="MS Mincho" w:cs="Times New Roman"/>
                <w:kern w:val="0"/>
                <w:sz w:val="20"/>
                <w:szCs w:val="20"/>
                <w:highlight w:val="none"/>
                <w:lang w:val="en-GB" w:eastAsia="en-US" w:bidi="ar-SA"/>
              </w:rPr>
              <w:t xml:space="preserve">in table 7.3I.2-1 </w:t>
            </w:r>
          </w:p>
        </w:tc>
      </w:tr>
    </w:tbl>
    <w:p>
      <w:pPr>
        <w:pStyle w:val="62"/>
        <w:keepNext/>
        <w:keepLines/>
        <w:pageBreakBefore w:val="0"/>
        <w:widowControl w:val="0"/>
        <w:suppressLineNumbers w:val="0"/>
        <w:kinsoku/>
        <w:wordWrap/>
        <w:topLinePunct w:val="0"/>
        <w:bidi w:val="0"/>
        <w:spacing w:before="120" w:after="120" w:line="240" w:lineRule="auto"/>
        <w:ind w:left="0" w:firstLine="0"/>
        <w:jc w:val="left"/>
        <w:rPr>
          <w:rFonts w:hint="eastAsia" w:cs="Times New Roman"/>
          <w:i w:val="0"/>
          <w:iCs w:val="0"/>
          <w:sz w:val="20"/>
          <w:szCs w:val="20"/>
          <w:highlight w:val="none"/>
          <w:lang w:val="en-US" w:eastAsia="zh-CN"/>
        </w:rPr>
      </w:pPr>
      <w:r>
        <w:rPr>
          <w:rFonts w:hint="eastAsia" w:cs="Times New Roman"/>
          <w:i w:val="0"/>
          <w:iCs w:val="0"/>
          <w:sz w:val="20"/>
          <w:szCs w:val="20"/>
          <w:highlight w:val="none"/>
          <w:lang w:val="en-US" w:eastAsia="zh-CN"/>
        </w:rPr>
        <w:t>Therefore, we have the following proposal:</w:t>
      </w:r>
    </w:p>
    <w:p>
      <w:pPr>
        <w:pStyle w:val="62"/>
        <w:keepNext/>
        <w:keepLines/>
        <w:pageBreakBefore w:val="0"/>
        <w:widowControl w:val="0"/>
        <w:suppressLineNumbers w:val="0"/>
        <w:kinsoku/>
        <w:wordWrap/>
        <w:overflowPunct/>
        <w:topLinePunct w:val="0"/>
        <w:autoSpaceDE/>
        <w:autoSpaceDN/>
        <w:bidi w:val="0"/>
        <w:adjustRightInd/>
        <w:snapToGrid/>
        <w:spacing w:after="120" w:line="240" w:lineRule="auto"/>
        <w:ind w:left="0" w:leftChars="0" w:firstLine="0" w:firstLineChars="0"/>
        <w:jc w:val="left"/>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1: To develop a band agnostic method for all the bands, the format for </w:t>
      </w:r>
      <w:r>
        <w:rPr>
          <w:rFonts w:hint="eastAsia" w:cs="Times New Roman"/>
          <w:b/>
          <w:bCs/>
          <w:i w:val="0"/>
          <w:iCs w:val="0"/>
          <w:kern w:val="0"/>
          <w:sz w:val="20"/>
          <w:vertAlign w:val="baseline"/>
          <w:lang w:val="en-US" w:eastAsia="zh-CN"/>
        </w:rPr>
        <w:t>REFSEN degradation</w:t>
      </w:r>
      <w:r>
        <w:rPr>
          <w:rFonts w:hint="eastAsia" w:eastAsia="宋体" w:cs="Times New Roman"/>
          <w:b/>
          <w:bCs/>
          <w:kern w:val="0"/>
          <w:sz w:val="20"/>
          <w:szCs w:val="20"/>
          <w:highlight w:val="none"/>
          <w:vertAlign w:val="baseline"/>
          <w:lang w:val="en-US" w:eastAsia="zh-CN" w:bidi="ar-SA"/>
        </w:rPr>
        <w:t xml:space="preserve"> for PC2 </w:t>
      </w:r>
      <w:r>
        <w:rPr>
          <w:rFonts w:hint="eastAsia" w:cs="Times New Roman"/>
          <w:b/>
          <w:bCs/>
          <w:i w:val="0"/>
          <w:iCs w:val="0"/>
          <w:kern w:val="0"/>
          <w:sz w:val="20"/>
          <w:vertAlign w:val="baseline"/>
          <w:lang w:val="en-US" w:eastAsia="zh-CN"/>
        </w:rPr>
        <w:t>(e)RedCap 1Rx comparing with</w:t>
      </w:r>
      <w:r>
        <w:rPr>
          <w:rFonts w:hint="eastAsia" w:eastAsia="宋体" w:cs="Times New Roman"/>
          <w:b/>
          <w:bCs/>
          <w:kern w:val="0"/>
          <w:sz w:val="20"/>
          <w:szCs w:val="20"/>
          <w:highlight w:val="none"/>
          <w:vertAlign w:val="baseline"/>
          <w:lang w:val="en-US" w:eastAsia="zh-CN" w:bidi="ar-SA"/>
        </w:rPr>
        <w:t xml:space="preserve"> PC2 </w:t>
      </w:r>
      <w:r>
        <w:rPr>
          <w:rFonts w:hint="eastAsia" w:cs="Times New Roman"/>
          <w:b/>
          <w:bCs/>
          <w:i w:val="0"/>
          <w:iCs w:val="0"/>
          <w:kern w:val="0"/>
          <w:sz w:val="20"/>
          <w:vertAlign w:val="baseline"/>
          <w:lang w:val="en-US" w:eastAsia="zh-CN"/>
        </w:rPr>
        <w:t>(e)RedCap 2Rx based on the RSD ranges could be:</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5"/>
        <w:gridCol w:w="4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keepNext/>
              <w:keepLines/>
              <w:pageBreakBefore w:val="0"/>
              <w:widowControl w:val="0"/>
              <w:suppressLineNumbers w:val="0"/>
              <w:kinsoku/>
              <w:wordWrap/>
              <w:overflowPunct/>
              <w:topLinePunct w:val="0"/>
              <w:autoSpaceDE/>
              <w:autoSpaceDN/>
              <w:bidi w:val="0"/>
              <w:adjustRightInd/>
              <w:snapToGrid/>
              <w:spacing w:after="180" w:line="240" w:lineRule="auto"/>
              <w:ind w:left="1134" w:hanging="850"/>
              <w:jc w:val="center"/>
              <w:textAlignment w:val="auto"/>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RSD Range</w:t>
            </w:r>
          </w:p>
        </w:tc>
        <w:tc>
          <w:tcPr>
            <w:tcW w:w="0" w:type="auto"/>
          </w:tcPr>
          <w:p>
            <w:pPr>
              <w:pStyle w:val="62"/>
              <w:keepNext/>
              <w:keepLines/>
              <w:pageBreakBefore w:val="0"/>
              <w:widowControl w:val="0"/>
              <w:suppressLineNumbers w:val="0"/>
              <w:kinsoku/>
              <w:wordWrap/>
              <w:overflowPunct/>
              <w:topLinePunct w:val="0"/>
              <w:autoSpaceDE/>
              <w:autoSpaceDN/>
              <w:bidi w:val="0"/>
              <w:adjustRightInd/>
              <w:snapToGrid/>
              <w:spacing w:after="180" w:line="240" w:lineRule="auto"/>
              <w:jc w:val="left"/>
              <w:textAlignment w:val="auto"/>
              <w:rPr>
                <w:rFonts w:hint="eastAsia" w:cs="Times New Roman"/>
                <w:b/>
                <w:bCs/>
                <w:i w:val="0"/>
                <w:iCs w:val="0"/>
                <w:kern w:val="0"/>
                <w:sz w:val="20"/>
                <w:vertAlign w:val="baseline"/>
                <w:lang w:val="en-US" w:eastAsia="zh-CN"/>
              </w:rPr>
            </w:pPr>
            <w:r>
              <w:rPr>
                <w:rFonts w:hint="eastAsia" w:cs="Times New Roman"/>
                <w:b/>
                <w:bCs/>
                <w:i w:val="0"/>
                <w:iCs w:val="0"/>
                <w:kern w:val="0"/>
                <w:sz w:val="20"/>
                <w:vertAlign w:val="baseline"/>
                <w:lang w:val="en-US" w:eastAsia="zh-CN"/>
              </w:rPr>
              <w:t>REFSEN degradation</w:t>
            </w:r>
            <w:r>
              <w:rPr>
                <w:rFonts w:hint="eastAsia" w:eastAsia="宋体" w:cs="Times New Roman"/>
                <w:b/>
                <w:bCs/>
                <w:kern w:val="0"/>
                <w:sz w:val="20"/>
                <w:szCs w:val="20"/>
                <w:highlight w:val="none"/>
                <w:vertAlign w:val="baseline"/>
                <w:lang w:val="en-US" w:eastAsia="zh-CN" w:bidi="ar-SA"/>
              </w:rPr>
              <w:t xml:space="preserve"> for PC2 </w:t>
            </w:r>
            <w:r>
              <w:rPr>
                <w:rFonts w:hint="eastAsia" w:cs="Times New Roman"/>
                <w:b/>
                <w:bCs/>
                <w:i w:val="0"/>
                <w:iCs w:val="0"/>
                <w:kern w:val="0"/>
                <w:sz w:val="20"/>
                <w:vertAlign w:val="baseline"/>
                <w:lang w:val="en-US" w:eastAsia="zh-CN"/>
              </w:rPr>
              <w:t xml:space="preserve">(e)RedCap 1Rx </w:t>
            </w:r>
          </w:p>
          <w:p>
            <w:pPr>
              <w:pStyle w:val="62"/>
              <w:keepNext/>
              <w:keepLines/>
              <w:pageBreakBefore w:val="0"/>
              <w:widowControl w:val="0"/>
              <w:suppressLineNumbers w:val="0"/>
              <w:kinsoku/>
              <w:wordWrap/>
              <w:overflowPunct/>
              <w:topLinePunct w:val="0"/>
              <w:autoSpaceDE/>
              <w:autoSpaceDN/>
              <w:bidi w:val="0"/>
              <w:adjustRightInd/>
              <w:snapToGrid/>
              <w:spacing w:after="180" w:line="240" w:lineRule="auto"/>
              <w:ind w:left="1134" w:hanging="850"/>
              <w:jc w:val="left"/>
              <w:textAlignment w:val="auto"/>
              <w:rPr>
                <w:rFonts w:hint="default" w:eastAsia="宋体" w:cs="Times New Roman"/>
                <w:b/>
                <w:bCs/>
                <w:i w:val="0"/>
                <w:iCs w:val="0"/>
                <w:sz w:val="20"/>
                <w:szCs w:val="20"/>
                <w:highlight w:val="none"/>
                <w:vertAlign w:val="baseline"/>
                <w:lang w:val="en-US" w:eastAsia="zh-CN"/>
              </w:rPr>
            </w:pPr>
            <w:r>
              <w:rPr>
                <w:rFonts w:hint="eastAsia" w:cs="Times New Roman"/>
                <w:b/>
                <w:bCs/>
                <w:i w:val="0"/>
                <w:iCs w:val="0"/>
                <w:kern w:val="0"/>
                <w:sz w:val="20"/>
                <w:vertAlign w:val="baseline"/>
                <w:lang w:val="en-US" w:eastAsia="zh-CN"/>
              </w:rPr>
              <w:t>comparing with</w:t>
            </w:r>
            <w:r>
              <w:rPr>
                <w:rFonts w:hint="eastAsia" w:eastAsia="宋体" w:cs="Times New Roman"/>
                <w:b/>
                <w:bCs/>
                <w:kern w:val="0"/>
                <w:sz w:val="20"/>
                <w:szCs w:val="20"/>
                <w:highlight w:val="none"/>
                <w:vertAlign w:val="baseline"/>
                <w:lang w:val="en-US" w:eastAsia="zh-CN" w:bidi="ar-SA"/>
              </w:rPr>
              <w:t xml:space="preserve"> PC2 </w:t>
            </w:r>
            <w:r>
              <w:rPr>
                <w:rFonts w:hint="eastAsia" w:cs="Times New Roman"/>
                <w:b/>
                <w:bCs/>
                <w:i w:val="0"/>
                <w:iCs w:val="0"/>
                <w:kern w:val="0"/>
                <w:sz w:val="20"/>
                <w:vertAlign w:val="baseline"/>
                <w:lang w:val="en-US" w:eastAsia="zh-CN"/>
              </w:rPr>
              <w:t xml:space="preserve">(e)RedCap 2Rx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62"/>
              <w:keepNext/>
              <w:keepLines/>
              <w:pageBreakBefore w:val="0"/>
              <w:widowControl w:val="0"/>
              <w:suppressLineNumbers w:val="0"/>
              <w:kinsoku/>
              <w:wordWrap/>
              <w:overflowPunct/>
              <w:topLinePunct w:val="0"/>
              <w:autoSpaceDE/>
              <w:autoSpaceDN/>
              <w:bidi w:val="0"/>
              <w:adjustRightInd/>
              <w:snapToGrid/>
              <w:spacing w:after="180" w:line="240" w:lineRule="auto"/>
              <w:jc w:val="center"/>
              <w:textAlignment w:val="auto"/>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0</w:t>
            </w:r>
          </w:p>
        </w:tc>
        <w:tc>
          <w:tcPr>
            <w:tcW w:w="0" w:type="auto"/>
          </w:tcPr>
          <w:p>
            <w:pPr>
              <w:pStyle w:val="62"/>
              <w:keepNext/>
              <w:keepLines/>
              <w:pageBreakBefore w:val="0"/>
              <w:widowControl w:val="0"/>
              <w:suppressLineNumbers w:val="0"/>
              <w:kinsoku/>
              <w:wordWrap/>
              <w:overflowPunct/>
              <w:topLinePunct w:val="0"/>
              <w:autoSpaceDE/>
              <w:autoSpaceDN/>
              <w:bidi w:val="0"/>
              <w:adjustRightInd/>
              <w:snapToGrid/>
              <w:spacing w:after="180" w:line="240" w:lineRule="auto"/>
              <w:jc w:val="center"/>
              <w:textAlignment w:val="auto"/>
              <w:rPr>
                <w:rFonts w:hint="eastAsia" w:cs="Times New Roman"/>
                <w:b/>
                <w:bCs/>
                <w:i w:val="0"/>
                <w:iCs w:val="0"/>
                <w:sz w:val="20"/>
                <w:szCs w:val="20"/>
                <w:highlight w:val="none"/>
                <w:vertAlign w:val="baseline"/>
                <w:lang w:val="en-US" w:eastAsia="zh-CN"/>
              </w:rPr>
            </w:pPr>
            <w:r>
              <w:rPr>
                <w:rFonts w:ascii="Times New Roman" w:hAnsi="Times New Roman" w:eastAsia="MS Mincho" w:cs="Times New Roman"/>
                <w:b/>
                <w:bCs/>
                <w:kern w:val="0"/>
                <w:sz w:val="20"/>
                <w:szCs w:val="20"/>
                <w:highlight w:val="none"/>
                <w:lang w:val="en-GB" w:eastAsia="en-US" w:bidi="ar-SA"/>
              </w:rPr>
              <w:t>ΔR</w:t>
            </w:r>
            <w:r>
              <w:rPr>
                <w:rFonts w:ascii="Times New Roman" w:hAnsi="Times New Roman" w:eastAsia="MS Mincho" w:cs="Times New Roman"/>
                <w:b/>
                <w:bCs/>
                <w:kern w:val="0"/>
                <w:sz w:val="20"/>
                <w:szCs w:val="20"/>
                <w:highlight w:val="none"/>
                <w:vertAlign w:val="subscript"/>
                <w:lang w:val="en-GB" w:eastAsia="en-US" w:bidi="ar-SA"/>
              </w:rPr>
              <w:t>1R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62"/>
              <w:keepNext/>
              <w:keepLines/>
              <w:pageBreakBefore w:val="0"/>
              <w:widowControl w:val="0"/>
              <w:suppressLineNumbers w:val="0"/>
              <w:kinsoku/>
              <w:wordWrap/>
              <w:overflowPunct/>
              <w:topLinePunct w:val="0"/>
              <w:autoSpaceDE/>
              <w:autoSpaceDN/>
              <w:bidi w:val="0"/>
              <w:adjustRightInd/>
              <w:snapToGrid/>
              <w:spacing w:after="180" w:line="240" w:lineRule="auto"/>
              <w:jc w:val="center"/>
              <w:textAlignment w:val="auto"/>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 xml:space="preserve">0&lt;RSD </w:t>
            </w:r>
            <w:r>
              <w:rPr>
                <w:rFonts w:hint="default" w:ascii="Arial" w:hAnsi="Arial" w:cs="Arial"/>
                <w:b/>
                <w:bCs/>
                <w:i w:val="0"/>
                <w:iCs w:val="0"/>
                <w:sz w:val="20"/>
                <w:szCs w:val="20"/>
                <w:highlight w:val="none"/>
                <w:vertAlign w:val="baseline"/>
                <w:lang w:val="en-US" w:eastAsia="zh-CN"/>
              </w:rPr>
              <w:t>≤</w:t>
            </w:r>
            <w:r>
              <w:rPr>
                <w:rFonts w:hint="eastAsia" w:cs="Times New Roman"/>
                <w:b/>
                <w:bCs/>
                <w:i w:val="0"/>
                <w:iCs w:val="0"/>
                <w:sz w:val="20"/>
                <w:szCs w:val="20"/>
                <w:highlight w:val="none"/>
                <w:vertAlign w:val="baseline"/>
                <w:lang w:val="en-US" w:eastAsia="zh-CN"/>
              </w:rPr>
              <w:t xml:space="preserve"> 0.5</w:t>
            </w:r>
          </w:p>
        </w:tc>
        <w:tc>
          <w:tcPr>
            <w:tcW w:w="0" w:type="auto"/>
          </w:tcPr>
          <w:p>
            <w:pPr>
              <w:pStyle w:val="62"/>
              <w:keepNext/>
              <w:keepLines/>
              <w:pageBreakBefore w:val="0"/>
              <w:widowControl w:val="0"/>
              <w:suppressLineNumbers w:val="0"/>
              <w:kinsoku/>
              <w:wordWrap/>
              <w:overflowPunct/>
              <w:topLinePunct w:val="0"/>
              <w:autoSpaceDE/>
              <w:autoSpaceDN/>
              <w:bidi w:val="0"/>
              <w:adjustRightInd/>
              <w:snapToGrid/>
              <w:spacing w:after="180" w:line="240" w:lineRule="auto"/>
              <w:jc w:val="center"/>
              <w:textAlignment w:val="auto"/>
              <w:rPr>
                <w:rFonts w:hint="default" w:eastAsia="宋体" w:cs="Times New Roman"/>
                <w:b/>
                <w:bCs/>
                <w:i w:val="0"/>
                <w:iCs w:val="0"/>
                <w:sz w:val="20"/>
                <w:szCs w:val="20"/>
                <w:highlight w:val="none"/>
                <w:vertAlign w:val="baseline"/>
                <w:lang w:val="en-US" w:eastAsia="zh-CN"/>
              </w:rPr>
            </w:pPr>
            <w:r>
              <w:rPr>
                <w:rFonts w:ascii="Times New Roman" w:hAnsi="Times New Roman" w:eastAsia="MS Mincho" w:cs="Times New Roman"/>
                <w:b/>
                <w:bCs/>
                <w:kern w:val="0"/>
                <w:sz w:val="20"/>
                <w:szCs w:val="20"/>
                <w:highlight w:val="none"/>
                <w:lang w:val="en-GB" w:eastAsia="en-US" w:bidi="ar-SA"/>
              </w:rPr>
              <w:t>ΔR</w:t>
            </w:r>
            <w:r>
              <w:rPr>
                <w:rFonts w:ascii="Times New Roman" w:hAnsi="Times New Roman" w:eastAsia="MS Mincho" w:cs="Times New Roman"/>
                <w:b/>
                <w:bCs/>
                <w:kern w:val="0"/>
                <w:sz w:val="20"/>
                <w:szCs w:val="20"/>
                <w:highlight w:val="none"/>
                <w:vertAlign w:val="subscript"/>
                <w:lang w:val="en-GB" w:eastAsia="en-US" w:bidi="ar-SA"/>
              </w:rPr>
              <w:t>1R</w:t>
            </w:r>
            <w:r>
              <w:rPr>
                <w:rFonts w:hint="eastAsia" w:eastAsia="宋体" w:cs="Times New Roman"/>
                <w:b/>
                <w:bCs/>
                <w:kern w:val="0"/>
                <w:sz w:val="20"/>
                <w:szCs w:val="20"/>
                <w:highlight w:val="none"/>
                <w:vertAlign w:val="subscript"/>
                <w:lang w:val="en-US" w:eastAsia="zh-CN" w:bidi="ar-SA"/>
              </w:rPr>
              <w:t xml:space="preserve"> </w:t>
            </w:r>
            <w:r>
              <w:rPr>
                <w:rFonts w:hint="eastAsia" w:eastAsia="宋体" w:cs="Times New Roman"/>
                <w:b/>
                <w:bCs/>
                <w:kern w:val="0"/>
                <w:sz w:val="20"/>
                <w:szCs w:val="20"/>
                <w:highlight w:val="none"/>
                <w:vertAlign w:val="baseline"/>
                <w:lang w:val="en-US" w:eastAsia="zh-CN" w:bidi="ar-SA"/>
              </w:rPr>
              <w:t>+ [0.3]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pStyle w:val="62"/>
              <w:keepNext/>
              <w:keepLines/>
              <w:pageBreakBefore w:val="0"/>
              <w:widowControl w:val="0"/>
              <w:suppressLineNumbers w:val="0"/>
              <w:kinsoku/>
              <w:wordWrap/>
              <w:overflowPunct/>
              <w:topLinePunct w:val="0"/>
              <w:autoSpaceDE/>
              <w:autoSpaceDN/>
              <w:bidi w:val="0"/>
              <w:adjustRightInd/>
              <w:snapToGrid/>
              <w:spacing w:after="180" w:line="240" w:lineRule="auto"/>
              <w:ind w:left="1135" w:leftChars="0" w:hanging="851" w:firstLineChars="0"/>
              <w:jc w:val="center"/>
              <w:textAlignment w:val="auto"/>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 xml:space="preserve">0.5&lt;RSD </w:t>
            </w:r>
            <w:r>
              <w:rPr>
                <w:rFonts w:hint="default" w:ascii="Arial" w:hAnsi="Arial" w:cs="Arial"/>
                <w:b/>
                <w:bCs/>
                <w:i w:val="0"/>
                <w:iCs w:val="0"/>
                <w:sz w:val="20"/>
                <w:szCs w:val="20"/>
                <w:highlight w:val="none"/>
                <w:vertAlign w:val="baseline"/>
                <w:lang w:val="en-US" w:eastAsia="zh-CN"/>
              </w:rPr>
              <w:t>≤</w:t>
            </w:r>
            <w:r>
              <w:rPr>
                <w:rFonts w:hint="eastAsia" w:cs="Times New Roman"/>
                <w:b/>
                <w:bCs/>
                <w:i w:val="0"/>
                <w:iCs w:val="0"/>
                <w:sz w:val="20"/>
                <w:szCs w:val="20"/>
                <w:highlight w:val="none"/>
                <w:vertAlign w:val="baseline"/>
                <w:lang w:val="en-US" w:eastAsia="zh-CN"/>
              </w:rPr>
              <w:t xml:space="preserve"> 1.5</w:t>
            </w:r>
          </w:p>
        </w:tc>
        <w:tc>
          <w:tcPr>
            <w:tcW w:w="0" w:type="auto"/>
            <w:vAlign w:val="top"/>
          </w:tcPr>
          <w:p>
            <w:pPr>
              <w:pStyle w:val="62"/>
              <w:keepNext/>
              <w:keepLines/>
              <w:pageBreakBefore w:val="0"/>
              <w:widowControl w:val="0"/>
              <w:suppressLineNumbers w:val="0"/>
              <w:kinsoku/>
              <w:wordWrap/>
              <w:overflowPunct/>
              <w:topLinePunct w:val="0"/>
              <w:autoSpaceDE/>
              <w:autoSpaceDN/>
              <w:bidi w:val="0"/>
              <w:adjustRightInd/>
              <w:snapToGrid/>
              <w:spacing w:after="180" w:line="240" w:lineRule="auto"/>
              <w:ind w:left="1135" w:leftChars="0" w:hanging="851" w:firstLineChars="0"/>
              <w:jc w:val="center"/>
              <w:textAlignment w:val="auto"/>
              <w:rPr>
                <w:rFonts w:hint="default" w:cs="Times New Roman"/>
                <w:b/>
                <w:bCs/>
                <w:i w:val="0"/>
                <w:iCs w:val="0"/>
                <w:sz w:val="20"/>
                <w:szCs w:val="20"/>
                <w:highlight w:val="none"/>
                <w:vertAlign w:val="baseline"/>
                <w:lang w:val="en-US" w:eastAsia="zh-CN"/>
              </w:rPr>
            </w:pPr>
            <w:r>
              <w:rPr>
                <w:rFonts w:ascii="Times New Roman" w:hAnsi="Times New Roman" w:eastAsia="MS Mincho" w:cs="Times New Roman"/>
                <w:b/>
                <w:bCs/>
                <w:kern w:val="0"/>
                <w:sz w:val="20"/>
                <w:szCs w:val="20"/>
                <w:highlight w:val="none"/>
                <w:lang w:val="en-GB" w:eastAsia="en-US" w:bidi="ar-SA"/>
              </w:rPr>
              <w:t>ΔR</w:t>
            </w:r>
            <w:r>
              <w:rPr>
                <w:rFonts w:ascii="Times New Roman" w:hAnsi="Times New Roman" w:eastAsia="MS Mincho" w:cs="Times New Roman"/>
                <w:b/>
                <w:bCs/>
                <w:kern w:val="0"/>
                <w:sz w:val="20"/>
                <w:szCs w:val="20"/>
                <w:highlight w:val="none"/>
                <w:vertAlign w:val="subscript"/>
                <w:lang w:val="en-GB" w:eastAsia="en-US" w:bidi="ar-SA"/>
              </w:rPr>
              <w:t>1R</w:t>
            </w:r>
            <w:r>
              <w:rPr>
                <w:rFonts w:hint="eastAsia" w:eastAsia="宋体" w:cs="Times New Roman"/>
                <w:b/>
                <w:bCs/>
                <w:kern w:val="0"/>
                <w:sz w:val="20"/>
                <w:szCs w:val="20"/>
                <w:highlight w:val="none"/>
                <w:vertAlign w:val="subscript"/>
                <w:lang w:val="en-US" w:eastAsia="zh-CN" w:bidi="ar-SA"/>
              </w:rPr>
              <w:t xml:space="preserve"> </w:t>
            </w:r>
            <w:r>
              <w:rPr>
                <w:rFonts w:hint="eastAsia" w:eastAsia="宋体" w:cs="Times New Roman"/>
                <w:b/>
                <w:bCs/>
                <w:kern w:val="0"/>
                <w:sz w:val="20"/>
                <w:szCs w:val="20"/>
                <w:highlight w:val="none"/>
                <w:vertAlign w:val="baseline"/>
                <w:lang w:val="en-US" w:eastAsia="zh-CN" w:bidi="ar-SA"/>
              </w:rPr>
              <w:t xml:space="preserve">+ </w:t>
            </w:r>
            <w:r>
              <w:rPr>
                <w:rFonts w:hint="eastAsia" w:cs="Times New Roman"/>
                <w:b/>
                <w:bCs/>
                <w:kern w:val="0"/>
                <w:sz w:val="20"/>
                <w:szCs w:val="20"/>
                <w:highlight w:val="none"/>
                <w:vertAlign w:val="baseline"/>
                <w:lang w:val="en-US" w:eastAsia="zh-CN" w:bidi="ar-SA"/>
              </w:rPr>
              <w:t>[</w:t>
            </w:r>
            <w:r>
              <w:rPr>
                <w:rFonts w:hint="eastAsia" w:eastAsia="宋体" w:cs="Times New Roman"/>
                <w:b/>
                <w:bCs/>
                <w:kern w:val="0"/>
                <w:sz w:val="20"/>
                <w:szCs w:val="20"/>
                <w:highlight w:val="none"/>
                <w:vertAlign w:val="baseline"/>
                <w:lang w:val="en-US" w:eastAsia="zh-CN" w:bidi="ar-SA"/>
              </w:rPr>
              <w:t>0.</w:t>
            </w:r>
            <w:r>
              <w:rPr>
                <w:rFonts w:hint="eastAsia" w:cs="Times New Roman"/>
                <w:b/>
                <w:bCs/>
                <w:kern w:val="0"/>
                <w:sz w:val="20"/>
                <w:szCs w:val="20"/>
                <w:highlight w:val="none"/>
                <w:vertAlign w:val="baseline"/>
                <w:lang w:val="en-US" w:eastAsia="zh-CN"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pStyle w:val="62"/>
              <w:keepNext/>
              <w:keepLines/>
              <w:pageBreakBefore w:val="0"/>
              <w:widowControl w:val="0"/>
              <w:suppressLineNumbers w:val="0"/>
              <w:kinsoku/>
              <w:wordWrap/>
              <w:overflowPunct/>
              <w:topLinePunct w:val="0"/>
              <w:autoSpaceDE/>
              <w:autoSpaceDN/>
              <w:bidi w:val="0"/>
              <w:adjustRightInd/>
              <w:snapToGrid/>
              <w:spacing w:after="180" w:line="240" w:lineRule="auto"/>
              <w:ind w:left="1135" w:leftChars="0" w:hanging="851" w:firstLineChars="0"/>
              <w:jc w:val="center"/>
              <w:textAlignment w:val="auto"/>
              <w:rPr>
                <w:rFonts w:hint="eastAsia" w:ascii="Times New Roman" w:hAnsi="Times New Roman" w:eastAsia="宋体" w:cs="Times New Roman"/>
                <w:b/>
                <w:bCs/>
                <w:i w:val="0"/>
                <w:iCs w:val="0"/>
                <w:kern w:val="0"/>
                <w:sz w:val="20"/>
                <w:szCs w:val="20"/>
                <w:highlight w:val="none"/>
                <w:vertAlign w:val="baseline"/>
                <w:lang w:val="en-US" w:eastAsia="zh-CN" w:bidi="ar-SA"/>
              </w:rPr>
            </w:pPr>
            <w:r>
              <w:rPr>
                <w:rFonts w:hint="eastAsia" w:cs="Times New Roman"/>
                <w:b/>
                <w:bCs/>
                <w:i w:val="0"/>
                <w:iCs w:val="0"/>
                <w:sz w:val="20"/>
                <w:szCs w:val="20"/>
                <w:highlight w:val="none"/>
                <w:vertAlign w:val="baseline"/>
                <w:lang w:val="en-US" w:eastAsia="zh-CN"/>
              </w:rPr>
              <w:t xml:space="preserve">1.5&lt;RSD </w:t>
            </w:r>
            <w:r>
              <w:rPr>
                <w:rFonts w:hint="default" w:ascii="Arial" w:hAnsi="Arial" w:cs="Arial"/>
                <w:b/>
                <w:bCs/>
                <w:i w:val="0"/>
                <w:iCs w:val="0"/>
                <w:sz w:val="20"/>
                <w:szCs w:val="20"/>
                <w:highlight w:val="none"/>
                <w:vertAlign w:val="baseline"/>
                <w:lang w:val="en-US" w:eastAsia="zh-CN"/>
              </w:rPr>
              <w:t>≤</w:t>
            </w:r>
            <w:r>
              <w:rPr>
                <w:rFonts w:hint="eastAsia" w:cs="Times New Roman"/>
                <w:b/>
                <w:bCs/>
                <w:i w:val="0"/>
                <w:iCs w:val="0"/>
                <w:sz w:val="20"/>
                <w:szCs w:val="20"/>
                <w:highlight w:val="none"/>
                <w:vertAlign w:val="baseline"/>
                <w:lang w:val="en-US" w:eastAsia="zh-CN"/>
              </w:rPr>
              <w:t xml:space="preserve"> 3</w:t>
            </w:r>
          </w:p>
        </w:tc>
        <w:tc>
          <w:tcPr>
            <w:tcW w:w="0" w:type="auto"/>
            <w:vAlign w:val="top"/>
          </w:tcPr>
          <w:p>
            <w:pPr>
              <w:pStyle w:val="62"/>
              <w:keepNext/>
              <w:keepLines/>
              <w:pageBreakBefore w:val="0"/>
              <w:widowControl w:val="0"/>
              <w:suppressLineNumbers w:val="0"/>
              <w:kinsoku/>
              <w:wordWrap/>
              <w:overflowPunct/>
              <w:topLinePunct w:val="0"/>
              <w:autoSpaceDE/>
              <w:autoSpaceDN/>
              <w:bidi w:val="0"/>
              <w:adjustRightInd/>
              <w:snapToGrid/>
              <w:spacing w:after="180" w:line="240" w:lineRule="auto"/>
              <w:ind w:left="1135" w:leftChars="0" w:hanging="851" w:firstLineChars="0"/>
              <w:jc w:val="center"/>
              <w:textAlignment w:val="auto"/>
              <w:rPr>
                <w:rFonts w:hint="default" w:ascii="Times New Roman" w:hAnsi="Times New Roman" w:eastAsia="宋体" w:cs="Times New Roman"/>
                <w:b/>
                <w:bCs/>
                <w:i w:val="0"/>
                <w:iCs w:val="0"/>
                <w:kern w:val="0"/>
                <w:sz w:val="20"/>
                <w:szCs w:val="20"/>
                <w:highlight w:val="none"/>
                <w:vertAlign w:val="baseline"/>
                <w:lang w:val="en-GB" w:eastAsia="en-US" w:bidi="ar-SA"/>
              </w:rPr>
            </w:pPr>
            <w:r>
              <w:rPr>
                <w:rFonts w:ascii="Times New Roman" w:hAnsi="Times New Roman" w:eastAsia="MS Mincho" w:cs="Times New Roman"/>
                <w:b/>
                <w:bCs/>
                <w:kern w:val="0"/>
                <w:sz w:val="20"/>
                <w:szCs w:val="20"/>
                <w:highlight w:val="none"/>
                <w:lang w:val="en-GB" w:eastAsia="en-US" w:bidi="ar-SA"/>
              </w:rPr>
              <w:t>ΔR</w:t>
            </w:r>
            <w:r>
              <w:rPr>
                <w:rFonts w:ascii="Times New Roman" w:hAnsi="Times New Roman" w:eastAsia="MS Mincho" w:cs="Times New Roman"/>
                <w:b/>
                <w:bCs/>
                <w:kern w:val="0"/>
                <w:sz w:val="20"/>
                <w:szCs w:val="20"/>
                <w:highlight w:val="none"/>
                <w:vertAlign w:val="subscript"/>
                <w:lang w:val="en-GB" w:eastAsia="en-US" w:bidi="ar-SA"/>
              </w:rPr>
              <w:t>1R</w:t>
            </w:r>
            <w:r>
              <w:rPr>
                <w:rFonts w:hint="eastAsia" w:eastAsia="宋体" w:cs="Times New Roman"/>
                <w:b/>
                <w:bCs/>
                <w:kern w:val="0"/>
                <w:sz w:val="20"/>
                <w:szCs w:val="20"/>
                <w:highlight w:val="none"/>
                <w:vertAlign w:val="subscript"/>
                <w:lang w:val="en-US" w:eastAsia="zh-CN" w:bidi="ar-SA"/>
              </w:rPr>
              <w:t xml:space="preserve"> </w:t>
            </w:r>
            <w:r>
              <w:rPr>
                <w:rFonts w:hint="eastAsia" w:eastAsia="宋体" w:cs="Times New Roman"/>
                <w:b/>
                <w:bCs/>
                <w:kern w:val="0"/>
                <w:sz w:val="20"/>
                <w:szCs w:val="20"/>
                <w:highlight w:val="none"/>
                <w:vertAlign w:val="baseline"/>
                <w:lang w:val="en-US" w:eastAsia="zh-CN" w:bidi="ar-SA"/>
              </w:rPr>
              <w:t xml:space="preserve">+ </w:t>
            </w:r>
            <w:r>
              <w:rPr>
                <w:rFonts w:hint="eastAsia" w:cs="Times New Roman"/>
                <w:b/>
                <w:bCs/>
                <w:kern w:val="0"/>
                <w:sz w:val="20"/>
                <w:szCs w:val="20"/>
                <w:highlight w:val="none"/>
                <w:vertAlign w:val="baseline"/>
                <w:lang w:val="en-US" w:eastAsia="zh-CN"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Align w:val="top"/>
          </w:tcPr>
          <w:p>
            <w:pPr>
              <w:pStyle w:val="62"/>
              <w:keepNext/>
              <w:keepLines/>
              <w:pageBreakBefore w:val="0"/>
              <w:widowControl w:val="0"/>
              <w:suppressLineNumbers w:val="0"/>
              <w:kinsoku/>
              <w:wordWrap/>
              <w:overflowPunct/>
              <w:topLinePunct w:val="0"/>
              <w:autoSpaceDE/>
              <w:autoSpaceDN/>
              <w:bidi w:val="0"/>
              <w:adjustRightInd/>
              <w:snapToGrid/>
              <w:spacing w:after="180" w:line="240" w:lineRule="auto"/>
              <w:ind w:left="1135" w:leftChars="0" w:hanging="851" w:firstLineChars="0"/>
              <w:jc w:val="left"/>
              <w:textAlignment w:val="auto"/>
              <w:rPr>
                <w:rFonts w:hint="default" w:ascii="Times New Roman" w:hAnsi="Times New Roman" w:eastAsia="宋体" w:cs="Times New Roman"/>
                <w:b/>
                <w:bCs/>
                <w:kern w:val="0"/>
                <w:sz w:val="20"/>
                <w:szCs w:val="20"/>
                <w:highlight w:val="none"/>
                <w:lang w:val="en-US" w:eastAsia="zh-CN" w:bidi="ar-SA"/>
              </w:rPr>
            </w:pPr>
            <w:r>
              <w:rPr>
                <w:rFonts w:hint="eastAsia" w:eastAsia="宋体" w:cs="Times New Roman"/>
                <w:b/>
                <w:bCs/>
                <w:kern w:val="0"/>
                <w:sz w:val="20"/>
                <w:szCs w:val="20"/>
                <w:highlight w:val="none"/>
                <w:lang w:val="en-US" w:eastAsia="zh-CN" w:bidi="ar-SA"/>
              </w:rPr>
              <w:t xml:space="preserve">NOTE: </w:t>
            </w:r>
            <w:r>
              <w:rPr>
                <w:rFonts w:ascii="Times New Roman" w:hAnsi="Times New Roman" w:eastAsia="MS Mincho" w:cs="Times New Roman"/>
                <w:b/>
                <w:bCs/>
                <w:kern w:val="0"/>
                <w:sz w:val="20"/>
                <w:szCs w:val="20"/>
                <w:highlight w:val="none"/>
                <w:lang w:val="en-GB" w:eastAsia="en-US" w:bidi="ar-SA"/>
              </w:rPr>
              <w:t>ΔR</w:t>
            </w:r>
            <w:r>
              <w:rPr>
                <w:rFonts w:ascii="Times New Roman" w:hAnsi="Times New Roman" w:eastAsia="MS Mincho" w:cs="Times New Roman"/>
                <w:b/>
                <w:bCs/>
                <w:kern w:val="0"/>
                <w:sz w:val="20"/>
                <w:szCs w:val="20"/>
                <w:highlight w:val="none"/>
                <w:vertAlign w:val="subscript"/>
                <w:lang w:val="en-GB" w:eastAsia="en-US" w:bidi="ar-SA"/>
              </w:rPr>
              <w:t>1R</w:t>
            </w:r>
            <w:r>
              <w:rPr>
                <w:rFonts w:hint="eastAsia" w:eastAsia="宋体" w:cs="Times New Roman"/>
                <w:b/>
                <w:bCs/>
                <w:kern w:val="0"/>
                <w:sz w:val="20"/>
                <w:szCs w:val="20"/>
                <w:highlight w:val="none"/>
                <w:vertAlign w:val="baseline"/>
                <w:lang w:val="en-US" w:eastAsia="zh-CN" w:bidi="ar-SA"/>
              </w:rPr>
              <w:t xml:space="preserve"> is defined </w:t>
            </w:r>
            <w:r>
              <w:rPr>
                <w:rFonts w:ascii="Times New Roman" w:hAnsi="Times New Roman" w:eastAsia="MS Mincho" w:cs="Times New Roman"/>
                <w:b/>
                <w:bCs/>
                <w:kern w:val="0"/>
                <w:sz w:val="20"/>
                <w:szCs w:val="20"/>
                <w:highlight w:val="none"/>
                <w:lang w:val="en-GB" w:eastAsia="en-US" w:bidi="ar-SA"/>
              </w:rPr>
              <w:t>in table 7.3I.2-1</w:t>
            </w:r>
            <w:r>
              <w:rPr>
                <w:rFonts w:hint="eastAsia" w:eastAsia="宋体" w:cs="Times New Roman"/>
                <w:b/>
                <w:bCs/>
                <w:kern w:val="0"/>
                <w:sz w:val="20"/>
                <w:szCs w:val="20"/>
                <w:highlight w:val="none"/>
                <w:lang w:val="en-US" w:eastAsia="zh-CN" w:bidi="ar-SA"/>
              </w:rPr>
              <w:t xml:space="preserve"> in TS38.101-1</w:t>
            </w:r>
          </w:p>
        </w:tc>
      </w:tr>
      <w:bookmarkEnd w:id="12"/>
      <w:bookmarkEnd w:id="13"/>
      <w:bookmarkEnd w:id="14"/>
      <w:bookmarkEnd w:id="15"/>
    </w:tbl>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0"/>
          <w:szCs w:val="20"/>
          <w:highlight w:val="none"/>
        </w:rPr>
      </w:pPr>
      <w:r>
        <w:rPr>
          <w:b/>
          <w:kern w:val="0"/>
          <w:sz w:val="20"/>
          <w:szCs w:val="20"/>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r>
        <w:rPr>
          <w:rFonts w:hint="eastAsia"/>
          <w:bCs/>
          <w:i w:val="0"/>
          <w:iCs w:val="0"/>
          <w:kern w:val="0"/>
          <w:sz w:val="20"/>
          <w:szCs w:val="20"/>
          <w:highlight w:val="none"/>
          <w:lang w:val="en-US" w:eastAsia="zh-CN"/>
        </w:rPr>
        <w:t xml:space="preserve">we give some further discussion on PC2 FDD (e)RedCap, </w:t>
      </w:r>
      <w:r>
        <w:rPr>
          <w:rFonts w:hint="eastAsia"/>
          <w:bCs/>
          <w:kern w:val="0"/>
          <w:sz w:val="20"/>
          <w:szCs w:val="20"/>
          <w:highlight w:val="none"/>
          <w:lang w:val="en-US" w:eastAsia="zh-CN"/>
        </w:rPr>
        <w:t>the conclusions are summarized below:</w:t>
      </w:r>
    </w:p>
    <w:p>
      <w:pPr>
        <w:pStyle w:val="62"/>
        <w:keepNext/>
        <w:keepLines/>
        <w:pageBreakBefore w:val="0"/>
        <w:widowControl w:val="0"/>
        <w:suppressLineNumbers w:val="0"/>
        <w:kinsoku/>
        <w:wordWrap/>
        <w:overflowPunct/>
        <w:topLinePunct w:val="0"/>
        <w:autoSpaceDE/>
        <w:autoSpaceDN/>
        <w:bidi w:val="0"/>
        <w:adjustRightInd/>
        <w:snapToGrid/>
        <w:spacing w:line="240" w:lineRule="auto"/>
        <w:ind w:left="0" w:leftChars="0" w:firstLine="0" w:firstLineChars="0"/>
        <w:jc w:val="left"/>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1: To develop a band agnostic method for all the bands, the format for </w:t>
      </w:r>
      <w:r>
        <w:rPr>
          <w:rFonts w:hint="eastAsia" w:cs="Times New Roman"/>
          <w:b/>
          <w:bCs/>
          <w:i w:val="0"/>
          <w:iCs w:val="0"/>
          <w:kern w:val="0"/>
          <w:sz w:val="20"/>
          <w:vertAlign w:val="baseline"/>
          <w:lang w:val="en-US" w:eastAsia="zh-CN"/>
        </w:rPr>
        <w:t>REFSEN degradation</w:t>
      </w:r>
      <w:r>
        <w:rPr>
          <w:rFonts w:hint="eastAsia" w:eastAsia="宋体" w:cs="Times New Roman"/>
          <w:b/>
          <w:bCs/>
          <w:kern w:val="0"/>
          <w:sz w:val="20"/>
          <w:szCs w:val="20"/>
          <w:highlight w:val="none"/>
          <w:vertAlign w:val="baseline"/>
          <w:lang w:val="en-US" w:eastAsia="zh-CN" w:bidi="ar-SA"/>
        </w:rPr>
        <w:t xml:space="preserve"> for PC2 </w:t>
      </w:r>
      <w:r>
        <w:rPr>
          <w:rFonts w:hint="eastAsia" w:cs="Times New Roman"/>
          <w:b/>
          <w:bCs/>
          <w:i w:val="0"/>
          <w:iCs w:val="0"/>
          <w:kern w:val="0"/>
          <w:sz w:val="20"/>
          <w:vertAlign w:val="baseline"/>
          <w:lang w:val="en-US" w:eastAsia="zh-CN"/>
        </w:rPr>
        <w:t>(e)RedCap 1Rx comparing with</w:t>
      </w:r>
      <w:r>
        <w:rPr>
          <w:rFonts w:hint="eastAsia" w:eastAsia="宋体" w:cs="Times New Roman"/>
          <w:b/>
          <w:bCs/>
          <w:kern w:val="0"/>
          <w:sz w:val="20"/>
          <w:szCs w:val="20"/>
          <w:highlight w:val="none"/>
          <w:vertAlign w:val="baseline"/>
          <w:lang w:val="en-US" w:eastAsia="zh-CN" w:bidi="ar-SA"/>
        </w:rPr>
        <w:t xml:space="preserve"> PC2 </w:t>
      </w:r>
      <w:r>
        <w:rPr>
          <w:rFonts w:hint="eastAsia" w:cs="Times New Roman"/>
          <w:b/>
          <w:bCs/>
          <w:i w:val="0"/>
          <w:iCs w:val="0"/>
          <w:kern w:val="0"/>
          <w:sz w:val="20"/>
          <w:vertAlign w:val="baseline"/>
          <w:lang w:val="en-US" w:eastAsia="zh-CN"/>
        </w:rPr>
        <w:t>(e)RedCap 2Rx based on the RSD ranges could be:</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5"/>
        <w:gridCol w:w="4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keepNext/>
              <w:keepLines/>
              <w:pageBreakBefore w:val="0"/>
              <w:widowControl w:val="0"/>
              <w:suppressLineNumbers w:val="0"/>
              <w:kinsoku/>
              <w:wordWrap/>
              <w:overflowPunct/>
              <w:topLinePunct w:val="0"/>
              <w:autoSpaceDE/>
              <w:autoSpaceDN/>
              <w:bidi w:val="0"/>
              <w:adjustRightInd/>
              <w:snapToGrid/>
              <w:spacing w:after="180" w:line="240" w:lineRule="auto"/>
              <w:ind w:left="1134" w:hanging="850"/>
              <w:jc w:val="center"/>
              <w:textAlignment w:val="auto"/>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RSD Range</w:t>
            </w:r>
          </w:p>
        </w:tc>
        <w:tc>
          <w:tcPr>
            <w:tcW w:w="0" w:type="auto"/>
          </w:tcPr>
          <w:p>
            <w:pPr>
              <w:pStyle w:val="62"/>
              <w:keepNext/>
              <w:keepLines/>
              <w:pageBreakBefore w:val="0"/>
              <w:widowControl w:val="0"/>
              <w:suppressLineNumbers w:val="0"/>
              <w:kinsoku/>
              <w:wordWrap/>
              <w:overflowPunct/>
              <w:topLinePunct w:val="0"/>
              <w:autoSpaceDE/>
              <w:autoSpaceDN/>
              <w:bidi w:val="0"/>
              <w:adjustRightInd/>
              <w:snapToGrid/>
              <w:spacing w:after="180" w:line="240" w:lineRule="auto"/>
              <w:jc w:val="left"/>
              <w:textAlignment w:val="auto"/>
              <w:rPr>
                <w:rFonts w:hint="eastAsia" w:cs="Times New Roman"/>
                <w:b/>
                <w:bCs/>
                <w:i w:val="0"/>
                <w:iCs w:val="0"/>
                <w:kern w:val="0"/>
                <w:sz w:val="20"/>
                <w:vertAlign w:val="baseline"/>
                <w:lang w:val="en-US" w:eastAsia="zh-CN"/>
              </w:rPr>
            </w:pPr>
            <w:r>
              <w:rPr>
                <w:rFonts w:hint="eastAsia" w:cs="Times New Roman"/>
                <w:b/>
                <w:bCs/>
                <w:i w:val="0"/>
                <w:iCs w:val="0"/>
                <w:kern w:val="0"/>
                <w:sz w:val="20"/>
                <w:vertAlign w:val="baseline"/>
                <w:lang w:val="en-US" w:eastAsia="zh-CN"/>
              </w:rPr>
              <w:t>REFSEN degradation</w:t>
            </w:r>
            <w:r>
              <w:rPr>
                <w:rFonts w:hint="eastAsia" w:eastAsia="宋体" w:cs="Times New Roman"/>
                <w:b/>
                <w:bCs/>
                <w:kern w:val="0"/>
                <w:sz w:val="20"/>
                <w:szCs w:val="20"/>
                <w:highlight w:val="none"/>
                <w:vertAlign w:val="baseline"/>
                <w:lang w:val="en-US" w:eastAsia="zh-CN" w:bidi="ar-SA"/>
              </w:rPr>
              <w:t xml:space="preserve"> for PC2 </w:t>
            </w:r>
            <w:r>
              <w:rPr>
                <w:rFonts w:hint="eastAsia" w:cs="Times New Roman"/>
                <w:b/>
                <w:bCs/>
                <w:i w:val="0"/>
                <w:iCs w:val="0"/>
                <w:kern w:val="0"/>
                <w:sz w:val="20"/>
                <w:vertAlign w:val="baseline"/>
                <w:lang w:val="en-US" w:eastAsia="zh-CN"/>
              </w:rPr>
              <w:t xml:space="preserve">(e)RedCap 1Rx </w:t>
            </w:r>
          </w:p>
          <w:p>
            <w:pPr>
              <w:pStyle w:val="62"/>
              <w:keepNext/>
              <w:keepLines/>
              <w:pageBreakBefore w:val="0"/>
              <w:widowControl w:val="0"/>
              <w:suppressLineNumbers w:val="0"/>
              <w:kinsoku/>
              <w:wordWrap/>
              <w:overflowPunct/>
              <w:topLinePunct w:val="0"/>
              <w:autoSpaceDE/>
              <w:autoSpaceDN/>
              <w:bidi w:val="0"/>
              <w:adjustRightInd/>
              <w:snapToGrid/>
              <w:spacing w:after="180" w:line="240" w:lineRule="auto"/>
              <w:ind w:left="1134" w:hanging="850"/>
              <w:jc w:val="left"/>
              <w:textAlignment w:val="auto"/>
              <w:rPr>
                <w:rFonts w:hint="default" w:eastAsia="宋体" w:cs="Times New Roman"/>
                <w:b/>
                <w:bCs/>
                <w:i w:val="0"/>
                <w:iCs w:val="0"/>
                <w:sz w:val="20"/>
                <w:szCs w:val="20"/>
                <w:highlight w:val="none"/>
                <w:vertAlign w:val="baseline"/>
                <w:lang w:val="en-US" w:eastAsia="zh-CN"/>
              </w:rPr>
            </w:pPr>
            <w:r>
              <w:rPr>
                <w:rFonts w:hint="eastAsia" w:cs="Times New Roman"/>
                <w:b/>
                <w:bCs/>
                <w:i w:val="0"/>
                <w:iCs w:val="0"/>
                <w:kern w:val="0"/>
                <w:sz w:val="20"/>
                <w:vertAlign w:val="baseline"/>
                <w:lang w:val="en-US" w:eastAsia="zh-CN"/>
              </w:rPr>
              <w:t>comparing with</w:t>
            </w:r>
            <w:r>
              <w:rPr>
                <w:rFonts w:hint="eastAsia" w:eastAsia="宋体" w:cs="Times New Roman"/>
                <w:b/>
                <w:bCs/>
                <w:kern w:val="0"/>
                <w:sz w:val="20"/>
                <w:szCs w:val="20"/>
                <w:highlight w:val="none"/>
                <w:vertAlign w:val="baseline"/>
                <w:lang w:val="en-US" w:eastAsia="zh-CN" w:bidi="ar-SA"/>
              </w:rPr>
              <w:t xml:space="preserve"> PC2 </w:t>
            </w:r>
            <w:r>
              <w:rPr>
                <w:rFonts w:hint="eastAsia" w:cs="Times New Roman"/>
                <w:b/>
                <w:bCs/>
                <w:i w:val="0"/>
                <w:iCs w:val="0"/>
                <w:kern w:val="0"/>
                <w:sz w:val="20"/>
                <w:vertAlign w:val="baseline"/>
                <w:lang w:val="en-US" w:eastAsia="zh-CN"/>
              </w:rPr>
              <w:t xml:space="preserve">(e)RedCap 2Rx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62"/>
              <w:keepNext/>
              <w:keepLines/>
              <w:pageBreakBefore w:val="0"/>
              <w:widowControl w:val="0"/>
              <w:suppressLineNumbers w:val="0"/>
              <w:kinsoku/>
              <w:wordWrap/>
              <w:overflowPunct/>
              <w:topLinePunct w:val="0"/>
              <w:autoSpaceDE/>
              <w:autoSpaceDN/>
              <w:bidi w:val="0"/>
              <w:adjustRightInd/>
              <w:snapToGrid/>
              <w:spacing w:after="180" w:line="240" w:lineRule="auto"/>
              <w:jc w:val="center"/>
              <w:textAlignment w:val="auto"/>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0</w:t>
            </w:r>
          </w:p>
        </w:tc>
        <w:tc>
          <w:tcPr>
            <w:tcW w:w="0" w:type="auto"/>
          </w:tcPr>
          <w:p>
            <w:pPr>
              <w:pStyle w:val="62"/>
              <w:keepNext/>
              <w:keepLines/>
              <w:pageBreakBefore w:val="0"/>
              <w:widowControl w:val="0"/>
              <w:suppressLineNumbers w:val="0"/>
              <w:kinsoku/>
              <w:wordWrap/>
              <w:overflowPunct/>
              <w:topLinePunct w:val="0"/>
              <w:autoSpaceDE/>
              <w:autoSpaceDN/>
              <w:bidi w:val="0"/>
              <w:adjustRightInd/>
              <w:snapToGrid/>
              <w:spacing w:after="180" w:line="240" w:lineRule="auto"/>
              <w:jc w:val="center"/>
              <w:textAlignment w:val="auto"/>
              <w:rPr>
                <w:rFonts w:hint="eastAsia" w:cs="Times New Roman"/>
                <w:b/>
                <w:bCs/>
                <w:i w:val="0"/>
                <w:iCs w:val="0"/>
                <w:sz w:val="20"/>
                <w:szCs w:val="20"/>
                <w:highlight w:val="none"/>
                <w:vertAlign w:val="baseline"/>
                <w:lang w:val="en-US" w:eastAsia="zh-CN"/>
              </w:rPr>
            </w:pPr>
            <w:r>
              <w:rPr>
                <w:rFonts w:ascii="Times New Roman" w:hAnsi="Times New Roman" w:eastAsia="MS Mincho" w:cs="Times New Roman"/>
                <w:b/>
                <w:bCs/>
                <w:kern w:val="0"/>
                <w:sz w:val="20"/>
                <w:szCs w:val="20"/>
                <w:highlight w:val="none"/>
                <w:lang w:val="en-GB" w:eastAsia="en-US" w:bidi="ar-SA"/>
              </w:rPr>
              <w:t>ΔR</w:t>
            </w:r>
            <w:r>
              <w:rPr>
                <w:rFonts w:ascii="Times New Roman" w:hAnsi="Times New Roman" w:eastAsia="MS Mincho" w:cs="Times New Roman"/>
                <w:b/>
                <w:bCs/>
                <w:kern w:val="0"/>
                <w:sz w:val="20"/>
                <w:szCs w:val="20"/>
                <w:highlight w:val="none"/>
                <w:vertAlign w:val="subscript"/>
                <w:lang w:val="en-GB" w:eastAsia="en-US" w:bidi="ar-SA"/>
              </w:rPr>
              <w:t>1R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62"/>
              <w:keepNext/>
              <w:keepLines/>
              <w:pageBreakBefore w:val="0"/>
              <w:widowControl w:val="0"/>
              <w:suppressLineNumbers w:val="0"/>
              <w:kinsoku/>
              <w:wordWrap/>
              <w:overflowPunct/>
              <w:topLinePunct w:val="0"/>
              <w:autoSpaceDE/>
              <w:autoSpaceDN/>
              <w:bidi w:val="0"/>
              <w:adjustRightInd/>
              <w:snapToGrid/>
              <w:spacing w:after="180" w:line="240" w:lineRule="auto"/>
              <w:jc w:val="center"/>
              <w:textAlignment w:val="auto"/>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 xml:space="preserve">0&lt;RSD </w:t>
            </w:r>
            <w:r>
              <w:rPr>
                <w:rFonts w:hint="default" w:ascii="Arial" w:hAnsi="Arial" w:cs="Arial"/>
                <w:b/>
                <w:bCs/>
                <w:i w:val="0"/>
                <w:iCs w:val="0"/>
                <w:sz w:val="20"/>
                <w:szCs w:val="20"/>
                <w:highlight w:val="none"/>
                <w:vertAlign w:val="baseline"/>
                <w:lang w:val="en-US" w:eastAsia="zh-CN"/>
              </w:rPr>
              <w:t>≤</w:t>
            </w:r>
            <w:r>
              <w:rPr>
                <w:rFonts w:hint="eastAsia" w:cs="Times New Roman"/>
                <w:b/>
                <w:bCs/>
                <w:i w:val="0"/>
                <w:iCs w:val="0"/>
                <w:sz w:val="20"/>
                <w:szCs w:val="20"/>
                <w:highlight w:val="none"/>
                <w:vertAlign w:val="baseline"/>
                <w:lang w:val="en-US" w:eastAsia="zh-CN"/>
              </w:rPr>
              <w:t xml:space="preserve"> 0.5</w:t>
            </w:r>
          </w:p>
        </w:tc>
        <w:tc>
          <w:tcPr>
            <w:tcW w:w="0" w:type="auto"/>
          </w:tcPr>
          <w:p>
            <w:pPr>
              <w:pStyle w:val="62"/>
              <w:keepNext/>
              <w:keepLines/>
              <w:pageBreakBefore w:val="0"/>
              <w:widowControl w:val="0"/>
              <w:suppressLineNumbers w:val="0"/>
              <w:kinsoku/>
              <w:wordWrap/>
              <w:overflowPunct/>
              <w:topLinePunct w:val="0"/>
              <w:autoSpaceDE/>
              <w:autoSpaceDN/>
              <w:bidi w:val="0"/>
              <w:adjustRightInd/>
              <w:snapToGrid/>
              <w:spacing w:after="180" w:line="240" w:lineRule="auto"/>
              <w:jc w:val="center"/>
              <w:textAlignment w:val="auto"/>
              <w:rPr>
                <w:rFonts w:hint="default" w:eastAsia="宋体" w:cs="Times New Roman"/>
                <w:b/>
                <w:bCs/>
                <w:i w:val="0"/>
                <w:iCs w:val="0"/>
                <w:sz w:val="20"/>
                <w:szCs w:val="20"/>
                <w:highlight w:val="none"/>
                <w:vertAlign w:val="baseline"/>
                <w:lang w:val="en-US" w:eastAsia="zh-CN"/>
              </w:rPr>
            </w:pPr>
            <w:r>
              <w:rPr>
                <w:rFonts w:ascii="Times New Roman" w:hAnsi="Times New Roman" w:eastAsia="MS Mincho" w:cs="Times New Roman"/>
                <w:b/>
                <w:bCs/>
                <w:kern w:val="0"/>
                <w:sz w:val="20"/>
                <w:szCs w:val="20"/>
                <w:highlight w:val="none"/>
                <w:lang w:val="en-GB" w:eastAsia="en-US" w:bidi="ar-SA"/>
              </w:rPr>
              <w:t>ΔR</w:t>
            </w:r>
            <w:r>
              <w:rPr>
                <w:rFonts w:ascii="Times New Roman" w:hAnsi="Times New Roman" w:eastAsia="MS Mincho" w:cs="Times New Roman"/>
                <w:b/>
                <w:bCs/>
                <w:kern w:val="0"/>
                <w:sz w:val="20"/>
                <w:szCs w:val="20"/>
                <w:highlight w:val="none"/>
                <w:vertAlign w:val="subscript"/>
                <w:lang w:val="en-GB" w:eastAsia="en-US" w:bidi="ar-SA"/>
              </w:rPr>
              <w:t>1R</w:t>
            </w:r>
            <w:r>
              <w:rPr>
                <w:rFonts w:hint="eastAsia" w:eastAsia="宋体" w:cs="Times New Roman"/>
                <w:b/>
                <w:bCs/>
                <w:kern w:val="0"/>
                <w:sz w:val="20"/>
                <w:szCs w:val="20"/>
                <w:highlight w:val="none"/>
                <w:vertAlign w:val="subscript"/>
                <w:lang w:val="en-US" w:eastAsia="zh-CN" w:bidi="ar-SA"/>
              </w:rPr>
              <w:t xml:space="preserve"> </w:t>
            </w:r>
            <w:r>
              <w:rPr>
                <w:rFonts w:hint="eastAsia" w:eastAsia="宋体" w:cs="Times New Roman"/>
                <w:b/>
                <w:bCs/>
                <w:kern w:val="0"/>
                <w:sz w:val="20"/>
                <w:szCs w:val="20"/>
                <w:highlight w:val="none"/>
                <w:vertAlign w:val="baseline"/>
                <w:lang w:val="en-US" w:eastAsia="zh-CN" w:bidi="ar-SA"/>
              </w:rPr>
              <w:t>+ [0.3]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pStyle w:val="62"/>
              <w:keepNext/>
              <w:keepLines/>
              <w:pageBreakBefore w:val="0"/>
              <w:widowControl w:val="0"/>
              <w:suppressLineNumbers w:val="0"/>
              <w:kinsoku/>
              <w:wordWrap/>
              <w:overflowPunct/>
              <w:topLinePunct w:val="0"/>
              <w:autoSpaceDE/>
              <w:autoSpaceDN/>
              <w:bidi w:val="0"/>
              <w:adjustRightInd/>
              <w:snapToGrid/>
              <w:spacing w:after="180" w:line="240" w:lineRule="auto"/>
              <w:ind w:left="1135" w:leftChars="0" w:hanging="851" w:firstLineChars="0"/>
              <w:jc w:val="center"/>
              <w:textAlignment w:val="auto"/>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 xml:space="preserve">0.5&lt;RSD </w:t>
            </w:r>
            <w:r>
              <w:rPr>
                <w:rFonts w:hint="default" w:ascii="Arial" w:hAnsi="Arial" w:cs="Arial"/>
                <w:b/>
                <w:bCs/>
                <w:i w:val="0"/>
                <w:iCs w:val="0"/>
                <w:sz w:val="20"/>
                <w:szCs w:val="20"/>
                <w:highlight w:val="none"/>
                <w:vertAlign w:val="baseline"/>
                <w:lang w:val="en-US" w:eastAsia="zh-CN"/>
              </w:rPr>
              <w:t>≤</w:t>
            </w:r>
            <w:r>
              <w:rPr>
                <w:rFonts w:hint="eastAsia" w:cs="Times New Roman"/>
                <w:b/>
                <w:bCs/>
                <w:i w:val="0"/>
                <w:iCs w:val="0"/>
                <w:sz w:val="20"/>
                <w:szCs w:val="20"/>
                <w:highlight w:val="none"/>
                <w:vertAlign w:val="baseline"/>
                <w:lang w:val="en-US" w:eastAsia="zh-CN"/>
              </w:rPr>
              <w:t xml:space="preserve"> 1.5</w:t>
            </w:r>
          </w:p>
        </w:tc>
        <w:tc>
          <w:tcPr>
            <w:tcW w:w="0" w:type="auto"/>
            <w:vAlign w:val="top"/>
          </w:tcPr>
          <w:p>
            <w:pPr>
              <w:pStyle w:val="62"/>
              <w:keepNext/>
              <w:keepLines/>
              <w:pageBreakBefore w:val="0"/>
              <w:widowControl w:val="0"/>
              <w:suppressLineNumbers w:val="0"/>
              <w:kinsoku/>
              <w:wordWrap/>
              <w:overflowPunct/>
              <w:topLinePunct w:val="0"/>
              <w:autoSpaceDE/>
              <w:autoSpaceDN/>
              <w:bidi w:val="0"/>
              <w:adjustRightInd/>
              <w:snapToGrid/>
              <w:spacing w:after="180" w:line="240" w:lineRule="auto"/>
              <w:ind w:left="1135" w:leftChars="0" w:hanging="851" w:firstLineChars="0"/>
              <w:jc w:val="center"/>
              <w:textAlignment w:val="auto"/>
              <w:rPr>
                <w:rFonts w:hint="default" w:cs="Times New Roman"/>
                <w:b/>
                <w:bCs/>
                <w:i w:val="0"/>
                <w:iCs w:val="0"/>
                <w:sz w:val="20"/>
                <w:szCs w:val="20"/>
                <w:highlight w:val="none"/>
                <w:vertAlign w:val="baseline"/>
                <w:lang w:val="en-US" w:eastAsia="zh-CN"/>
              </w:rPr>
            </w:pPr>
            <w:r>
              <w:rPr>
                <w:rFonts w:ascii="Times New Roman" w:hAnsi="Times New Roman" w:eastAsia="MS Mincho" w:cs="Times New Roman"/>
                <w:b/>
                <w:bCs/>
                <w:kern w:val="0"/>
                <w:sz w:val="20"/>
                <w:szCs w:val="20"/>
                <w:highlight w:val="none"/>
                <w:lang w:val="en-GB" w:eastAsia="en-US" w:bidi="ar-SA"/>
              </w:rPr>
              <w:t>ΔR</w:t>
            </w:r>
            <w:r>
              <w:rPr>
                <w:rFonts w:ascii="Times New Roman" w:hAnsi="Times New Roman" w:eastAsia="MS Mincho" w:cs="Times New Roman"/>
                <w:b/>
                <w:bCs/>
                <w:kern w:val="0"/>
                <w:sz w:val="20"/>
                <w:szCs w:val="20"/>
                <w:highlight w:val="none"/>
                <w:vertAlign w:val="subscript"/>
                <w:lang w:val="en-GB" w:eastAsia="en-US" w:bidi="ar-SA"/>
              </w:rPr>
              <w:t>1R</w:t>
            </w:r>
            <w:r>
              <w:rPr>
                <w:rFonts w:hint="eastAsia" w:eastAsia="宋体" w:cs="Times New Roman"/>
                <w:b/>
                <w:bCs/>
                <w:kern w:val="0"/>
                <w:sz w:val="20"/>
                <w:szCs w:val="20"/>
                <w:highlight w:val="none"/>
                <w:vertAlign w:val="subscript"/>
                <w:lang w:val="en-US" w:eastAsia="zh-CN" w:bidi="ar-SA"/>
              </w:rPr>
              <w:t xml:space="preserve"> </w:t>
            </w:r>
            <w:r>
              <w:rPr>
                <w:rFonts w:hint="eastAsia" w:eastAsia="宋体" w:cs="Times New Roman"/>
                <w:b/>
                <w:bCs/>
                <w:kern w:val="0"/>
                <w:sz w:val="20"/>
                <w:szCs w:val="20"/>
                <w:highlight w:val="none"/>
                <w:vertAlign w:val="baseline"/>
                <w:lang w:val="en-US" w:eastAsia="zh-CN" w:bidi="ar-SA"/>
              </w:rPr>
              <w:t xml:space="preserve">+ </w:t>
            </w:r>
            <w:r>
              <w:rPr>
                <w:rFonts w:hint="eastAsia" w:cs="Times New Roman"/>
                <w:b/>
                <w:bCs/>
                <w:kern w:val="0"/>
                <w:sz w:val="20"/>
                <w:szCs w:val="20"/>
                <w:highlight w:val="none"/>
                <w:vertAlign w:val="baseline"/>
                <w:lang w:val="en-US" w:eastAsia="zh-CN" w:bidi="ar-SA"/>
              </w:rPr>
              <w:t>[</w:t>
            </w:r>
            <w:r>
              <w:rPr>
                <w:rFonts w:hint="eastAsia" w:eastAsia="宋体" w:cs="Times New Roman"/>
                <w:b/>
                <w:bCs/>
                <w:kern w:val="0"/>
                <w:sz w:val="20"/>
                <w:szCs w:val="20"/>
                <w:highlight w:val="none"/>
                <w:vertAlign w:val="baseline"/>
                <w:lang w:val="en-US" w:eastAsia="zh-CN" w:bidi="ar-SA"/>
              </w:rPr>
              <w:t>0.</w:t>
            </w:r>
            <w:r>
              <w:rPr>
                <w:rFonts w:hint="eastAsia" w:cs="Times New Roman"/>
                <w:b/>
                <w:bCs/>
                <w:kern w:val="0"/>
                <w:sz w:val="20"/>
                <w:szCs w:val="20"/>
                <w:highlight w:val="none"/>
                <w:vertAlign w:val="baseline"/>
                <w:lang w:val="en-US" w:eastAsia="zh-CN"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pStyle w:val="62"/>
              <w:keepNext/>
              <w:keepLines/>
              <w:pageBreakBefore w:val="0"/>
              <w:widowControl w:val="0"/>
              <w:suppressLineNumbers w:val="0"/>
              <w:kinsoku/>
              <w:wordWrap/>
              <w:overflowPunct/>
              <w:topLinePunct w:val="0"/>
              <w:autoSpaceDE/>
              <w:autoSpaceDN/>
              <w:bidi w:val="0"/>
              <w:adjustRightInd/>
              <w:snapToGrid/>
              <w:spacing w:after="180" w:line="240" w:lineRule="auto"/>
              <w:ind w:left="1135" w:leftChars="0" w:hanging="851" w:firstLineChars="0"/>
              <w:jc w:val="center"/>
              <w:textAlignment w:val="auto"/>
              <w:rPr>
                <w:rFonts w:hint="eastAsia" w:ascii="Times New Roman" w:hAnsi="Times New Roman" w:eastAsia="宋体" w:cs="Times New Roman"/>
                <w:b/>
                <w:bCs/>
                <w:i w:val="0"/>
                <w:iCs w:val="0"/>
                <w:kern w:val="0"/>
                <w:sz w:val="20"/>
                <w:szCs w:val="20"/>
                <w:highlight w:val="none"/>
                <w:vertAlign w:val="baseline"/>
                <w:lang w:val="en-US" w:eastAsia="zh-CN" w:bidi="ar-SA"/>
              </w:rPr>
            </w:pPr>
            <w:r>
              <w:rPr>
                <w:rFonts w:hint="eastAsia" w:cs="Times New Roman"/>
                <w:b/>
                <w:bCs/>
                <w:i w:val="0"/>
                <w:iCs w:val="0"/>
                <w:sz w:val="20"/>
                <w:szCs w:val="20"/>
                <w:highlight w:val="none"/>
                <w:vertAlign w:val="baseline"/>
                <w:lang w:val="en-US" w:eastAsia="zh-CN"/>
              </w:rPr>
              <w:t xml:space="preserve">1.5&lt;RSD </w:t>
            </w:r>
            <w:r>
              <w:rPr>
                <w:rFonts w:hint="default" w:ascii="Arial" w:hAnsi="Arial" w:cs="Arial"/>
                <w:b/>
                <w:bCs/>
                <w:i w:val="0"/>
                <w:iCs w:val="0"/>
                <w:sz w:val="20"/>
                <w:szCs w:val="20"/>
                <w:highlight w:val="none"/>
                <w:vertAlign w:val="baseline"/>
                <w:lang w:val="en-US" w:eastAsia="zh-CN"/>
              </w:rPr>
              <w:t>≤</w:t>
            </w:r>
            <w:r>
              <w:rPr>
                <w:rFonts w:hint="eastAsia" w:cs="Times New Roman"/>
                <w:b/>
                <w:bCs/>
                <w:i w:val="0"/>
                <w:iCs w:val="0"/>
                <w:sz w:val="20"/>
                <w:szCs w:val="20"/>
                <w:highlight w:val="none"/>
                <w:vertAlign w:val="baseline"/>
                <w:lang w:val="en-US" w:eastAsia="zh-CN"/>
              </w:rPr>
              <w:t xml:space="preserve"> 3</w:t>
            </w:r>
          </w:p>
        </w:tc>
        <w:tc>
          <w:tcPr>
            <w:tcW w:w="0" w:type="auto"/>
            <w:vAlign w:val="top"/>
          </w:tcPr>
          <w:p>
            <w:pPr>
              <w:pStyle w:val="62"/>
              <w:keepNext/>
              <w:keepLines/>
              <w:pageBreakBefore w:val="0"/>
              <w:widowControl w:val="0"/>
              <w:suppressLineNumbers w:val="0"/>
              <w:kinsoku/>
              <w:wordWrap/>
              <w:overflowPunct/>
              <w:topLinePunct w:val="0"/>
              <w:autoSpaceDE/>
              <w:autoSpaceDN/>
              <w:bidi w:val="0"/>
              <w:adjustRightInd/>
              <w:snapToGrid/>
              <w:spacing w:after="180" w:line="240" w:lineRule="auto"/>
              <w:ind w:left="1135" w:leftChars="0" w:hanging="851" w:firstLineChars="0"/>
              <w:jc w:val="center"/>
              <w:textAlignment w:val="auto"/>
              <w:rPr>
                <w:rFonts w:hint="default" w:ascii="Times New Roman" w:hAnsi="Times New Roman" w:eastAsia="宋体" w:cs="Times New Roman"/>
                <w:b/>
                <w:bCs/>
                <w:i w:val="0"/>
                <w:iCs w:val="0"/>
                <w:kern w:val="0"/>
                <w:sz w:val="20"/>
                <w:szCs w:val="20"/>
                <w:highlight w:val="none"/>
                <w:vertAlign w:val="baseline"/>
                <w:lang w:val="en-GB" w:eastAsia="en-US" w:bidi="ar-SA"/>
              </w:rPr>
            </w:pPr>
            <w:r>
              <w:rPr>
                <w:rFonts w:ascii="Times New Roman" w:hAnsi="Times New Roman" w:eastAsia="MS Mincho" w:cs="Times New Roman"/>
                <w:b/>
                <w:bCs/>
                <w:kern w:val="0"/>
                <w:sz w:val="20"/>
                <w:szCs w:val="20"/>
                <w:highlight w:val="none"/>
                <w:lang w:val="en-GB" w:eastAsia="en-US" w:bidi="ar-SA"/>
              </w:rPr>
              <w:t>ΔR</w:t>
            </w:r>
            <w:r>
              <w:rPr>
                <w:rFonts w:ascii="Times New Roman" w:hAnsi="Times New Roman" w:eastAsia="MS Mincho" w:cs="Times New Roman"/>
                <w:b/>
                <w:bCs/>
                <w:kern w:val="0"/>
                <w:sz w:val="20"/>
                <w:szCs w:val="20"/>
                <w:highlight w:val="none"/>
                <w:vertAlign w:val="subscript"/>
                <w:lang w:val="en-GB" w:eastAsia="en-US" w:bidi="ar-SA"/>
              </w:rPr>
              <w:t>1R</w:t>
            </w:r>
            <w:r>
              <w:rPr>
                <w:rFonts w:hint="eastAsia" w:eastAsia="宋体" w:cs="Times New Roman"/>
                <w:b/>
                <w:bCs/>
                <w:kern w:val="0"/>
                <w:sz w:val="20"/>
                <w:szCs w:val="20"/>
                <w:highlight w:val="none"/>
                <w:vertAlign w:val="subscript"/>
                <w:lang w:val="en-US" w:eastAsia="zh-CN" w:bidi="ar-SA"/>
              </w:rPr>
              <w:t xml:space="preserve"> </w:t>
            </w:r>
            <w:r>
              <w:rPr>
                <w:rFonts w:hint="eastAsia" w:eastAsia="宋体" w:cs="Times New Roman"/>
                <w:b/>
                <w:bCs/>
                <w:kern w:val="0"/>
                <w:sz w:val="20"/>
                <w:szCs w:val="20"/>
                <w:highlight w:val="none"/>
                <w:vertAlign w:val="baseline"/>
                <w:lang w:val="en-US" w:eastAsia="zh-CN" w:bidi="ar-SA"/>
              </w:rPr>
              <w:t xml:space="preserve">+ </w:t>
            </w:r>
            <w:r>
              <w:rPr>
                <w:rFonts w:hint="eastAsia" w:cs="Times New Roman"/>
                <w:b/>
                <w:bCs/>
                <w:kern w:val="0"/>
                <w:sz w:val="20"/>
                <w:szCs w:val="20"/>
                <w:highlight w:val="none"/>
                <w:vertAlign w:val="baseline"/>
                <w:lang w:val="en-US" w:eastAsia="zh-CN"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Align w:val="top"/>
          </w:tcPr>
          <w:p>
            <w:pPr>
              <w:pStyle w:val="62"/>
              <w:keepNext/>
              <w:keepLines/>
              <w:pageBreakBefore w:val="0"/>
              <w:widowControl w:val="0"/>
              <w:suppressLineNumbers w:val="0"/>
              <w:kinsoku/>
              <w:wordWrap/>
              <w:overflowPunct/>
              <w:topLinePunct w:val="0"/>
              <w:autoSpaceDE/>
              <w:autoSpaceDN/>
              <w:bidi w:val="0"/>
              <w:adjustRightInd/>
              <w:snapToGrid/>
              <w:spacing w:after="180" w:line="240" w:lineRule="auto"/>
              <w:ind w:left="1135" w:leftChars="0" w:hanging="851" w:firstLineChars="0"/>
              <w:jc w:val="left"/>
              <w:textAlignment w:val="auto"/>
              <w:rPr>
                <w:rFonts w:hint="default" w:ascii="Times New Roman" w:hAnsi="Times New Roman" w:eastAsia="宋体" w:cs="Times New Roman"/>
                <w:b/>
                <w:bCs/>
                <w:kern w:val="0"/>
                <w:sz w:val="20"/>
                <w:szCs w:val="20"/>
                <w:highlight w:val="none"/>
                <w:lang w:val="en-US" w:eastAsia="zh-CN" w:bidi="ar-SA"/>
              </w:rPr>
            </w:pPr>
            <w:r>
              <w:rPr>
                <w:rFonts w:hint="eastAsia" w:eastAsia="宋体" w:cs="Times New Roman"/>
                <w:b/>
                <w:bCs/>
                <w:kern w:val="0"/>
                <w:sz w:val="20"/>
                <w:szCs w:val="20"/>
                <w:highlight w:val="none"/>
                <w:lang w:val="en-US" w:eastAsia="zh-CN" w:bidi="ar-SA"/>
              </w:rPr>
              <w:t xml:space="preserve">NOTE: </w:t>
            </w:r>
            <w:r>
              <w:rPr>
                <w:rFonts w:ascii="Times New Roman" w:hAnsi="Times New Roman" w:eastAsia="MS Mincho" w:cs="Times New Roman"/>
                <w:b/>
                <w:bCs/>
                <w:kern w:val="0"/>
                <w:sz w:val="20"/>
                <w:szCs w:val="20"/>
                <w:highlight w:val="none"/>
                <w:lang w:val="en-GB" w:eastAsia="en-US" w:bidi="ar-SA"/>
              </w:rPr>
              <w:t>ΔR</w:t>
            </w:r>
            <w:r>
              <w:rPr>
                <w:rFonts w:ascii="Times New Roman" w:hAnsi="Times New Roman" w:eastAsia="MS Mincho" w:cs="Times New Roman"/>
                <w:b/>
                <w:bCs/>
                <w:kern w:val="0"/>
                <w:sz w:val="20"/>
                <w:szCs w:val="20"/>
                <w:highlight w:val="none"/>
                <w:vertAlign w:val="subscript"/>
                <w:lang w:val="en-GB" w:eastAsia="en-US" w:bidi="ar-SA"/>
              </w:rPr>
              <w:t>1R</w:t>
            </w:r>
            <w:r>
              <w:rPr>
                <w:rFonts w:hint="eastAsia" w:eastAsia="宋体" w:cs="Times New Roman"/>
                <w:b/>
                <w:bCs/>
                <w:kern w:val="0"/>
                <w:sz w:val="20"/>
                <w:szCs w:val="20"/>
                <w:highlight w:val="none"/>
                <w:vertAlign w:val="baseline"/>
                <w:lang w:val="en-US" w:eastAsia="zh-CN" w:bidi="ar-SA"/>
              </w:rPr>
              <w:t xml:space="preserve"> is defined </w:t>
            </w:r>
            <w:r>
              <w:rPr>
                <w:rFonts w:ascii="Times New Roman" w:hAnsi="Times New Roman" w:eastAsia="MS Mincho" w:cs="Times New Roman"/>
                <w:b/>
                <w:bCs/>
                <w:kern w:val="0"/>
                <w:sz w:val="20"/>
                <w:szCs w:val="20"/>
                <w:highlight w:val="none"/>
                <w:lang w:val="en-GB" w:eastAsia="en-US" w:bidi="ar-SA"/>
              </w:rPr>
              <w:t>in table 7.3I.2-1</w:t>
            </w:r>
            <w:r>
              <w:rPr>
                <w:rFonts w:hint="eastAsia" w:eastAsia="宋体" w:cs="Times New Roman"/>
                <w:b/>
                <w:bCs/>
                <w:kern w:val="0"/>
                <w:sz w:val="20"/>
                <w:szCs w:val="20"/>
                <w:highlight w:val="none"/>
                <w:lang w:val="en-US" w:eastAsia="zh-CN" w:bidi="ar-SA"/>
              </w:rPr>
              <w:t xml:space="preserve"> in TS38.101-1</w:t>
            </w:r>
          </w:p>
        </w:tc>
      </w:tr>
    </w:tbl>
    <w:p>
      <w:pPr>
        <w:pStyle w:val="62"/>
        <w:keepNext/>
        <w:keepLines/>
        <w:pageBreakBefore w:val="0"/>
        <w:widowControl w:val="0"/>
        <w:suppressLineNumbers w:val="0"/>
        <w:kinsoku/>
        <w:wordWrap/>
        <w:topLinePunct w:val="0"/>
        <w:bidi w:val="0"/>
        <w:spacing w:before="120" w:after="120" w:line="240" w:lineRule="auto"/>
        <w:ind w:left="0" w:firstLine="0"/>
        <w:jc w:val="left"/>
        <w:rPr>
          <w:rFonts w:hint="eastAsia" w:eastAsia="宋体" w:cs="Times New Roman"/>
          <w:b/>
          <w:bCs/>
          <w:kern w:val="0"/>
          <w:sz w:val="20"/>
          <w:szCs w:val="20"/>
          <w:lang w:val="en-US" w:eastAsia="zh-CN" w:bidi="ar-SA"/>
        </w:rPr>
      </w:pPr>
    </w:p>
    <w:p>
      <w:pPr>
        <w:keepNext/>
        <w:keepLines/>
        <w:pageBreakBefore w:val="0"/>
        <w:widowControl w:val="0"/>
        <w:pBdr>
          <w:top w:val="single" w:color="auto" w:sz="12" w:space="3"/>
        </w:pBdr>
        <w:kinsoku/>
        <w:wordWrap/>
        <w:overflowPunct/>
        <w:topLinePunct w:val="0"/>
        <w:autoSpaceDE/>
        <w:autoSpaceDN/>
        <w:bidi w:val="0"/>
        <w:spacing w:beforeLines="0" w:after="120" w:afterLines="0"/>
        <w:jc w:val="left"/>
        <w:textAlignment w:val="auto"/>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cs="Times New Roman"/>
          <w:b w:val="0"/>
          <w:bCs/>
          <w:sz w:val="20"/>
          <w:szCs w:val="20"/>
          <w:highlight w:val="none"/>
          <w:lang w:val="en-US" w:eastAsia="zh-CN"/>
        </w:rPr>
      </w:pPr>
      <w:r>
        <w:rPr>
          <w:rFonts w:hint="eastAsia" w:ascii="Times New Roman" w:hAnsi="Times New Roman" w:cs="Times New Roman"/>
          <w:b w:val="0"/>
          <w:bCs/>
          <w:sz w:val="20"/>
          <w:szCs w:val="20"/>
          <w:highlight w:val="none"/>
          <w:lang w:val="en-US" w:eastAsia="zh-CN"/>
        </w:rPr>
        <w:t>[1] RP-243267, Revised WID on NR power class 2 RedCap (Reduced Capability) UE in FR1, China Telecom</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cs="Times New Roman"/>
          <w:b w:val="0"/>
          <w:bCs/>
          <w:sz w:val="20"/>
          <w:szCs w:val="20"/>
          <w:highlight w:val="none"/>
          <w:lang w:val="en-US" w:eastAsia="zh-CN"/>
        </w:rPr>
      </w:pPr>
      <w:r>
        <w:rPr>
          <w:rFonts w:hint="eastAsia" w:ascii="Times New Roman" w:hAnsi="Times New Roman" w:cs="Times New Roman"/>
          <w:b w:val="0"/>
          <w:bCs/>
          <w:sz w:val="20"/>
          <w:szCs w:val="20"/>
          <w:highlight w:val="none"/>
          <w:lang w:val="en-US" w:eastAsia="zh-CN"/>
        </w:rPr>
        <w:t>[2] R4-2505231, WF on NR PC2 RedCap UE in FDD bands</w:t>
      </w:r>
      <w:r>
        <w:rPr>
          <w:rFonts w:hint="eastAsia" w:cs="Times New Roman"/>
          <w:b w:val="0"/>
          <w:bCs/>
          <w:sz w:val="20"/>
          <w:szCs w:val="20"/>
          <w:highlight w:val="none"/>
          <w:lang w:val="en-US" w:eastAsia="zh-CN"/>
        </w:rPr>
        <w:t xml:space="preserve">, </w:t>
      </w:r>
      <w:r>
        <w:rPr>
          <w:rFonts w:hint="eastAsia" w:ascii="Times New Roman" w:hAnsi="Times New Roman" w:cs="Times New Roman"/>
          <w:b w:val="0"/>
          <w:bCs/>
          <w:sz w:val="20"/>
          <w:szCs w:val="20"/>
          <w:highlight w:val="none"/>
          <w:lang w:val="en-US" w:eastAsia="zh-CN"/>
        </w:rPr>
        <w:t>China Telecom</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cs="Times New Roman"/>
          <w:b w:val="0"/>
          <w:bCs/>
          <w:sz w:val="20"/>
          <w:szCs w:val="20"/>
          <w:highlight w:val="none"/>
          <w:lang w:val="en-US" w:eastAsia="zh-CN"/>
        </w:rPr>
      </w:pPr>
      <w:r>
        <w:rPr>
          <w:rFonts w:hint="eastAsia" w:cs="Times New Roman"/>
          <w:b w:val="0"/>
          <w:bCs/>
          <w:sz w:val="20"/>
          <w:szCs w:val="20"/>
          <w:highlight w:val="none"/>
          <w:lang w:val="en-US" w:eastAsia="zh-CN"/>
        </w:rPr>
        <w:t xml:space="preserve">[3] </w:t>
      </w:r>
      <w:r>
        <w:rPr>
          <w:rFonts w:hint="eastAsia" w:ascii="Times New Roman" w:hAnsi="Times New Roman" w:cs="Times New Roman"/>
          <w:b w:val="0"/>
          <w:bCs/>
          <w:sz w:val="20"/>
          <w:szCs w:val="20"/>
          <w:highlight w:val="none"/>
          <w:lang w:val="en-US" w:eastAsia="zh-CN"/>
        </w:rPr>
        <w:t>R4-2503961</w:t>
      </w:r>
      <w:r>
        <w:rPr>
          <w:rFonts w:hint="eastAsia" w:cs="Times New Roman"/>
          <w:b w:val="0"/>
          <w:bCs/>
          <w:sz w:val="20"/>
          <w:szCs w:val="20"/>
          <w:highlight w:val="none"/>
          <w:lang w:val="en-US" w:eastAsia="zh-CN"/>
        </w:rPr>
        <w:t>,</w:t>
      </w:r>
      <w:r>
        <w:rPr>
          <w:rFonts w:hint="eastAsia" w:ascii="Times New Roman" w:hAnsi="Times New Roman" w:cs="Times New Roman"/>
          <w:b w:val="0"/>
          <w:bCs/>
          <w:sz w:val="20"/>
          <w:szCs w:val="20"/>
          <w:highlight w:val="none"/>
          <w:lang w:val="en-US" w:eastAsia="zh-CN"/>
        </w:rPr>
        <w:t xml:space="preserve"> On PC2 RedCap in FR1, ZTE Corporation</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 w:val="0"/>
          <w:bCs/>
          <w:sz w:val="20"/>
          <w:szCs w:val="20"/>
          <w:highlight w:val="none"/>
          <w:lang w:val="en-US" w:eastAsia="zh-CN"/>
        </w:rPr>
      </w:pPr>
      <w:r>
        <w:rPr>
          <w:rFonts w:hint="eastAsia"/>
          <w:bCs/>
          <w:sz w:val="20"/>
          <w:highlight w:val="none"/>
          <w:lang w:val="en-US" w:eastAsia="zh-CN"/>
        </w:rPr>
        <w:t xml:space="preserve">[4] </w:t>
      </w:r>
      <w:r>
        <w:rPr>
          <w:rFonts w:hint="eastAsia" w:ascii="Times New Roman" w:hAnsi="Times New Roman"/>
          <w:b w:val="0"/>
          <w:bCs/>
          <w:sz w:val="20"/>
          <w:highlight w:val="none"/>
        </w:rPr>
        <w:t>R4-2505231</w:t>
      </w:r>
      <w:r>
        <w:rPr>
          <w:rFonts w:hint="eastAsia" w:ascii="Times New Roman" w:hAnsi="Times New Roman"/>
          <w:b w:val="0"/>
          <w:bCs/>
          <w:sz w:val="20"/>
          <w:highlight w:val="none"/>
          <w:lang w:val="en-US" w:eastAsia="zh-CN"/>
        </w:rPr>
        <w:t xml:space="preserve">, </w:t>
      </w:r>
      <w:r>
        <w:rPr>
          <w:rFonts w:hint="eastAsia"/>
          <w:bCs/>
          <w:sz w:val="20"/>
          <w:highlight w:val="none"/>
        </w:rPr>
        <w:t>On PC2 RedCap n1 and n3 1Rx REFSENS</w:t>
      </w:r>
      <w:r>
        <w:rPr>
          <w:rFonts w:hint="eastAsia"/>
          <w:bCs/>
          <w:sz w:val="20"/>
          <w:highlight w:val="none"/>
          <w:lang w:val="en-US" w:eastAsia="zh-CN"/>
        </w:rPr>
        <w:t>, Apple</w:t>
      </w:r>
      <w:r>
        <w:rPr>
          <w:rFonts w:hint="eastAsia"/>
          <w:bCs/>
          <w:sz w:val="20"/>
          <w:highlight w:val="none"/>
        </w:rPr>
        <w:t xml:space="preserve"> </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sz w:val="20"/>
          <w:szCs w:val="20"/>
          <w:highlight w:val="none"/>
          <w:lang w:val="en-US" w:eastAsia="zh-CN"/>
        </w:rPr>
      </w:pPr>
    </w:p>
    <w:p>
      <w:pPr>
        <w:keepNext/>
        <w:keepLines/>
        <w:pageBreakBefore w:val="0"/>
        <w:widowControl w:val="0"/>
        <w:pBdr>
          <w:top w:val="single" w:color="auto" w:sz="12" w:space="3"/>
        </w:pBdr>
        <w:kinsoku/>
        <w:wordWrap/>
        <w:overflowPunct/>
        <w:topLinePunct w:val="0"/>
        <w:autoSpaceDE/>
        <w:autoSpaceDN/>
        <w:bidi w:val="0"/>
        <w:spacing w:beforeLines="0" w:after="120" w:afterLines="0"/>
        <w:jc w:val="left"/>
        <w:textAlignment w:val="auto"/>
        <w:outlineLvl w:val="0"/>
        <w:rPr>
          <w:rFonts w:hint="default"/>
          <w:b/>
          <w:kern w:val="0"/>
          <w:sz w:val="20"/>
          <w:szCs w:val="20"/>
          <w:highlight w:val="none"/>
          <w:lang w:val="en-US" w:eastAsia="zh-CN"/>
        </w:rPr>
      </w:pPr>
      <w:r>
        <w:rPr>
          <w:rFonts w:hint="eastAsia"/>
          <w:b/>
          <w:kern w:val="0"/>
          <w:sz w:val="20"/>
          <w:szCs w:val="20"/>
          <w:highlight w:val="none"/>
          <w:lang w:val="en-US" w:eastAsia="zh-CN"/>
        </w:rPr>
        <w:t xml:space="preserve">Annex: </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eastAsiaTheme="minorEastAsia"/>
          <w:sz w:val="20"/>
          <w:szCs w:val="20"/>
          <w:lang w:val="en-US" w:eastAsia="zh-CN"/>
        </w:rPr>
      </w:pPr>
    </w:p>
    <w:tbl>
      <w:tblPr>
        <w:tblStyle w:val="22"/>
        <w:tblW w:w="5000" w:type="pct"/>
        <w:tblInd w:w="0" w:type="dxa"/>
        <w:shd w:val="clear" w:color="auto" w:fill="auto"/>
        <w:tblLayout w:type="fixed"/>
        <w:tblCellMar>
          <w:top w:w="0" w:type="dxa"/>
          <w:left w:w="108" w:type="dxa"/>
          <w:bottom w:w="0" w:type="dxa"/>
          <w:right w:w="108" w:type="dxa"/>
        </w:tblCellMar>
      </w:tblPr>
      <w:tblGrid>
        <w:gridCol w:w="3407"/>
        <w:gridCol w:w="855"/>
        <w:gridCol w:w="755"/>
        <w:gridCol w:w="853"/>
        <w:gridCol w:w="757"/>
        <w:gridCol w:w="849"/>
        <w:gridCol w:w="755"/>
        <w:gridCol w:w="849"/>
        <w:gridCol w:w="796"/>
      </w:tblGrid>
      <w:tr>
        <w:tblPrEx>
          <w:shd w:val="clear" w:color="auto" w:fill="auto"/>
          <w:tblCellMar>
            <w:top w:w="0" w:type="dxa"/>
            <w:left w:w="108" w:type="dxa"/>
            <w:bottom w:w="0" w:type="dxa"/>
            <w:right w:w="108" w:type="dxa"/>
          </w:tblCellMar>
        </w:tblPrEx>
        <w:trPr>
          <w:trHeight w:val="264" w:hRule="atLeast"/>
        </w:trPr>
        <w:tc>
          <w:tcPr>
            <w:tcW w:w="1724" w:type="pct"/>
            <w:tcBorders>
              <w:top w:val="nil"/>
              <w:left w:val="nil"/>
              <w:bottom w:val="nil"/>
              <w:right w:val="nil"/>
            </w:tcBorders>
            <w:shd w:val="clear" w:color="auto" w:fill="FFFF00"/>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n2</w:t>
            </w:r>
          </w:p>
        </w:tc>
        <w:tc>
          <w:tcPr>
            <w:tcW w:w="43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31"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3"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5MHz</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10MHz</w:t>
            </w:r>
          </w:p>
        </w:tc>
        <w:tc>
          <w:tcPr>
            <w:tcW w:w="8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15MHz</w:t>
            </w:r>
          </w:p>
        </w:tc>
        <w:tc>
          <w:tcPr>
            <w:tcW w:w="83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20MHz</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Main path</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 path</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Main path</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 path</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Main path</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 path</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Main path</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 path</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PC3 2Rx REFSENS (dBm)</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-98</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-94.8</w:t>
            </w:r>
          </w:p>
        </w:tc>
        <w:tc>
          <w:tcPr>
            <w:tcW w:w="8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-93</w:t>
            </w:r>
          </w:p>
        </w:tc>
        <w:tc>
          <w:tcPr>
            <w:tcW w:w="83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-90.7</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Diversity gain</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8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83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PC3 Thermal noise</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-95</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-95</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-91.8</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-91.8</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-90</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-90</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-87.7</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-87.7</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PC3 Tx noise</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-99.5</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-105.5</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-96</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-102</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-94</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-90</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-96</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Degradation</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1.3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0.4 </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1.4 </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0.4 </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1.5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0.4 </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2.0 </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0.6 </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MRC MSD(i.e.PC2 1Tx 2Rx RSD defined in spec)</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0.8 </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0.9 </w:t>
            </w:r>
          </w:p>
        </w:tc>
        <w:tc>
          <w:tcPr>
            <w:tcW w:w="8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0.9 </w:t>
            </w:r>
          </w:p>
        </w:tc>
        <w:tc>
          <w:tcPr>
            <w:tcW w:w="83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1.2 </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PC2 1Tx 1Rx RSD (dB) </w:t>
            </w:r>
          </w:p>
        </w:tc>
        <w:tc>
          <w:tcPr>
            <w:tcW w:w="432"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1.3 </w:t>
            </w:r>
          </w:p>
        </w:tc>
        <w:tc>
          <w:tcPr>
            <w:tcW w:w="382" w:type="pct"/>
            <w:tcBorders>
              <w:top w:val="single" w:color="000000" w:sz="4" w:space="0"/>
              <w:left w:val="single" w:color="000000" w:sz="4" w:space="0"/>
              <w:bottom w:val="single" w:color="auto" w:sz="4" w:space="0"/>
              <w:right w:val="single" w:color="000000" w:sz="4" w:space="0"/>
              <w:tl2br w:val="single" w:color="000000" w:sz="4" w:space="0"/>
              <w:tr2bl w:val="single" w:color="000000"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31"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1.4 </w:t>
            </w:r>
          </w:p>
        </w:tc>
        <w:tc>
          <w:tcPr>
            <w:tcW w:w="383" w:type="pct"/>
            <w:tcBorders>
              <w:top w:val="single" w:color="000000" w:sz="4" w:space="0"/>
              <w:left w:val="single" w:color="000000" w:sz="4" w:space="0"/>
              <w:bottom w:val="single" w:color="auto" w:sz="4" w:space="0"/>
              <w:right w:val="single" w:color="000000" w:sz="4" w:space="0"/>
              <w:tl2br w:val="single" w:color="000000" w:sz="4" w:space="0"/>
              <w:tr2bl w:val="single" w:color="000000"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29"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1.5 </w:t>
            </w:r>
          </w:p>
        </w:tc>
        <w:tc>
          <w:tcPr>
            <w:tcW w:w="382" w:type="pct"/>
            <w:tcBorders>
              <w:top w:val="single" w:color="000000" w:sz="4" w:space="0"/>
              <w:left w:val="single" w:color="000000" w:sz="4" w:space="0"/>
              <w:bottom w:val="single" w:color="auto" w:sz="4" w:space="0"/>
              <w:right w:val="single" w:color="000000" w:sz="4" w:space="0"/>
              <w:tl2br w:val="single" w:color="000000" w:sz="4" w:space="0"/>
              <w:tr2bl w:val="single" w:color="000000"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29"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2.0 </w:t>
            </w:r>
          </w:p>
        </w:tc>
        <w:tc>
          <w:tcPr>
            <w:tcW w:w="402" w:type="pct"/>
            <w:tcBorders>
              <w:top w:val="single" w:color="000000" w:sz="4" w:space="0"/>
              <w:left w:val="single" w:color="000000" w:sz="4" w:space="0"/>
              <w:bottom w:val="single" w:color="auto" w:sz="4" w:space="0"/>
              <w:right w:val="single" w:color="000000" w:sz="4" w:space="0"/>
              <w:tl2br w:val="single" w:color="000000" w:sz="4" w:space="0"/>
              <w:tr2bl w:val="single" w:color="000000"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delta RSD</w:t>
            </w:r>
          </w:p>
        </w:tc>
        <w:tc>
          <w:tcPr>
            <w:tcW w:w="43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0.5 </w:t>
            </w:r>
          </w:p>
        </w:tc>
        <w:tc>
          <w:tcPr>
            <w:tcW w:w="38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0.5 </w:t>
            </w:r>
          </w:p>
        </w:tc>
        <w:tc>
          <w:tcPr>
            <w:tcW w:w="38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0.6 </w:t>
            </w:r>
          </w:p>
        </w:tc>
        <w:tc>
          <w:tcPr>
            <w:tcW w:w="38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0.8 </w:t>
            </w:r>
          </w:p>
        </w:tc>
        <w:tc>
          <w:tcPr>
            <w:tcW w:w="4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32"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31"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3"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02"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nil"/>
              <w:left w:val="nil"/>
              <w:bottom w:val="nil"/>
              <w:right w:val="nil"/>
            </w:tcBorders>
            <w:shd w:val="clear" w:color="auto" w:fill="FFFF00"/>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n3</w:t>
            </w:r>
          </w:p>
        </w:tc>
        <w:tc>
          <w:tcPr>
            <w:tcW w:w="43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31"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3"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5MHz</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10MHz</w:t>
            </w:r>
          </w:p>
        </w:tc>
        <w:tc>
          <w:tcPr>
            <w:tcW w:w="8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15MHz</w:t>
            </w:r>
          </w:p>
        </w:tc>
        <w:tc>
          <w:tcPr>
            <w:tcW w:w="83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20MHz</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Main path</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 path</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Main path</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 path</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Main path</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 path</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Main path</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 path</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PC3 2Rx REFSENS (dBm)</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-97</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-93.8</w:t>
            </w:r>
          </w:p>
        </w:tc>
        <w:tc>
          <w:tcPr>
            <w:tcW w:w="8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-92</w:t>
            </w:r>
          </w:p>
        </w:tc>
        <w:tc>
          <w:tcPr>
            <w:tcW w:w="83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-90.8</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Diversity gain</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8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83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PC3 Thermal noise</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-94</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-94</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-90.8</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-90.8</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-89</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-89</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-87.8</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-87.8</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PC3 Tx noise</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-101</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-107</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-97.5</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-103.5</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-96</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-102</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-94.5</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-100.5</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Degradation</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0.8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0.2 </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0.8 </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0.2 </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0.8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0.2 </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0.8 </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0.2 </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MRC MSD(i.e.PC2 1Tx 2Rx RSD defined in spec)</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0.5 </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0.5 </w:t>
            </w:r>
          </w:p>
        </w:tc>
        <w:tc>
          <w:tcPr>
            <w:tcW w:w="8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0.5 </w:t>
            </w:r>
          </w:p>
        </w:tc>
        <w:tc>
          <w:tcPr>
            <w:tcW w:w="83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0.5 </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PC2 1Tx 1Rx RSD (dB) </w:t>
            </w:r>
          </w:p>
        </w:tc>
        <w:tc>
          <w:tcPr>
            <w:tcW w:w="432"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0.8 </w:t>
            </w:r>
          </w:p>
        </w:tc>
        <w:tc>
          <w:tcPr>
            <w:tcW w:w="382" w:type="pct"/>
            <w:tcBorders>
              <w:top w:val="single" w:color="000000" w:sz="4" w:space="0"/>
              <w:left w:val="single" w:color="000000" w:sz="4" w:space="0"/>
              <w:bottom w:val="single" w:color="auto" w:sz="4" w:space="0"/>
              <w:right w:val="single" w:color="000000" w:sz="4" w:space="0"/>
              <w:tl2br w:val="single" w:color="000000" w:sz="4" w:space="0"/>
              <w:tr2bl w:val="single" w:color="000000"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31"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0.8 </w:t>
            </w:r>
          </w:p>
        </w:tc>
        <w:tc>
          <w:tcPr>
            <w:tcW w:w="383" w:type="pct"/>
            <w:tcBorders>
              <w:top w:val="single" w:color="000000" w:sz="4" w:space="0"/>
              <w:left w:val="single" w:color="000000" w:sz="4" w:space="0"/>
              <w:bottom w:val="single" w:color="auto" w:sz="4" w:space="0"/>
              <w:right w:val="single" w:color="000000" w:sz="4" w:space="0"/>
              <w:tl2br w:val="single" w:color="000000" w:sz="4" w:space="0"/>
              <w:tr2bl w:val="single" w:color="000000"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29"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0.8 </w:t>
            </w:r>
          </w:p>
        </w:tc>
        <w:tc>
          <w:tcPr>
            <w:tcW w:w="382" w:type="pct"/>
            <w:tcBorders>
              <w:top w:val="single" w:color="000000" w:sz="4" w:space="0"/>
              <w:left w:val="single" w:color="000000" w:sz="4" w:space="0"/>
              <w:bottom w:val="single" w:color="auto" w:sz="4" w:space="0"/>
              <w:right w:val="single" w:color="000000" w:sz="4" w:space="0"/>
              <w:tl2br w:val="single" w:color="000000" w:sz="4" w:space="0"/>
              <w:tr2bl w:val="single" w:color="000000"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29"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0.8 </w:t>
            </w:r>
          </w:p>
        </w:tc>
        <w:tc>
          <w:tcPr>
            <w:tcW w:w="402" w:type="pct"/>
            <w:tcBorders>
              <w:top w:val="single" w:color="000000" w:sz="4" w:space="0"/>
              <w:left w:val="single" w:color="000000" w:sz="4" w:space="0"/>
              <w:bottom w:val="single" w:color="auto" w:sz="4" w:space="0"/>
              <w:right w:val="single" w:color="000000" w:sz="4" w:space="0"/>
              <w:tl2br w:val="single" w:color="000000" w:sz="4" w:space="0"/>
              <w:tr2bl w:val="single" w:color="000000"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delta RSD</w:t>
            </w:r>
          </w:p>
        </w:tc>
        <w:tc>
          <w:tcPr>
            <w:tcW w:w="43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0.3 </w:t>
            </w:r>
          </w:p>
        </w:tc>
        <w:tc>
          <w:tcPr>
            <w:tcW w:w="38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4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0.3 </w:t>
            </w:r>
          </w:p>
        </w:tc>
        <w:tc>
          <w:tcPr>
            <w:tcW w:w="38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4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0.3 </w:t>
            </w:r>
          </w:p>
        </w:tc>
        <w:tc>
          <w:tcPr>
            <w:tcW w:w="38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4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0.3 </w:t>
            </w:r>
          </w:p>
        </w:tc>
        <w:tc>
          <w:tcPr>
            <w:tcW w:w="4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32"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31"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3"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02"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nil"/>
              <w:left w:val="nil"/>
              <w:bottom w:val="nil"/>
              <w:right w:val="nil"/>
            </w:tcBorders>
            <w:shd w:val="clear" w:color="auto" w:fill="FFFF00"/>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n7</w:t>
            </w:r>
          </w:p>
        </w:tc>
        <w:tc>
          <w:tcPr>
            <w:tcW w:w="43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31"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3"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5MHz</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10MHz</w:t>
            </w:r>
          </w:p>
        </w:tc>
        <w:tc>
          <w:tcPr>
            <w:tcW w:w="8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15MHz</w:t>
            </w:r>
          </w:p>
        </w:tc>
        <w:tc>
          <w:tcPr>
            <w:tcW w:w="83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20MHz</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Main path</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 path</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Main path</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 path</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Main path</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 path</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Main path</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 path</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PC3 2Rx REFSENS (dBm)</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-98</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-94.8</w:t>
            </w:r>
          </w:p>
        </w:tc>
        <w:tc>
          <w:tcPr>
            <w:tcW w:w="8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-93</w:t>
            </w:r>
          </w:p>
        </w:tc>
        <w:tc>
          <w:tcPr>
            <w:tcW w:w="83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-90.7</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Diversity gain</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8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83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PC3 Thermal noise</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-95</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-95</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-91.8</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-91.8</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-90</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-90</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-87.7</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-87.7</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PC3 Tx noise</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-102</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-108</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-99</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-105</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-97</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-103</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-94.5</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-100.5</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Degradation</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0.8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0.2 </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0.8 </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0.2 </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0.8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0.2 </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0.8 </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0.2 </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MRC MSD(i.e.PC2 1Tx 2Rx RSD defined in spec)</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0.5 </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0.5 </w:t>
            </w:r>
          </w:p>
        </w:tc>
        <w:tc>
          <w:tcPr>
            <w:tcW w:w="8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0.5 </w:t>
            </w:r>
          </w:p>
        </w:tc>
        <w:tc>
          <w:tcPr>
            <w:tcW w:w="83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0.5 </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PC2 1Tx 1Rx RSD (dB) </w:t>
            </w:r>
          </w:p>
        </w:tc>
        <w:tc>
          <w:tcPr>
            <w:tcW w:w="432"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0.8 </w:t>
            </w:r>
          </w:p>
        </w:tc>
        <w:tc>
          <w:tcPr>
            <w:tcW w:w="382" w:type="pct"/>
            <w:tcBorders>
              <w:top w:val="single" w:color="000000" w:sz="4" w:space="0"/>
              <w:left w:val="single" w:color="000000" w:sz="4" w:space="0"/>
              <w:bottom w:val="single" w:color="auto" w:sz="4" w:space="0"/>
              <w:right w:val="single" w:color="000000" w:sz="4" w:space="0"/>
              <w:tl2br w:val="single" w:color="000000" w:sz="4" w:space="0"/>
              <w:tr2bl w:val="single" w:color="000000"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31"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0.8 </w:t>
            </w:r>
          </w:p>
        </w:tc>
        <w:tc>
          <w:tcPr>
            <w:tcW w:w="383" w:type="pct"/>
            <w:tcBorders>
              <w:top w:val="single" w:color="000000" w:sz="4" w:space="0"/>
              <w:left w:val="single" w:color="000000" w:sz="4" w:space="0"/>
              <w:bottom w:val="single" w:color="auto" w:sz="4" w:space="0"/>
              <w:right w:val="single" w:color="000000" w:sz="4" w:space="0"/>
              <w:tl2br w:val="single" w:color="000000" w:sz="4" w:space="0"/>
              <w:tr2bl w:val="single" w:color="000000"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29"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0.8 </w:t>
            </w:r>
          </w:p>
        </w:tc>
        <w:tc>
          <w:tcPr>
            <w:tcW w:w="382" w:type="pct"/>
            <w:tcBorders>
              <w:top w:val="single" w:color="000000" w:sz="4" w:space="0"/>
              <w:left w:val="single" w:color="000000" w:sz="4" w:space="0"/>
              <w:bottom w:val="single" w:color="auto" w:sz="4" w:space="0"/>
              <w:right w:val="single" w:color="000000" w:sz="4" w:space="0"/>
              <w:tl2br w:val="single" w:color="000000" w:sz="4" w:space="0"/>
              <w:tr2bl w:val="single" w:color="000000"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29"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0.8 </w:t>
            </w:r>
          </w:p>
        </w:tc>
        <w:tc>
          <w:tcPr>
            <w:tcW w:w="402" w:type="pct"/>
            <w:tcBorders>
              <w:top w:val="single" w:color="000000" w:sz="4" w:space="0"/>
              <w:left w:val="single" w:color="000000" w:sz="4" w:space="0"/>
              <w:bottom w:val="single" w:color="auto" w:sz="4" w:space="0"/>
              <w:right w:val="single" w:color="000000" w:sz="4" w:space="0"/>
              <w:tl2br w:val="single" w:color="000000" w:sz="4" w:space="0"/>
              <w:tr2bl w:val="single" w:color="000000"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delta RSD</w:t>
            </w:r>
          </w:p>
        </w:tc>
        <w:tc>
          <w:tcPr>
            <w:tcW w:w="43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0.3 </w:t>
            </w:r>
          </w:p>
        </w:tc>
        <w:tc>
          <w:tcPr>
            <w:tcW w:w="38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0.3 </w:t>
            </w:r>
          </w:p>
        </w:tc>
        <w:tc>
          <w:tcPr>
            <w:tcW w:w="38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0.3 </w:t>
            </w:r>
          </w:p>
        </w:tc>
        <w:tc>
          <w:tcPr>
            <w:tcW w:w="38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0.3 </w:t>
            </w:r>
          </w:p>
        </w:tc>
        <w:tc>
          <w:tcPr>
            <w:tcW w:w="402" w:type="pct"/>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32"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31"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3"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02"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nil"/>
              <w:left w:val="nil"/>
              <w:bottom w:val="nil"/>
              <w:right w:val="nil"/>
            </w:tcBorders>
            <w:shd w:val="clear" w:color="auto" w:fill="FFFF00"/>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n8</w:t>
            </w:r>
          </w:p>
        </w:tc>
        <w:tc>
          <w:tcPr>
            <w:tcW w:w="43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31"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3"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5MHz</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10MHz</w:t>
            </w:r>
          </w:p>
        </w:tc>
        <w:tc>
          <w:tcPr>
            <w:tcW w:w="8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15MHz</w:t>
            </w:r>
          </w:p>
        </w:tc>
        <w:tc>
          <w:tcPr>
            <w:tcW w:w="83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20MHz</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Main path</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 path</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Main path</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 path</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Main path</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 path</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Main path</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 path</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PC3 2Rx REFSENS (dBm)</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-97</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-93.8</w:t>
            </w:r>
          </w:p>
        </w:tc>
        <w:tc>
          <w:tcPr>
            <w:tcW w:w="8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-91.4</w:t>
            </w:r>
          </w:p>
        </w:tc>
        <w:tc>
          <w:tcPr>
            <w:tcW w:w="83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-85.8</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Diversity gain</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8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83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PC3 Thermal noise</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-94</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-94</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-90.8</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-90.8</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-88.4</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-88.4</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-82.8</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-82.8</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PC3 Tx noise</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-101</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-107</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-96</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-102</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-93</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-99</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-81.5</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-87.5</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Degradation</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0.8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0.2 </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1.1 </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0.3 </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1.3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0.4 </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3.7 </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1.3 </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MRC MSD(i.e.PC2 1Tx 2Rx RSD defined in spec)</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0.5 </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0.7 </w:t>
            </w:r>
          </w:p>
        </w:tc>
        <w:tc>
          <w:tcPr>
            <w:tcW w:w="8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0.8 </w:t>
            </w:r>
          </w:p>
        </w:tc>
        <w:tc>
          <w:tcPr>
            <w:tcW w:w="83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2.3 </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PC2 1Tx 1Rx RSD (dB) </w:t>
            </w:r>
          </w:p>
        </w:tc>
        <w:tc>
          <w:tcPr>
            <w:tcW w:w="432"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0.8 </w:t>
            </w:r>
          </w:p>
        </w:tc>
        <w:tc>
          <w:tcPr>
            <w:tcW w:w="382" w:type="pct"/>
            <w:tcBorders>
              <w:top w:val="single" w:color="000000" w:sz="4" w:space="0"/>
              <w:left w:val="single" w:color="000000" w:sz="4" w:space="0"/>
              <w:bottom w:val="single" w:color="auto" w:sz="4" w:space="0"/>
              <w:right w:val="single" w:color="000000" w:sz="4" w:space="0"/>
              <w:tl2br w:val="single" w:color="000000" w:sz="4" w:space="0"/>
              <w:tr2bl w:val="single" w:color="000000"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31"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1.1 </w:t>
            </w:r>
          </w:p>
        </w:tc>
        <w:tc>
          <w:tcPr>
            <w:tcW w:w="383" w:type="pct"/>
            <w:tcBorders>
              <w:top w:val="single" w:color="000000" w:sz="4" w:space="0"/>
              <w:left w:val="single" w:color="000000" w:sz="4" w:space="0"/>
              <w:bottom w:val="single" w:color="auto" w:sz="4" w:space="0"/>
              <w:right w:val="single" w:color="000000" w:sz="4" w:space="0"/>
              <w:tl2br w:val="single" w:color="000000" w:sz="4" w:space="0"/>
              <w:tr2bl w:val="single" w:color="000000"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29"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1.3 </w:t>
            </w:r>
          </w:p>
        </w:tc>
        <w:tc>
          <w:tcPr>
            <w:tcW w:w="382" w:type="pct"/>
            <w:tcBorders>
              <w:top w:val="single" w:color="000000" w:sz="4" w:space="0"/>
              <w:left w:val="single" w:color="000000" w:sz="4" w:space="0"/>
              <w:bottom w:val="single" w:color="auto" w:sz="4" w:space="0"/>
              <w:right w:val="single" w:color="000000" w:sz="4" w:space="0"/>
              <w:tl2br w:val="single" w:color="000000" w:sz="4" w:space="0"/>
              <w:tr2bl w:val="single" w:color="000000"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29"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3.7 </w:t>
            </w:r>
          </w:p>
        </w:tc>
        <w:tc>
          <w:tcPr>
            <w:tcW w:w="402" w:type="pct"/>
            <w:tcBorders>
              <w:top w:val="single" w:color="000000" w:sz="4" w:space="0"/>
              <w:left w:val="single" w:color="000000" w:sz="4" w:space="0"/>
              <w:bottom w:val="single" w:color="auto" w:sz="4" w:space="0"/>
              <w:right w:val="single" w:color="000000" w:sz="4" w:space="0"/>
              <w:tl2br w:val="single" w:color="000000" w:sz="4" w:space="0"/>
              <w:tr2bl w:val="single" w:color="000000"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delta RSD</w:t>
            </w:r>
          </w:p>
        </w:tc>
        <w:tc>
          <w:tcPr>
            <w:tcW w:w="43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0.3 </w:t>
            </w:r>
          </w:p>
        </w:tc>
        <w:tc>
          <w:tcPr>
            <w:tcW w:w="38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0.4 </w:t>
            </w:r>
          </w:p>
        </w:tc>
        <w:tc>
          <w:tcPr>
            <w:tcW w:w="38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0.5 </w:t>
            </w:r>
          </w:p>
        </w:tc>
        <w:tc>
          <w:tcPr>
            <w:tcW w:w="38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1.4 </w:t>
            </w:r>
          </w:p>
        </w:tc>
        <w:tc>
          <w:tcPr>
            <w:tcW w:w="402" w:type="pct"/>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32"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31"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3"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02"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nil"/>
              <w:left w:val="nil"/>
              <w:bottom w:val="nil"/>
              <w:right w:val="nil"/>
            </w:tcBorders>
            <w:shd w:val="clear" w:color="auto" w:fill="FFFF00"/>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n13</w:t>
            </w:r>
          </w:p>
        </w:tc>
        <w:tc>
          <w:tcPr>
            <w:tcW w:w="43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31"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3"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5MHz</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10MHz</w:t>
            </w: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Main path</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 path</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Main path</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 path</w:t>
            </w: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PC3 2Rx REFSENS (dBm)</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-97</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-93.8</w:t>
            </w: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Diversity gain</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PC3 Thermal noise</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-94</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-94</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-90.8</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-90.8</w:t>
            </w: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PC3 Tx noise</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-98.5</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-104.5</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-95</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-101</w:t>
            </w: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Degradation</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1.3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0.4 </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1.4 </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0.4 </w:t>
            </w: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MRC MSD(i.e.PC2 1Tx 2Rx RSD defined in spec)</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0.8 </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0.9 </w:t>
            </w: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PC2 1Tx 1Rx RSD (dB) </w:t>
            </w:r>
          </w:p>
        </w:tc>
        <w:tc>
          <w:tcPr>
            <w:tcW w:w="432"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1.3 </w:t>
            </w:r>
          </w:p>
        </w:tc>
        <w:tc>
          <w:tcPr>
            <w:tcW w:w="382" w:type="pct"/>
            <w:tcBorders>
              <w:top w:val="single" w:color="000000" w:sz="4" w:space="0"/>
              <w:left w:val="single" w:color="000000" w:sz="4" w:space="0"/>
              <w:bottom w:val="single" w:color="auto" w:sz="4" w:space="0"/>
              <w:right w:val="single" w:color="000000" w:sz="4" w:space="0"/>
              <w:tl2br w:val="single" w:color="000000" w:sz="4" w:space="0"/>
              <w:tr2bl w:val="single" w:color="000000"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31"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1.4 </w:t>
            </w:r>
          </w:p>
        </w:tc>
        <w:tc>
          <w:tcPr>
            <w:tcW w:w="383" w:type="pct"/>
            <w:tcBorders>
              <w:top w:val="single" w:color="000000" w:sz="4" w:space="0"/>
              <w:left w:val="single" w:color="000000" w:sz="4" w:space="0"/>
              <w:bottom w:val="single" w:color="auto" w:sz="4" w:space="0"/>
              <w:right w:val="single" w:color="000000" w:sz="4" w:space="0"/>
              <w:tl2br w:val="single" w:color="000000" w:sz="4" w:space="0"/>
              <w:tr2bl w:val="single" w:color="000000"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delta RSD</w:t>
            </w:r>
          </w:p>
        </w:tc>
        <w:tc>
          <w:tcPr>
            <w:tcW w:w="43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0.5 </w:t>
            </w:r>
          </w:p>
        </w:tc>
        <w:tc>
          <w:tcPr>
            <w:tcW w:w="38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0.5 </w:t>
            </w:r>
          </w:p>
        </w:tc>
        <w:tc>
          <w:tcPr>
            <w:tcW w:w="38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29" w:type="pct"/>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32"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31"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3"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nil"/>
              <w:left w:val="nil"/>
              <w:bottom w:val="nil"/>
              <w:right w:val="nil"/>
            </w:tcBorders>
            <w:shd w:val="clear" w:color="auto" w:fill="FFFF00"/>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n14</w:t>
            </w:r>
          </w:p>
        </w:tc>
        <w:tc>
          <w:tcPr>
            <w:tcW w:w="43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31"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3"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5MHz</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10MHz</w:t>
            </w: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Main path</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 path</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Main path</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 path</w:t>
            </w: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PC3 2Rx REFSENS (dBm)</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-97</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-93.8</w:t>
            </w: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Diversity gain</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PC3 Thermal noise</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-94</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-94</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-90.8</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-90.8</w:t>
            </w: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PC3 Tx noise</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-106</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-95.5</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-101.5</w:t>
            </w: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Degradation</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0.3 </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1.3 </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0.4 </w:t>
            </w: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MRC MSD(i.e.PC2 1Tx 2Rx RSD defined in spec)</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0.6 </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0.8 </w:t>
            </w: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PC2 1Tx 1Rx RSD (dB) </w:t>
            </w:r>
          </w:p>
        </w:tc>
        <w:tc>
          <w:tcPr>
            <w:tcW w:w="432"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1.0 </w:t>
            </w:r>
          </w:p>
        </w:tc>
        <w:tc>
          <w:tcPr>
            <w:tcW w:w="382" w:type="pct"/>
            <w:tcBorders>
              <w:top w:val="single" w:color="000000" w:sz="4" w:space="0"/>
              <w:left w:val="single" w:color="000000" w:sz="4" w:space="0"/>
              <w:bottom w:val="single" w:color="auto" w:sz="4" w:space="0"/>
              <w:right w:val="single" w:color="000000" w:sz="4" w:space="0"/>
              <w:tl2br w:val="single" w:color="000000" w:sz="4" w:space="0"/>
              <w:tr2bl w:val="single" w:color="000000"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31"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1.3 </w:t>
            </w:r>
          </w:p>
        </w:tc>
        <w:tc>
          <w:tcPr>
            <w:tcW w:w="383" w:type="pct"/>
            <w:tcBorders>
              <w:top w:val="single" w:color="000000" w:sz="4" w:space="0"/>
              <w:left w:val="single" w:color="000000" w:sz="4" w:space="0"/>
              <w:bottom w:val="single" w:color="auto" w:sz="4" w:space="0"/>
              <w:right w:val="single" w:color="000000" w:sz="4" w:space="0"/>
              <w:tl2br w:val="single" w:color="000000" w:sz="4" w:space="0"/>
              <w:tr2bl w:val="single" w:color="000000"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delta RSD</w:t>
            </w:r>
          </w:p>
        </w:tc>
        <w:tc>
          <w:tcPr>
            <w:tcW w:w="43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0.4 </w:t>
            </w:r>
          </w:p>
        </w:tc>
        <w:tc>
          <w:tcPr>
            <w:tcW w:w="38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0.5 </w:t>
            </w:r>
          </w:p>
        </w:tc>
        <w:tc>
          <w:tcPr>
            <w:tcW w:w="38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29" w:type="pct"/>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32"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31"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3"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nil"/>
              <w:left w:val="nil"/>
              <w:bottom w:val="nil"/>
              <w:right w:val="nil"/>
            </w:tcBorders>
            <w:shd w:val="clear" w:color="auto" w:fill="FFFF00"/>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n25</w:t>
            </w:r>
          </w:p>
        </w:tc>
        <w:tc>
          <w:tcPr>
            <w:tcW w:w="43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31"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3"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5MHz</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10MHz</w:t>
            </w:r>
          </w:p>
        </w:tc>
        <w:tc>
          <w:tcPr>
            <w:tcW w:w="8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15MHz</w:t>
            </w:r>
          </w:p>
        </w:tc>
        <w:tc>
          <w:tcPr>
            <w:tcW w:w="83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20MHz</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Main path</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 path</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Main path</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 path</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Main path</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 path</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Main path</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 path</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PC3 2Rx REFSENS (dBm)</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-96.5</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-93.3</w:t>
            </w:r>
          </w:p>
        </w:tc>
        <w:tc>
          <w:tcPr>
            <w:tcW w:w="8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-91.5</w:t>
            </w:r>
          </w:p>
        </w:tc>
        <w:tc>
          <w:tcPr>
            <w:tcW w:w="83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-90.3</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Diversity gain</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8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83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PC3 Thermal noise</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-93.5</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-93.5</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-90.3</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-90.3</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-88.5</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-88.5</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-87.3</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-87.3</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PC3 Tx noise</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-98</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-104</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-95</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-101</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-92.5</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-98.5</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-90.5</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-96.5</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Degradation</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1.3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0.4 </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1.3 </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0.4 </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1.5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0.4 </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1.7 </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0.5 </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MRC MSD(i.e.PC2 1Tx 2Rx RSD defined in spec)</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0.8 </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0.8 </w:t>
            </w:r>
          </w:p>
        </w:tc>
        <w:tc>
          <w:tcPr>
            <w:tcW w:w="8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0.9 </w:t>
            </w:r>
          </w:p>
        </w:tc>
        <w:tc>
          <w:tcPr>
            <w:tcW w:w="83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1.1 </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PC2 1Tx 1Rx RSD (dB) </w:t>
            </w:r>
          </w:p>
        </w:tc>
        <w:tc>
          <w:tcPr>
            <w:tcW w:w="432"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1.3 </w:t>
            </w:r>
          </w:p>
        </w:tc>
        <w:tc>
          <w:tcPr>
            <w:tcW w:w="382" w:type="pct"/>
            <w:tcBorders>
              <w:top w:val="single" w:color="000000" w:sz="4" w:space="0"/>
              <w:left w:val="single" w:color="000000" w:sz="4" w:space="0"/>
              <w:bottom w:val="single" w:color="auto" w:sz="4" w:space="0"/>
              <w:right w:val="single" w:color="000000" w:sz="4" w:space="0"/>
              <w:tl2br w:val="single" w:color="000000" w:sz="4" w:space="0"/>
              <w:tr2bl w:val="single" w:color="000000"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31"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1.3 </w:t>
            </w:r>
          </w:p>
        </w:tc>
        <w:tc>
          <w:tcPr>
            <w:tcW w:w="383" w:type="pct"/>
            <w:tcBorders>
              <w:top w:val="single" w:color="000000" w:sz="4" w:space="0"/>
              <w:left w:val="single" w:color="000000" w:sz="4" w:space="0"/>
              <w:bottom w:val="single" w:color="auto" w:sz="4" w:space="0"/>
              <w:right w:val="single" w:color="000000" w:sz="4" w:space="0"/>
              <w:tl2br w:val="single" w:color="000000" w:sz="4" w:space="0"/>
              <w:tr2bl w:val="single" w:color="000000"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29"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1.5 </w:t>
            </w:r>
          </w:p>
        </w:tc>
        <w:tc>
          <w:tcPr>
            <w:tcW w:w="382" w:type="pct"/>
            <w:tcBorders>
              <w:top w:val="single" w:color="000000" w:sz="4" w:space="0"/>
              <w:left w:val="single" w:color="000000" w:sz="4" w:space="0"/>
              <w:bottom w:val="single" w:color="auto" w:sz="4" w:space="0"/>
              <w:right w:val="single" w:color="000000" w:sz="4" w:space="0"/>
              <w:tl2br w:val="single" w:color="000000" w:sz="4" w:space="0"/>
              <w:tr2bl w:val="single" w:color="000000"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29"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1.7 </w:t>
            </w:r>
          </w:p>
        </w:tc>
        <w:tc>
          <w:tcPr>
            <w:tcW w:w="402" w:type="pct"/>
            <w:tcBorders>
              <w:top w:val="single" w:color="000000" w:sz="4" w:space="0"/>
              <w:left w:val="single" w:color="000000" w:sz="4" w:space="0"/>
              <w:bottom w:val="single" w:color="auto" w:sz="4" w:space="0"/>
              <w:right w:val="single" w:color="000000" w:sz="4" w:space="0"/>
              <w:tl2br w:val="single" w:color="000000" w:sz="4" w:space="0"/>
              <w:tr2bl w:val="single" w:color="000000"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r>
      <w:tr>
        <w:tblPrEx>
          <w:tblCellMar>
            <w:top w:w="0" w:type="dxa"/>
            <w:left w:w="108" w:type="dxa"/>
            <w:bottom w:w="0" w:type="dxa"/>
            <w:right w:w="108" w:type="dxa"/>
          </w:tblCellMar>
        </w:tblPrEx>
        <w:trPr>
          <w:trHeight w:val="264" w:hRule="atLeast"/>
        </w:trPr>
        <w:tc>
          <w:tcPr>
            <w:tcW w:w="172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delta RSD</w:t>
            </w:r>
          </w:p>
        </w:tc>
        <w:tc>
          <w:tcPr>
            <w:tcW w:w="43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0.5 </w:t>
            </w:r>
          </w:p>
        </w:tc>
        <w:tc>
          <w:tcPr>
            <w:tcW w:w="38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0.5 </w:t>
            </w:r>
          </w:p>
        </w:tc>
        <w:tc>
          <w:tcPr>
            <w:tcW w:w="38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0.6 </w:t>
            </w:r>
          </w:p>
        </w:tc>
        <w:tc>
          <w:tcPr>
            <w:tcW w:w="38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0.6 </w:t>
            </w:r>
          </w:p>
        </w:tc>
        <w:tc>
          <w:tcPr>
            <w:tcW w:w="402" w:type="pct"/>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tblCellMar>
            <w:top w:w="0" w:type="dxa"/>
            <w:left w:w="108" w:type="dxa"/>
            <w:bottom w:w="0" w:type="dxa"/>
            <w:right w:w="108" w:type="dxa"/>
          </w:tblCellMar>
        </w:tblPrEx>
        <w:trPr>
          <w:trHeight w:val="264" w:hRule="atLeast"/>
        </w:trPr>
        <w:tc>
          <w:tcPr>
            <w:tcW w:w="1724"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32"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31"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3"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02" w:type="pct"/>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tblCellMar>
            <w:top w:w="0" w:type="dxa"/>
            <w:left w:w="108" w:type="dxa"/>
            <w:bottom w:w="0" w:type="dxa"/>
            <w:right w:w="108" w:type="dxa"/>
          </w:tblCellMar>
        </w:tblPrEx>
        <w:trPr>
          <w:trHeight w:val="264" w:hRule="atLeast"/>
        </w:trPr>
        <w:tc>
          <w:tcPr>
            <w:tcW w:w="1724" w:type="pct"/>
            <w:tcBorders>
              <w:top w:val="nil"/>
              <w:left w:val="nil"/>
              <w:bottom w:val="nil"/>
              <w:right w:val="nil"/>
            </w:tcBorders>
            <w:shd w:val="clear" w:color="auto" w:fill="FFFF00"/>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n28</w:t>
            </w:r>
          </w:p>
        </w:tc>
        <w:tc>
          <w:tcPr>
            <w:tcW w:w="43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31"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3"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5MHz</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10MHz</w:t>
            </w:r>
          </w:p>
        </w:tc>
        <w:tc>
          <w:tcPr>
            <w:tcW w:w="8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15MHz</w:t>
            </w:r>
          </w:p>
        </w:tc>
        <w:tc>
          <w:tcPr>
            <w:tcW w:w="83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20MHz</w:t>
            </w:r>
          </w:p>
        </w:tc>
      </w:tr>
      <w:tr>
        <w:tblPrEx>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Main path</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 path</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Main path</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 path</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Main path</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 path</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Main path</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 path</w:t>
            </w:r>
          </w:p>
        </w:tc>
      </w:tr>
      <w:tr>
        <w:tblPrEx>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PC3 2Rx REFSENS (dBm)</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-98.5</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-95.5</w:t>
            </w:r>
          </w:p>
        </w:tc>
        <w:tc>
          <w:tcPr>
            <w:tcW w:w="8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-93.5</w:t>
            </w:r>
          </w:p>
        </w:tc>
        <w:tc>
          <w:tcPr>
            <w:tcW w:w="83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-90.8</w:t>
            </w:r>
          </w:p>
        </w:tc>
      </w:tr>
      <w:tr>
        <w:tblPrEx>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Diversity gain</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8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83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PC3 Thermal noise</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-95.5</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-95.5</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-92.5</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-92.5</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-90.5</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-90.5</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-87.8</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-87.8</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PC3 Tx noise</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-101.5</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-107.5</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-97.5</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-103.5</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-95</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-101</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-90</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-96</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Degradation</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0.3 </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1.2 </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0.3 </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1.3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0.4 </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2.0 </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0.6 </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MRC MSD(i.e.PC2 1Tx 2Rx RSD defined in spec)</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0.6 </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0.7 </w:t>
            </w:r>
          </w:p>
        </w:tc>
        <w:tc>
          <w:tcPr>
            <w:tcW w:w="8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0.8 </w:t>
            </w:r>
          </w:p>
        </w:tc>
        <w:tc>
          <w:tcPr>
            <w:tcW w:w="83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1.3 </w:t>
            </w: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PC2 1Tx 1Rx RSD (dB) </w:t>
            </w:r>
          </w:p>
        </w:tc>
        <w:tc>
          <w:tcPr>
            <w:tcW w:w="432"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1.0 </w:t>
            </w:r>
          </w:p>
        </w:tc>
        <w:tc>
          <w:tcPr>
            <w:tcW w:w="382" w:type="pct"/>
            <w:tcBorders>
              <w:top w:val="single" w:color="000000" w:sz="4" w:space="0"/>
              <w:left w:val="single" w:color="000000" w:sz="4" w:space="0"/>
              <w:bottom w:val="single" w:color="auto" w:sz="4" w:space="0"/>
              <w:right w:val="single" w:color="000000" w:sz="4" w:space="0"/>
              <w:tl2br w:val="single" w:color="000000" w:sz="4" w:space="0"/>
              <w:tr2bl w:val="single" w:color="000000"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31"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1.2 </w:t>
            </w:r>
          </w:p>
        </w:tc>
        <w:tc>
          <w:tcPr>
            <w:tcW w:w="383" w:type="pct"/>
            <w:tcBorders>
              <w:top w:val="single" w:color="000000" w:sz="4" w:space="0"/>
              <w:left w:val="single" w:color="000000" w:sz="4" w:space="0"/>
              <w:bottom w:val="single" w:color="auto" w:sz="4" w:space="0"/>
              <w:right w:val="single" w:color="000000" w:sz="4" w:space="0"/>
              <w:tl2br w:val="single" w:color="000000" w:sz="4" w:space="0"/>
              <w:tr2bl w:val="single" w:color="000000"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29"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1.3 </w:t>
            </w:r>
          </w:p>
        </w:tc>
        <w:tc>
          <w:tcPr>
            <w:tcW w:w="382" w:type="pct"/>
            <w:tcBorders>
              <w:top w:val="single" w:color="000000" w:sz="4" w:space="0"/>
              <w:left w:val="single" w:color="000000" w:sz="4" w:space="0"/>
              <w:bottom w:val="single" w:color="auto" w:sz="4" w:space="0"/>
              <w:right w:val="single" w:color="000000" w:sz="4" w:space="0"/>
              <w:tl2br w:val="single" w:color="000000" w:sz="4" w:space="0"/>
              <w:tr2bl w:val="single" w:color="000000"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29"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2.0 </w:t>
            </w:r>
          </w:p>
        </w:tc>
        <w:tc>
          <w:tcPr>
            <w:tcW w:w="402" w:type="pct"/>
            <w:tcBorders>
              <w:top w:val="single" w:color="000000" w:sz="4" w:space="0"/>
              <w:left w:val="single" w:color="000000" w:sz="4" w:space="0"/>
              <w:bottom w:val="single" w:color="auto" w:sz="4" w:space="0"/>
              <w:right w:val="single" w:color="000000" w:sz="4" w:space="0"/>
              <w:tl2br w:val="single" w:color="000000" w:sz="4" w:space="0"/>
              <w:tr2bl w:val="single" w:color="000000"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delta RSD</w:t>
            </w:r>
          </w:p>
        </w:tc>
        <w:tc>
          <w:tcPr>
            <w:tcW w:w="43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0.4 </w:t>
            </w:r>
          </w:p>
        </w:tc>
        <w:tc>
          <w:tcPr>
            <w:tcW w:w="38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0.5 </w:t>
            </w:r>
          </w:p>
        </w:tc>
        <w:tc>
          <w:tcPr>
            <w:tcW w:w="38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0.5 </w:t>
            </w:r>
          </w:p>
        </w:tc>
        <w:tc>
          <w:tcPr>
            <w:tcW w:w="38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18"/>
                <w:szCs w:val="18"/>
                <w:u w:val="none"/>
              </w:rPr>
            </w:pPr>
          </w:p>
        </w:tc>
        <w:tc>
          <w:tcPr>
            <w:tcW w:w="4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0.8 </w:t>
            </w:r>
          </w:p>
        </w:tc>
        <w:tc>
          <w:tcPr>
            <w:tcW w:w="402" w:type="pct"/>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Lines="0" w:afterLines="0"/>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c>
          <w:tcPr>
            <w:tcW w:w="432"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c>
          <w:tcPr>
            <w:tcW w:w="431"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c>
          <w:tcPr>
            <w:tcW w:w="383"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c>
          <w:tcPr>
            <w:tcW w:w="432"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c>
          <w:tcPr>
            <w:tcW w:w="431"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c>
          <w:tcPr>
            <w:tcW w:w="383"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nil"/>
              <w:left w:val="nil"/>
              <w:bottom w:val="nil"/>
              <w:right w:val="nil"/>
            </w:tcBorders>
            <w:shd w:val="clear" w:color="auto" w:fill="FFFF00"/>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n85</w:t>
            </w:r>
          </w:p>
        </w:tc>
        <w:tc>
          <w:tcPr>
            <w:tcW w:w="432"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c>
          <w:tcPr>
            <w:tcW w:w="431"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c>
          <w:tcPr>
            <w:tcW w:w="383"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c>
          <w:tcPr>
            <w:tcW w:w="382"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5MHz</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10MHz</w:t>
            </w:r>
          </w:p>
        </w:tc>
        <w:tc>
          <w:tcPr>
            <w:tcW w:w="8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15MHz</w:t>
            </w:r>
          </w:p>
        </w:tc>
        <w:tc>
          <w:tcPr>
            <w:tcW w:w="429"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Main path</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 path</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Main path</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 path</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Main path</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 path</w:t>
            </w:r>
          </w:p>
        </w:tc>
        <w:tc>
          <w:tcPr>
            <w:tcW w:w="429"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PC3 2Rx REFSENS (dBm)</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-97</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-93.8</w:t>
            </w:r>
          </w:p>
        </w:tc>
        <w:tc>
          <w:tcPr>
            <w:tcW w:w="8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-84</w:t>
            </w:r>
          </w:p>
        </w:tc>
        <w:tc>
          <w:tcPr>
            <w:tcW w:w="429"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Diversity gain</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8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29"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PC3 Thermal noise</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-94</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-94</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-90.8</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-90.8</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-81</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-81</w:t>
            </w:r>
          </w:p>
        </w:tc>
        <w:tc>
          <w:tcPr>
            <w:tcW w:w="429"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PC3 Tx noise</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-106</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-94.5</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-100.5</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-79</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-85</w:t>
            </w:r>
          </w:p>
        </w:tc>
        <w:tc>
          <w:tcPr>
            <w:tcW w:w="429"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Degradation</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1.0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0.3 </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1.5 </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0.4 </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4.1 </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1.5 </w:t>
            </w:r>
          </w:p>
        </w:tc>
        <w:tc>
          <w:tcPr>
            <w:tcW w:w="429"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MRC MSD(i.e.PC2 1Tx 2Rx RSD defined in spec)</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0.6 </w:t>
            </w:r>
          </w:p>
        </w:tc>
        <w:tc>
          <w:tcPr>
            <w:tcW w:w="8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1.0 </w:t>
            </w:r>
          </w:p>
        </w:tc>
        <w:tc>
          <w:tcPr>
            <w:tcW w:w="8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2.6 </w:t>
            </w:r>
          </w:p>
        </w:tc>
        <w:tc>
          <w:tcPr>
            <w:tcW w:w="429"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PC2 1Tx 1Rx RSD (dB) </w:t>
            </w:r>
          </w:p>
        </w:tc>
        <w:tc>
          <w:tcPr>
            <w:tcW w:w="432"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1.0 </w:t>
            </w:r>
          </w:p>
        </w:tc>
        <w:tc>
          <w:tcPr>
            <w:tcW w:w="382" w:type="pct"/>
            <w:tcBorders>
              <w:top w:val="single" w:color="000000" w:sz="4" w:space="0"/>
              <w:left w:val="single" w:color="000000" w:sz="4" w:space="0"/>
              <w:bottom w:val="single" w:color="auto" w:sz="4" w:space="0"/>
              <w:right w:val="single" w:color="000000" w:sz="4" w:space="0"/>
              <w:tl2br w:val="single" w:color="000000" w:sz="4" w:space="0"/>
              <w:tr2bl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sz w:val="18"/>
                <w:szCs w:val="18"/>
                <w:u w:val="none"/>
              </w:rPr>
            </w:pPr>
          </w:p>
        </w:tc>
        <w:tc>
          <w:tcPr>
            <w:tcW w:w="431"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1.5 </w:t>
            </w:r>
          </w:p>
        </w:tc>
        <w:tc>
          <w:tcPr>
            <w:tcW w:w="383" w:type="pct"/>
            <w:tcBorders>
              <w:top w:val="single" w:color="000000" w:sz="4" w:space="0"/>
              <w:left w:val="single" w:color="000000" w:sz="4" w:space="0"/>
              <w:bottom w:val="single" w:color="auto" w:sz="4" w:space="0"/>
              <w:right w:val="single" w:color="000000" w:sz="4" w:space="0"/>
              <w:tl2br w:val="single" w:color="000000" w:sz="4" w:space="0"/>
              <w:tr2bl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sz w:val="18"/>
                <w:szCs w:val="18"/>
                <w:u w:val="none"/>
              </w:rPr>
            </w:pPr>
          </w:p>
        </w:tc>
        <w:tc>
          <w:tcPr>
            <w:tcW w:w="429" w:type="pct"/>
            <w:tcBorders>
              <w:top w:val="single" w:color="000000" w:sz="4" w:space="0"/>
              <w:left w:val="single" w:color="000000" w:sz="4" w:space="0"/>
              <w:bottom w:val="single" w:color="auto"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4.1 </w:t>
            </w:r>
          </w:p>
        </w:tc>
        <w:tc>
          <w:tcPr>
            <w:tcW w:w="382" w:type="pct"/>
            <w:tcBorders>
              <w:top w:val="single" w:color="000000" w:sz="4" w:space="0"/>
              <w:left w:val="single" w:color="000000" w:sz="4" w:space="0"/>
              <w:bottom w:val="single" w:color="auto" w:sz="4" w:space="0"/>
              <w:right w:val="single" w:color="000000" w:sz="4" w:space="0"/>
              <w:tl2br w:val="single" w:color="000000" w:sz="4" w:space="0"/>
              <w:tr2bl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sz w:val="18"/>
                <w:szCs w:val="18"/>
                <w:u w:val="none"/>
              </w:rPr>
            </w:pPr>
          </w:p>
        </w:tc>
        <w:tc>
          <w:tcPr>
            <w:tcW w:w="429"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64" w:hRule="atLeast"/>
        </w:trPr>
        <w:tc>
          <w:tcPr>
            <w:tcW w:w="172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delta RSD</w:t>
            </w:r>
          </w:p>
        </w:tc>
        <w:tc>
          <w:tcPr>
            <w:tcW w:w="43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0.4 </w:t>
            </w:r>
          </w:p>
        </w:tc>
        <w:tc>
          <w:tcPr>
            <w:tcW w:w="382"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4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0.6 </w:t>
            </w:r>
          </w:p>
        </w:tc>
        <w:tc>
          <w:tcPr>
            <w:tcW w:w="38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4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1.5 </w:t>
            </w:r>
          </w:p>
        </w:tc>
        <w:tc>
          <w:tcPr>
            <w:tcW w:w="382"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429" w:type="pct"/>
            <w:tcBorders>
              <w:top w:val="nil"/>
              <w:left w:val="single" w:color="auto" w:sz="4" w:space="0"/>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c>
          <w:tcPr>
            <w:tcW w:w="402" w:type="pct"/>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18"/>
                <w:szCs w:val="18"/>
                <w:u w:val="none"/>
              </w:rPr>
            </w:pPr>
          </w:p>
        </w:tc>
      </w:tr>
    </w:tbl>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eastAsiaTheme="minorEastAsia"/>
          <w:sz w:val="20"/>
          <w:szCs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15300E1"/>
    <w:multiLevelType w:val="multilevel"/>
    <w:tmpl w:val="015300E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60" w:hanging="440"/>
      </w:pPr>
      <w:rPr>
        <w:rFonts w:hint="default" w:ascii="Wingdings" w:hAnsi="Wingdings"/>
      </w:rPr>
    </w:lvl>
    <w:lvl w:ilvl="2" w:tentative="0">
      <w:start w:val="1"/>
      <w:numFmt w:val="bullet"/>
      <w:lvlText w:val="−"/>
      <w:lvlJc w:val="left"/>
      <w:pPr>
        <w:ind w:left="1280" w:hanging="440"/>
      </w:pPr>
      <w:rPr>
        <w:rFonts w:hint="default" w:ascii="Arial" w:hAnsi="Arial" w:cs="Times New Roman"/>
        <w:color w:val="auto"/>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6CAB20A3"/>
    <w:multiLevelType w:val="multilevel"/>
    <w:tmpl w:val="6CAB20A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60" w:hanging="440"/>
      </w:pPr>
      <w:rPr>
        <w:rFonts w:hint="default" w:ascii="Arial" w:hAnsi="Arial" w:cs="Times New Roman"/>
        <w:color w:val="auto"/>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6"/>
  </w:num>
  <w:num w:numId="3">
    <w:abstractNumId w:val="4"/>
  </w:num>
  <w:num w:numId="4">
    <w:abstractNumId w:val="5"/>
  </w:num>
  <w:num w:numId="5">
    <w:abstractNumId w:val="1"/>
  </w:num>
  <w:num w:numId="6">
    <w:abstractNumId w:val="0"/>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819"/>
    <w:rsid w:val="00291C5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6057"/>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077A"/>
    <w:rsid w:val="01101B26"/>
    <w:rsid w:val="01117244"/>
    <w:rsid w:val="0117001C"/>
    <w:rsid w:val="011A0B49"/>
    <w:rsid w:val="011E09FA"/>
    <w:rsid w:val="011F019D"/>
    <w:rsid w:val="01216A56"/>
    <w:rsid w:val="01370912"/>
    <w:rsid w:val="014A0623"/>
    <w:rsid w:val="01536583"/>
    <w:rsid w:val="0163078D"/>
    <w:rsid w:val="017554EF"/>
    <w:rsid w:val="01764F01"/>
    <w:rsid w:val="018107C9"/>
    <w:rsid w:val="01854FE9"/>
    <w:rsid w:val="0186020E"/>
    <w:rsid w:val="018E207B"/>
    <w:rsid w:val="0190283E"/>
    <w:rsid w:val="019D155B"/>
    <w:rsid w:val="019E58B5"/>
    <w:rsid w:val="01A428BB"/>
    <w:rsid w:val="01AE307F"/>
    <w:rsid w:val="01B315BE"/>
    <w:rsid w:val="01B35169"/>
    <w:rsid w:val="01C00B7B"/>
    <w:rsid w:val="01D46B8D"/>
    <w:rsid w:val="01D866D8"/>
    <w:rsid w:val="01D92520"/>
    <w:rsid w:val="01EE2663"/>
    <w:rsid w:val="01F90434"/>
    <w:rsid w:val="01FA0209"/>
    <w:rsid w:val="01FB366B"/>
    <w:rsid w:val="01FD3930"/>
    <w:rsid w:val="020129D0"/>
    <w:rsid w:val="021235C4"/>
    <w:rsid w:val="021B7C87"/>
    <w:rsid w:val="02210DF0"/>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66C17"/>
    <w:rsid w:val="02655431"/>
    <w:rsid w:val="02656EE1"/>
    <w:rsid w:val="026E6F9B"/>
    <w:rsid w:val="027275A1"/>
    <w:rsid w:val="027371D9"/>
    <w:rsid w:val="0276366F"/>
    <w:rsid w:val="027C45A5"/>
    <w:rsid w:val="027F646E"/>
    <w:rsid w:val="028D15B2"/>
    <w:rsid w:val="028F6D4C"/>
    <w:rsid w:val="02933CBB"/>
    <w:rsid w:val="02951DBD"/>
    <w:rsid w:val="029A69A7"/>
    <w:rsid w:val="029B04E7"/>
    <w:rsid w:val="02A10998"/>
    <w:rsid w:val="02A82715"/>
    <w:rsid w:val="02A931C0"/>
    <w:rsid w:val="02AB0FBC"/>
    <w:rsid w:val="02AE6812"/>
    <w:rsid w:val="02B34B20"/>
    <w:rsid w:val="02D16C80"/>
    <w:rsid w:val="02D863B5"/>
    <w:rsid w:val="02DC3F9C"/>
    <w:rsid w:val="02F3714B"/>
    <w:rsid w:val="02F43C4D"/>
    <w:rsid w:val="03047DDD"/>
    <w:rsid w:val="03056308"/>
    <w:rsid w:val="03073BDC"/>
    <w:rsid w:val="030B0647"/>
    <w:rsid w:val="030B2860"/>
    <w:rsid w:val="030C40C1"/>
    <w:rsid w:val="030D2F0B"/>
    <w:rsid w:val="030F3B4D"/>
    <w:rsid w:val="03147978"/>
    <w:rsid w:val="031B083A"/>
    <w:rsid w:val="031C45BA"/>
    <w:rsid w:val="031C48B2"/>
    <w:rsid w:val="0325500B"/>
    <w:rsid w:val="033C68CE"/>
    <w:rsid w:val="03445E8F"/>
    <w:rsid w:val="03477E6F"/>
    <w:rsid w:val="03496C64"/>
    <w:rsid w:val="035154D3"/>
    <w:rsid w:val="03527C38"/>
    <w:rsid w:val="0356746F"/>
    <w:rsid w:val="036E37C2"/>
    <w:rsid w:val="03701F2B"/>
    <w:rsid w:val="03746F87"/>
    <w:rsid w:val="03780D14"/>
    <w:rsid w:val="037828CA"/>
    <w:rsid w:val="03814F5B"/>
    <w:rsid w:val="038158C1"/>
    <w:rsid w:val="038A6EA9"/>
    <w:rsid w:val="038B3141"/>
    <w:rsid w:val="03A77DFA"/>
    <w:rsid w:val="03AA5C06"/>
    <w:rsid w:val="03B339B1"/>
    <w:rsid w:val="03B93D2B"/>
    <w:rsid w:val="03C05350"/>
    <w:rsid w:val="03C1287B"/>
    <w:rsid w:val="03C14CED"/>
    <w:rsid w:val="03C36B0E"/>
    <w:rsid w:val="03C528EA"/>
    <w:rsid w:val="03CB136B"/>
    <w:rsid w:val="03CF67FA"/>
    <w:rsid w:val="03D36A93"/>
    <w:rsid w:val="03D67C9F"/>
    <w:rsid w:val="03D80F36"/>
    <w:rsid w:val="03DF1641"/>
    <w:rsid w:val="03E358F3"/>
    <w:rsid w:val="03E641C4"/>
    <w:rsid w:val="03E84DE8"/>
    <w:rsid w:val="03E85B1E"/>
    <w:rsid w:val="03ED7404"/>
    <w:rsid w:val="03EF59AD"/>
    <w:rsid w:val="03F14FBF"/>
    <w:rsid w:val="04006F66"/>
    <w:rsid w:val="04030035"/>
    <w:rsid w:val="040F0942"/>
    <w:rsid w:val="04251A4C"/>
    <w:rsid w:val="04264B8D"/>
    <w:rsid w:val="042D2E97"/>
    <w:rsid w:val="04305EA0"/>
    <w:rsid w:val="04310833"/>
    <w:rsid w:val="04343921"/>
    <w:rsid w:val="043865BF"/>
    <w:rsid w:val="043A14AD"/>
    <w:rsid w:val="044A0B45"/>
    <w:rsid w:val="044C78D8"/>
    <w:rsid w:val="04537B11"/>
    <w:rsid w:val="045B1940"/>
    <w:rsid w:val="045E5422"/>
    <w:rsid w:val="04684A28"/>
    <w:rsid w:val="046912C1"/>
    <w:rsid w:val="046C0EAE"/>
    <w:rsid w:val="04782230"/>
    <w:rsid w:val="0479507E"/>
    <w:rsid w:val="04894975"/>
    <w:rsid w:val="04A65723"/>
    <w:rsid w:val="04B14B03"/>
    <w:rsid w:val="04BF59AA"/>
    <w:rsid w:val="04C27FBA"/>
    <w:rsid w:val="04C509AD"/>
    <w:rsid w:val="04DA1A87"/>
    <w:rsid w:val="04DE2DA3"/>
    <w:rsid w:val="04EB6DF8"/>
    <w:rsid w:val="04FF1C94"/>
    <w:rsid w:val="04FF7D5A"/>
    <w:rsid w:val="0502349F"/>
    <w:rsid w:val="050E7487"/>
    <w:rsid w:val="05161D2D"/>
    <w:rsid w:val="0522500E"/>
    <w:rsid w:val="052E568F"/>
    <w:rsid w:val="053973F0"/>
    <w:rsid w:val="053E65E7"/>
    <w:rsid w:val="05432527"/>
    <w:rsid w:val="0543341E"/>
    <w:rsid w:val="05497A54"/>
    <w:rsid w:val="054E2A6F"/>
    <w:rsid w:val="0555228E"/>
    <w:rsid w:val="055E60D6"/>
    <w:rsid w:val="05631A11"/>
    <w:rsid w:val="056E5F14"/>
    <w:rsid w:val="05741F0E"/>
    <w:rsid w:val="057D1D66"/>
    <w:rsid w:val="059807F8"/>
    <w:rsid w:val="059C03E5"/>
    <w:rsid w:val="059D265F"/>
    <w:rsid w:val="05AF4B3B"/>
    <w:rsid w:val="05B92EC1"/>
    <w:rsid w:val="05C6156B"/>
    <w:rsid w:val="05C868B7"/>
    <w:rsid w:val="05D11A72"/>
    <w:rsid w:val="05D87815"/>
    <w:rsid w:val="05DF7FAD"/>
    <w:rsid w:val="05E078B3"/>
    <w:rsid w:val="05E54FB9"/>
    <w:rsid w:val="05EE6827"/>
    <w:rsid w:val="05F50EDF"/>
    <w:rsid w:val="05FB6CA5"/>
    <w:rsid w:val="05FC1B86"/>
    <w:rsid w:val="0601277E"/>
    <w:rsid w:val="060C5AED"/>
    <w:rsid w:val="06103146"/>
    <w:rsid w:val="06172561"/>
    <w:rsid w:val="061E54DA"/>
    <w:rsid w:val="061E5E22"/>
    <w:rsid w:val="062B440F"/>
    <w:rsid w:val="062C26E7"/>
    <w:rsid w:val="06460B91"/>
    <w:rsid w:val="064A5D21"/>
    <w:rsid w:val="0654187C"/>
    <w:rsid w:val="065475DE"/>
    <w:rsid w:val="06556C03"/>
    <w:rsid w:val="06637BD9"/>
    <w:rsid w:val="066974D8"/>
    <w:rsid w:val="06782F84"/>
    <w:rsid w:val="067C28D6"/>
    <w:rsid w:val="06896C4B"/>
    <w:rsid w:val="068E06BC"/>
    <w:rsid w:val="069201CB"/>
    <w:rsid w:val="06956E2E"/>
    <w:rsid w:val="06B2457F"/>
    <w:rsid w:val="06B741D9"/>
    <w:rsid w:val="06BF45D2"/>
    <w:rsid w:val="06C457B6"/>
    <w:rsid w:val="06CD4A70"/>
    <w:rsid w:val="06DF4C13"/>
    <w:rsid w:val="06E7678C"/>
    <w:rsid w:val="06F14C51"/>
    <w:rsid w:val="06F42A88"/>
    <w:rsid w:val="06F801C0"/>
    <w:rsid w:val="07105178"/>
    <w:rsid w:val="0712124C"/>
    <w:rsid w:val="071426A5"/>
    <w:rsid w:val="071614A3"/>
    <w:rsid w:val="071C13A8"/>
    <w:rsid w:val="071E2EF6"/>
    <w:rsid w:val="072C2C42"/>
    <w:rsid w:val="07324CB2"/>
    <w:rsid w:val="07330445"/>
    <w:rsid w:val="073D143C"/>
    <w:rsid w:val="0747308D"/>
    <w:rsid w:val="074855FD"/>
    <w:rsid w:val="074C2C73"/>
    <w:rsid w:val="07627CA0"/>
    <w:rsid w:val="076319C4"/>
    <w:rsid w:val="076925D2"/>
    <w:rsid w:val="077179E6"/>
    <w:rsid w:val="077241E3"/>
    <w:rsid w:val="07731BAD"/>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51934"/>
    <w:rsid w:val="07B9290D"/>
    <w:rsid w:val="07BC1218"/>
    <w:rsid w:val="07BE52B9"/>
    <w:rsid w:val="07C55A1A"/>
    <w:rsid w:val="07C97654"/>
    <w:rsid w:val="07D57946"/>
    <w:rsid w:val="07DF20AC"/>
    <w:rsid w:val="07E661D8"/>
    <w:rsid w:val="07E6675C"/>
    <w:rsid w:val="07EC7011"/>
    <w:rsid w:val="07ED524D"/>
    <w:rsid w:val="080124E3"/>
    <w:rsid w:val="080B341D"/>
    <w:rsid w:val="080C7FA0"/>
    <w:rsid w:val="080F069A"/>
    <w:rsid w:val="08193C24"/>
    <w:rsid w:val="081D104E"/>
    <w:rsid w:val="082731BE"/>
    <w:rsid w:val="08341060"/>
    <w:rsid w:val="083B30AD"/>
    <w:rsid w:val="084859A3"/>
    <w:rsid w:val="084F3130"/>
    <w:rsid w:val="085B54A5"/>
    <w:rsid w:val="086254E7"/>
    <w:rsid w:val="08637C9A"/>
    <w:rsid w:val="08686F1F"/>
    <w:rsid w:val="08732D34"/>
    <w:rsid w:val="08787FF0"/>
    <w:rsid w:val="08824DF0"/>
    <w:rsid w:val="0889002B"/>
    <w:rsid w:val="089568D2"/>
    <w:rsid w:val="089B79D9"/>
    <w:rsid w:val="08A44DA6"/>
    <w:rsid w:val="08AA245A"/>
    <w:rsid w:val="08BA6E24"/>
    <w:rsid w:val="08C024D5"/>
    <w:rsid w:val="08C562FD"/>
    <w:rsid w:val="08CA27B1"/>
    <w:rsid w:val="08CF3AF7"/>
    <w:rsid w:val="08E916DF"/>
    <w:rsid w:val="08F473EA"/>
    <w:rsid w:val="08FC0AA5"/>
    <w:rsid w:val="090868CF"/>
    <w:rsid w:val="09136472"/>
    <w:rsid w:val="09217201"/>
    <w:rsid w:val="09294EE0"/>
    <w:rsid w:val="092A7C35"/>
    <w:rsid w:val="092D3C16"/>
    <w:rsid w:val="09306537"/>
    <w:rsid w:val="09355076"/>
    <w:rsid w:val="09392119"/>
    <w:rsid w:val="09445E95"/>
    <w:rsid w:val="09543B3B"/>
    <w:rsid w:val="09600FBD"/>
    <w:rsid w:val="0972595C"/>
    <w:rsid w:val="098143BC"/>
    <w:rsid w:val="098500F1"/>
    <w:rsid w:val="0986486F"/>
    <w:rsid w:val="09915CD5"/>
    <w:rsid w:val="099D1BDA"/>
    <w:rsid w:val="09AB3BC1"/>
    <w:rsid w:val="09BD407A"/>
    <w:rsid w:val="09C42E2C"/>
    <w:rsid w:val="09D34007"/>
    <w:rsid w:val="09DA0E26"/>
    <w:rsid w:val="09E55691"/>
    <w:rsid w:val="09EF75D1"/>
    <w:rsid w:val="09F67CD5"/>
    <w:rsid w:val="09F90A2C"/>
    <w:rsid w:val="0A016FB8"/>
    <w:rsid w:val="0A054821"/>
    <w:rsid w:val="0A0835C8"/>
    <w:rsid w:val="0A145721"/>
    <w:rsid w:val="0A163BB0"/>
    <w:rsid w:val="0A355EAA"/>
    <w:rsid w:val="0A3708FF"/>
    <w:rsid w:val="0A396777"/>
    <w:rsid w:val="0A3B01F9"/>
    <w:rsid w:val="0A3F0488"/>
    <w:rsid w:val="0A402A36"/>
    <w:rsid w:val="0A4236A3"/>
    <w:rsid w:val="0A4E7EF5"/>
    <w:rsid w:val="0A554B97"/>
    <w:rsid w:val="0A5A5E17"/>
    <w:rsid w:val="0A5D34DA"/>
    <w:rsid w:val="0A646846"/>
    <w:rsid w:val="0A81307E"/>
    <w:rsid w:val="0A8251CA"/>
    <w:rsid w:val="0A8828AB"/>
    <w:rsid w:val="0A927DC1"/>
    <w:rsid w:val="0A9B4F7F"/>
    <w:rsid w:val="0A9C263A"/>
    <w:rsid w:val="0A9E3D3D"/>
    <w:rsid w:val="0AA077E0"/>
    <w:rsid w:val="0AA638DB"/>
    <w:rsid w:val="0AAE48D5"/>
    <w:rsid w:val="0AB155D7"/>
    <w:rsid w:val="0ABD621C"/>
    <w:rsid w:val="0AC01F88"/>
    <w:rsid w:val="0AC0212C"/>
    <w:rsid w:val="0AC81C45"/>
    <w:rsid w:val="0AD27F0A"/>
    <w:rsid w:val="0AD542C1"/>
    <w:rsid w:val="0ADD5A20"/>
    <w:rsid w:val="0AE10FD9"/>
    <w:rsid w:val="0AF13898"/>
    <w:rsid w:val="0AFA0790"/>
    <w:rsid w:val="0AFB3228"/>
    <w:rsid w:val="0AFC6C07"/>
    <w:rsid w:val="0B0250FD"/>
    <w:rsid w:val="0B0F025C"/>
    <w:rsid w:val="0B157FDF"/>
    <w:rsid w:val="0B1A6333"/>
    <w:rsid w:val="0B2713F4"/>
    <w:rsid w:val="0B2D4BBD"/>
    <w:rsid w:val="0B3672FB"/>
    <w:rsid w:val="0B3B0A0A"/>
    <w:rsid w:val="0B3D4D64"/>
    <w:rsid w:val="0B3D701F"/>
    <w:rsid w:val="0B3E7DD7"/>
    <w:rsid w:val="0B481192"/>
    <w:rsid w:val="0B494066"/>
    <w:rsid w:val="0B4A69B6"/>
    <w:rsid w:val="0B561995"/>
    <w:rsid w:val="0B5C2C2A"/>
    <w:rsid w:val="0B665E0A"/>
    <w:rsid w:val="0B6E3515"/>
    <w:rsid w:val="0B847B39"/>
    <w:rsid w:val="0B902D5E"/>
    <w:rsid w:val="0B93047C"/>
    <w:rsid w:val="0B9708D9"/>
    <w:rsid w:val="0B987E20"/>
    <w:rsid w:val="0B9E71DF"/>
    <w:rsid w:val="0BA0779A"/>
    <w:rsid w:val="0BAC6FB9"/>
    <w:rsid w:val="0BAD5CC5"/>
    <w:rsid w:val="0BAD5EDC"/>
    <w:rsid w:val="0BAF59B9"/>
    <w:rsid w:val="0BB524B8"/>
    <w:rsid w:val="0BB756DF"/>
    <w:rsid w:val="0BBC7261"/>
    <w:rsid w:val="0BBF2B57"/>
    <w:rsid w:val="0BC63DB2"/>
    <w:rsid w:val="0BCB1EC4"/>
    <w:rsid w:val="0BCC3588"/>
    <w:rsid w:val="0BCC4043"/>
    <w:rsid w:val="0BCC4B6A"/>
    <w:rsid w:val="0BCF31D0"/>
    <w:rsid w:val="0C015DF2"/>
    <w:rsid w:val="0C064507"/>
    <w:rsid w:val="0C1E494F"/>
    <w:rsid w:val="0C3427D0"/>
    <w:rsid w:val="0C3A7D1A"/>
    <w:rsid w:val="0C3E69D8"/>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B63A3"/>
    <w:rsid w:val="0CA23A52"/>
    <w:rsid w:val="0CB94808"/>
    <w:rsid w:val="0CC11AEF"/>
    <w:rsid w:val="0CC37BC2"/>
    <w:rsid w:val="0CD23DC3"/>
    <w:rsid w:val="0CD87ABE"/>
    <w:rsid w:val="0CDC55DE"/>
    <w:rsid w:val="0CE26C42"/>
    <w:rsid w:val="0CE632FF"/>
    <w:rsid w:val="0CE76B48"/>
    <w:rsid w:val="0CEB5DBE"/>
    <w:rsid w:val="0CFB523A"/>
    <w:rsid w:val="0D1179FA"/>
    <w:rsid w:val="0D1B1E9C"/>
    <w:rsid w:val="0D213998"/>
    <w:rsid w:val="0D425E00"/>
    <w:rsid w:val="0D4B44A1"/>
    <w:rsid w:val="0D645430"/>
    <w:rsid w:val="0D6468BA"/>
    <w:rsid w:val="0D6811B4"/>
    <w:rsid w:val="0D6E2620"/>
    <w:rsid w:val="0D704E21"/>
    <w:rsid w:val="0D7F48FE"/>
    <w:rsid w:val="0D883C88"/>
    <w:rsid w:val="0D92714F"/>
    <w:rsid w:val="0D9354A5"/>
    <w:rsid w:val="0D936E72"/>
    <w:rsid w:val="0D966BF7"/>
    <w:rsid w:val="0D9C6D45"/>
    <w:rsid w:val="0DAA3F6B"/>
    <w:rsid w:val="0DC6512B"/>
    <w:rsid w:val="0DC86E56"/>
    <w:rsid w:val="0DCC3AE8"/>
    <w:rsid w:val="0DD87842"/>
    <w:rsid w:val="0DF202E1"/>
    <w:rsid w:val="0DF53CE3"/>
    <w:rsid w:val="0DF728AB"/>
    <w:rsid w:val="0E0961C5"/>
    <w:rsid w:val="0E0D2A37"/>
    <w:rsid w:val="0E147898"/>
    <w:rsid w:val="0E175976"/>
    <w:rsid w:val="0E2F216B"/>
    <w:rsid w:val="0E32381C"/>
    <w:rsid w:val="0E3352C6"/>
    <w:rsid w:val="0E38593A"/>
    <w:rsid w:val="0E3A5EE2"/>
    <w:rsid w:val="0E402EF7"/>
    <w:rsid w:val="0E542F3B"/>
    <w:rsid w:val="0E5D26D7"/>
    <w:rsid w:val="0E6271DF"/>
    <w:rsid w:val="0E7071B5"/>
    <w:rsid w:val="0E747934"/>
    <w:rsid w:val="0E81568A"/>
    <w:rsid w:val="0E942250"/>
    <w:rsid w:val="0E944B45"/>
    <w:rsid w:val="0E963344"/>
    <w:rsid w:val="0E9E6E00"/>
    <w:rsid w:val="0EA37816"/>
    <w:rsid w:val="0EA40C1C"/>
    <w:rsid w:val="0EAE78D6"/>
    <w:rsid w:val="0EB72E4B"/>
    <w:rsid w:val="0EBE0CA8"/>
    <w:rsid w:val="0ECD72AE"/>
    <w:rsid w:val="0ED66EC4"/>
    <w:rsid w:val="0EDA17A5"/>
    <w:rsid w:val="0EDA2BCA"/>
    <w:rsid w:val="0EEC6F1D"/>
    <w:rsid w:val="0EF7678F"/>
    <w:rsid w:val="0F070A3D"/>
    <w:rsid w:val="0F103291"/>
    <w:rsid w:val="0F1D498B"/>
    <w:rsid w:val="0F337178"/>
    <w:rsid w:val="0F3B15FC"/>
    <w:rsid w:val="0F41022A"/>
    <w:rsid w:val="0F44420A"/>
    <w:rsid w:val="0F56743B"/>
    <w:rsid w:val="0F60682C"/>
    <w:rsid w:val="0F641EE3"/>
    <w:rsid w:val="0F6763D9"/>
    <w:rsid w:val="0F6C2441"/>
    <w:rsid w:val="0F715B2B"/>
    <w:rsid w:val="0F764270"/>
    <w:rsid w:val="0F7F273F"/>
    <w:rsid w:val="0F8418ED"/>
    <w:rsid w:val="0F87107F"/>
    <w:rsid w:val="0F957B47"/>
    <w:rsid w:val="0F98796C"/>
    <w:rsid w:val="0F9F6FA4"/>
    <w:rsid w:val="0FA65D5C"/>
    <w:rsid w:val="0FAD33DA"/>
    <w:rsid w:val="0FBE2A42"/>
    <w:rsid w:val="0FC17CCE"/>
    <w:rsid w:val="0FC34D43"/>
    <w:rsid w:val="0FC424B9"/>
    <w:rsid w:val="0FD652FD"/>
    <w:rsid w:val="0FD70565"/>
    <w:rsid w:val="0FE6778E"/>
    <w:rsid w:val="0FEA050A"/>
    <w:rsid w:val="0FEC680C"/>
    <w:rsid w:val="0FF83B33"/>
    <w:rsid w:val="10007AD6"/>
    <w:rsid w:val="1019173F"/>
    <w:rsid w:val="101B1E8A"/>
    <w:rsid w:val="101C4A03"/>
    <w:rsid w:val="101D0C86"/>
    <w:rsid w:val="1021217D"/>
    <w:rsid w:val="10325332"/>
    <w:rsid w:val="104A023B"/>
    <w:rsid w:val="10505F3B"/>
    <w:rsid w:val="10512311"/>
    <w:rsid w:val="1068540E"/>
    <w:rsid w:val="106D2686"/>
    <w:rsid w:val="107C3E2C"/>
    <w:rsid w:val="107D41AE"/>
    <w:rsid w:val="10887960"/>
    <w:rsid w:val="108C2479"/>
    <w:rsid w:val="109855D8"/>
    <w:rsid w:val="10A471C9"/>
    <w:rsid w:val="10B70B71"/>
    <w:rsid w:val="10BB5146"/>
    <w:rsid w:val="10C715C5"/>
    <w:rsid w:val="10D335EF"/>
    <w:rsid w:val="10D66E32"/>
    <w:rsid w:val="10E746EA"/>
    <w:rsid w:val="10E83FE0"/>
    <w:rsid w:val="10EA7482"/>
    <w:rsid w:val="10EC3168"/>
    <w:rsid w:val="10F52718"/>
    <w:rsid w:val="110A01F4"/>
    <w:rsid w:val="110D1A14"/>
    <w:rsid w:val="111700D2"/>
    <w:rsid w:val="11181663"/>
    <w:rsid w:val="11234C87"/>
    <w:rsid w:val="11361981"/>
    <w:rsid w:val="114028DC"/>
    <w:rsid w:val="11432686"/>
    <w:rsid w:val="116F1EB0"/>
    <w:rsid w:val="11704C48"/>
    <w:rsid w:val="117B1D6A"/>
    <w:rsid w:val="117C2D9D"/>
    <w:rsid w:val="117F159E"/>
    <w:rsid w:val="11821DC9"/>
    <w:rsid w:val="11864D93"/>
    <w:rsid w:val="118C4157"/>
    <w:rsid w:val="11921373"/>
    <w:rsid w:val="11993AC8"/>
    <w:rsid w:val="119D7849"/>
    <w:rsid w:val="11A615EE"/>
    <w:rsid w:val="11A658F4"/>
    <w:rsid w:val="11AD6540"/>
    <w:rsid w:val="11B91A57"/>
    <w:rsid w:val="11C427F5"/>
    <w:rsid w:val="11C67B8F"/>
    <w:rsid w:val="11CA11D0"/>
    <w:rsid w:val="11CE730E"/>
    <w:rsid w:val="11D815C4"/>
    <w:rsid w:val="11D91219"/>
    <w:rsid w:val="11DF169F"/>
    <w:rsid w:val="11E177B0"/>
    <w:rsid w:val="11E57D4F"/>
    <w:rsid w:val="11F92DAB"/>
    <w:rsid w:val="11FC38D5"/>
    <w:rsid w:val="11FC7929"/>
    <w:rsid w:val="1210682D"/>
    <w:rsid w:val="122C1685"/>
    <w:rsid w:val="123A05DB"/>
    <w:rsid w:val="124240B9"/>
    <w:rsid w:val="124D0988"/>
    <w:rsid w:val="12536715"/>
    <w:rsid w:val="126173CF"/>
    <w:rsid w:val="12680E73"/>
    <w:rsid w:val="126D2629"/>
    <w:rsid w:val="12705351"/>
    <w:rsid w:val="12756AB9"/>
    <w:rsid w:val="12763466"/>
    <w:rsid w:val="127E5AA6"/>
    <w:rsid w:val="128979BD"/>
    <w:rsid w:val="128B2749"/>
    <w:rsid w:val="129019B5"/>
    <w:rsid w:val="129811DB"/>
    <w:rsid w:val="129937EE"/>
    <w:rsid w:val="129E6282"/>
    <w:rsid w:val="12AB7A32"/>
    <w:rsid w:val="12AF6491"/>
    <w:rsid w:val="12BB6535"/>
    <w:rsid w:val="12C05977"/>
    <w:rsid w:val="12C7312B"/>
    <w:rsid w:val="12D14EC5"/>
    <w:rsid w:val="12D228C4"/>
    <w:rsid w:val="12D22971"/>
    <w:rsid w:val="12D85654"/>
    <w:rsid w:val="12DC4BB1"/>
    <w:rsid w:val="12DD58C5"/>
    <w:rsid w:val="12DF4A87"/>
    <w:rsid w:val="12EE5106"/>
    <w:rsid w:val="12F169A0"/>
    <w:rsid w:val="1307341C"/>
    <w:rsid w:val="13090AF6"/>
    <w:rsid w:val="130C40FE"/>
    <w:rsid w:val="130C4112"/>
    <w:rsid w:val="130E3629"/>
    <w:rsid w:val="131B39DD"/>
    <w:rsid w:val="131E3101"/>
    <w:rsid w:val="13283BA4"/>
    <w:rsid w:val="132A55AF"/>
    <w:rsid w:val="13332F77"/>
    <w:rsid w:val="13334E1C"/>
    <w:rsid w:val="13346EE4"/>
    <w:rsid w:val="13384952"/>
    <w:rsid w:val="134F31A5"/>
    <w:rsid w:val="1355107F"/>
    <w:rsid w:val="135D4D2E"/>
    <w:rsid w:val="1366638D"/>
    <w:rsid w:val="136D76E8"/>
    <w:rsid w:val="136E36ED"/>
    <w:rsid w:val="137266E0"/>
    <w:rsid w:val="13802E79"/>
    <w:rsid w:val="13853516"/>
    <w:rsid w:val="13940124"/>
    <w:rsid w:val="13940289"/>
    <w:rsid w:val="139D3156"/>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7FC1"/>
    <w:rsid w:val="14095006"/>
    <w:rsid w:val="1414796B"/>
    <w:rsid w:val="14197409"/>
    <w:rsid w:val="141C71BE"/>
    <w:rsid w:val="141E583B"/>
    <w:rsid w:val="1424615D"/>
    <w:rsid w:val="142C143A"/>
    <w:rsid w:val="142E1345"/>
    <w:rsid w:val="14367BDC"/>
    <w:rsid w:val="143B523A"/>
    <w:rsid w:val="144F028D"/>
    <w:rsid w:val="145103FA"/>
    <w:rsid w:val="145B3024"/>
    <w:rsid w:val="145F07C7"/>
    <w:rsid w:val="146B69A8"/>
    <w:rsid w:val="146C3F26"/>
    <w:rsid w:val="146C5189"/>
    <w:rsid w:val="146F1089"/>
    <w:rsid w:val="14740A4C"/>
    <w:rsid w:val="14745AFF"/>
    <w:rsid w:val="1478648E"/>
    <w:rsid w:val="148122B0"/>
    <w:rsid w:val="14816B50"/>
    <w:rsid w:val="14827D13"/>
    <w:rsid w:val="148313F4"/>
    <w:rsid w:val="14934F1A"/>
    <w:rsid w:val="149559C4"/>
    <w:rsid w:val="14AA5673"/>
    <w:rsid w:val="14AC0C32"/>
    <w:rsid w:val="14C45576"/>
    <w:rsid w:val="14C76D6C"/>
    <w:rsid w:val="14CE33C4"/>
    <w:rsid w:val="14CF11D0"/>
    <w:rsid w:val="14DA3DA1"/>
    <w:rsid w:val="14DC6C19"/>
    <w:rsid w:val="14DF5677"/>
    <w:rsid w:val="14E60B42"/>
    <w:rsid w:val="14EA1C4D"/>
    <w:rsid w:val="150222BF"/>
    <w:rsid w:val="150F7C33"/>
    <w:rsid w:val="1512021B"/>
    <w:rsid w:val="1515004B"/>
    <w:rsid w:val="151B7C99"/>
    <w:rsid w:val="15207BBA"/>
    <w:rsid w:val="15287C77"/>
    <w:rsid w:val="152C6FE3"/>
    <w:rsid w:val="152F4E1B"/>
    <w:rsid w:val="15337D4E"/>
    <w:rsid w:val="154D342A"/>
    <w:rsid w:val="15563B13"/>
    <w:rsid w:val="1559587F"/>
    <w:rsid w:val="15675B16"/>
    <w:rsid w:val="1570367F"/>
    <w:rsid w:val="15741298"/>
    <w:rsid w:val="1574662E"/>
    <w:rsid w:val="15751882"/>
    <w:rsid w:val="1575191B"/>
    <w:rsid w:val="157818C6"/>
    <w:rsid w:val="1586686A"/>
    <w:rsid w:val="158B57F9"/>
    <w:rsid w:val="158B7545"/>
    <w:rsid w:val="1597601E"/>
    <w:rsid w:val="159F73BB"/>
    <w:rsid w:val="15B03F28"/>
    <w:rsid w:val="15B04FB2"/>
    <w:rsid w:val="15BD66BF"/>
    <w:rsid w:val="15CF4DD4"/>
    <w:rsid w:val="15DC75CF"/>
    <w:rsid w:val="15E274AD"/>
    <w:rsid w:val="15E30A80"/>
    <w:rsid w:val="15E310C1"/>
    <w:rsid w:val="15ED264D"/>
    <w:rsid w:val="15FB16C4"/>
    <w:rsid w:val="160214C9"/>
    <w:rsid w:val="1608480E"/>
    <w:rsid w:val="160D0DA7"/>
    <w:rsid w:val="161C1C58"/>
    <w:rsid w:val="1626155A"/>
    <w:rsid w:val="16282C4E"/>
    <w:rsid w:val="162E1BBF"/>
    <w:rsid w:val="162F7556"/>
    <w:rsid w:val="16413A3A"/>
    <w:rsid w:val="1644500C"/>
    <w:rsid w:val="16461A95"/>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C7FDE"/>
    <w:rsid w:val="16A4319F"/>
    <w:rsid w:val="16AC4DDB"/>
    <w:rsid w:val="16AE2FE3"/>
    <w:rsid w:val="16B23908"/>
    <w:rsid w:val="16B4400E"/>
    <w:rsid w:val="16B540F1"/>
    <w:rsid w:val="16BB29A6"/>
    <w:rsid w:val="16BD765C"/>
    <w:rsid w:val="16C168ED"/>
    <w:rsid w:val="16C321B4"/>
    <w:rsid w:val="16C71372"/>
    <w:rsid w:val="16C739DF"/>
    <w:rsid w:val="16C86CDB"/>
    <w:rsid w:val="16CC5760"/>
    <w:rsid w:val="16D81CE9"/>
    <w:rsid w:val="16D93692"/>
    <w:rsid w:val="16DD3B26"/>
    <w:rsid w:val="16EB6E00"/>
    <w:rsid w:val="16ED6B82"/>
    <w:rsid w:val="16EE7649"/>
    <w:rsid w:val="16F04615"/>
    <w:rsid w:val="16FD2447"/>
    <w:rsid w:val="1700465E"/>
    <w:rsid w:val="17073B16"/>
    <w:rsid w:val="170B631B"/>
    <w:rsid w:val="1712339A"/>
    <w:rsid w:val="171B1C8E"/>
    <w:rsid w:val="171E63FC"/>
    <w:rsid w:val="1722504D"/>
    <w:rsid w:val="1738730F"/>
    <w:rsid w:val="17407E9C"/>
    <w:rsid w:val="17416499"/>
    <w:rsid w:val="17481B81"/>
    <w:rsid w:val="17481E8B"/>
    <w:rsid w:val="174A69B0"/>
    <w:rsid w:val="1750027D"/>
    <w:rsid w:val="175007ED"/>
    <w:rsid w:val="176949ED"/>
    <w:rsid w:val="176B45C6"/>
    <w:rsid w:val="176C447F"/>
    <w:rsid w:val="177D5DFC"/>
    <w:rsid w:val="17850F99"/>
    <w:rsid w:val="17875303"/>
    <w:rsid w:val="178815C4"/>
    <w:rsid w:val="1793626E"/>
    <w:rsid w:val="17991452"/>
    <w:rsid w:val="17A875F5"/>
    <w:rsid w:val="17B5256D"/>
    <w:rsid w:val="17B92501"/>
    <w:rsid w:val="17C5392D"/>
    <w:rsid w:val="17CD2623"/>
    <w:rsid w:val="17CF496D"/>
    <w:rsid w:val="17E65848"/>
    <w:rsid w:val="17E66DD8"/>
    <w:rsid w:val="17E84839"/>
    <w:rsid w:val="17EE1403"/>
    <w:rsid w:val="17F25234"/>
    <w:rsid w:val="17FD061B"/>
    <w:rsid w:val="17FF6314"/>
    <w:rsid w:val="18005F41"/>
    <w:rsid w:val="18025414"/>
    <w:rsid w:val="180E3328"/>
    <w:rsid w:val="18171305"/>
    <w:rsid w:val="183156CB"/>
    <w:rsid w:val="18334194"/>
    <w:rsid w:val="183A5D99"/>
    <w:rsid w:val="183E1D37"/>
    <w:rsid w:val="184555F0"/>
    <w:rsid w:val="18482A17"/>
    <w:rsid w:val="184D0787"/>
    <w:rsid w:val="184F0852"/>
    <w:rsid w:val="184F7BF1"/>
    <w:rsid w:val="185202D8"/>
    <w:rsid w:val="185D1883"/>
    <w:rsid w:val="185E3AA1"/>
    <w:rsid w:val="1872700B"/>
    <w:rsid w:val="18793AC0"/>
    <w:rsid w:val="18812331"/>
    <w:rsid w:val="18816F1C"/>
    <w:rsid w:val="18853F3E"/>
    <w:rsid w:val="18875C23"/>
    <w:rsid w:val="188C3704"/>
    <w:rsid w:val="18956393"/>
    <w:rsid w:val="18A8582C"/>
    <w:rsid w:val="18B50543"/>
    <w:rsid w:val="18BB61C3"/>
    <w:rsid w:val="18BF0E35"/>
    <w:rsid w:val="18CA40C3"/>
    <w:rsid w:val="18CC0D98"/>
    <w:rsid w:val="18CD7A02"/>
    <w:rsid w:val="18F812CD"/>
    <w:rsid w:val="18FA6A68"/>
    <w:rsid w:val="19001FFC"/>
    <w:rsid w:val="190E2B4A"/>
    <w:rsid w:val="191C7F43"/>
    <w:rsid w:val="19256D7A"/>
    <w:rsid w:val="192648A8"/>
    <w:rsid w:val="193275C2"/>
    <w:rsid w:val="194D2005"/>
    <w:rsid w:val="19513FF9"/>
    <w:rsid w:val="19655A52"/>
    <w:rsid w:val="19663168"/>
    <w:rsid w:val="197724BD"/>
    <w:rsid w:val="19786B0A"/>
    <w:rsid w:val="197B1715"/>
    <w:rsid w:val="198A41A1"/>
    <w:rsid w:val="199A2059"/>
    <w:rsid w:val="199B4699"/>
    <w:rsid w:val="19A557AD"/>
    <w:rsid w:val="19B46E10"/>
    <w:rsid w:val="19B51AF7"/>
    <w:rsid w:val="19BF20EE"/>
    <w:rsid w:val="19C456C1"/>
    <w:rsid w:val="19DF018D"/>
    <w:rsid w:val="19F061A1"/>
    <w:rsid w:val="19F42745"/>
    <w:rsid w:val="19F959FC"/>
    <w:rsid w:val="19FB62B0"/>
    <w:rsid w:val="1A054259"/>
    <w:rsid w:val="1A081816"/>
    <w:rsid w:val="1A0C5680"/>
    <w:rsid w:val="1A10024A"/>
    <w:rsid w:val="1A165171"/>
    <w:rsid w:val="1A2A2A71"/>
    <w:rsid w:val="1A483B22"/>
    <w:rsid w:val="1A4858FF"/>
    <w:rsid w:val="1A4C698A"/>
    <w:rsid w:val="1A5D5219"/>
    <w:rsid w:val="1A5E4B5A"/>
    <w:rsid w:val="1A605995"/>
    <w:rsid w:val="1A672B1C"/>
    <w:rsid w:val="1A8301C0"/>
    <w:rsid w:val="1A872248"/>
    <w:rsid w:val="1A923A68"/>
    <w:rsid w:val="1A9B2279"/>
    <w:rsid w:val="1A9E6232"/>
    <w:rsid w:val="1AA053CA"/>
    <w:rsid w:val="1AA25907"/>
    <w:rsid w:val="1AA57BA7"/>
    <w:rsid w:val="1AA74D3D"/>
    <w:rsid w:val="1AB34DB4"/>
    <w:rsid w:val="1AB613FD"/>
    <w:rsid w:val="1AC36D41"/>
    <w:rsid w:val="1ACF5EB8"/>
    <w:rsid w:val="1AD26086"/>
    <w:rsid w:val="1ADC75C9"/>
    <w:rsid w:val="1ADD5ACE"/>
    <w:rsid w:val="1AE013F8"/>
    <w:rsid w:val="1AE8570C"/>
    <w:rsid w:val="1AFB06A3"/>
    <w:rsid w:val="1B0F19AE"/>
    <w:rsid w:val="1B2160BB"/>
    <w:rsid w:val="1B3637AD"/>
    <w:rsid w:val="1B3E0DB5"/>
    <w:rsid w:val="1B454C94"/>
    <w:rsid w:val="1B506283"/>
    <w:rsid w:val="1B6C0DF0"/>
    <w:rsid w:val="1B720DAE"/>
    <w:rsid w:val="1B7F6005"/>
    <w:rsid w:val="1B852FC7"/>
    <w:rsid w:val="1B9064B0"/>
    <w:rsid w:val="1B9A1502"/>
    <w:rsid w:val="1B9C269A"/>
    <w:rsid w:val="1B9D7D86"/>
    <w:rsid w:val="1B9E64C5"/>
    <w:rsid w:val="1B9E6D4C"/>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4032AB"/>
    <w:rsid w:val="1C437911"/>
    <w:rsid w:val="1C46451E"/>
    <w:rsid w:val="1C4672ED"/>
    <w:rsid w:val="1C467AB6"/>
    <w:rsid w:val="1C587FCF"/>
    <w:rsid w:val="1C6277A9"/>
    <w:rsid w:val="1C707414"/>
    <w:rsid w:val="1C7B213D"/>
    <w:rsid w:val="1C7F54CE"/>
    <w:rsid w:val="1C7F743F"/>
    <w:rsid w:val="1C812925"/>
    <w:rsid w:val="1C8562CA"/>
    <w:rsid w:val="1C8B3D81"/>
    <w:rsid w:val="1C8C4AA9"/>
    <w:rsid w:val="1C8C604B"/>
    <w:rsid w:val="1C92160B"/>
    <w:rsid w:val="1C973EEF"/>
    <w:rsid w:val="1C9E044B"/>
    <w:rsid w:val="1CA03243"/>
    <w:rsid w:val="1CA9618F"/>
    <w:rsid w:val="1CAF5DB2"/>
    <w:rsid w:val="1CB00002"/>
    <w:rsid w:val="1CB355AC"/>
    <w:rsid w:val="1CB40DF1"/>
    <w:rsid w:val="1CCC26CA"/>
    <w:rsid w:val="1CD2156B"/>
    <w:rsid w:val="1CD41743"/>
    <w:rsid w:val="1CD44D3D"/>
    <w:rsid w:val="1CD51DA1"/>
    <w:rsid w:val="1CDC2B5A"/>
    <w:rsid w:val="1CE45EF5"/>
    <w:rsid w:val="1CE615C9"/>
    <w:rsid w:val="1CEC56C6"/>
    <w:rsid w:val="1D037029"/>
    <w:rsid w:val="1D050AAF"/>
    <w:rsid w:val="1D1D7103"/>
    <w:rsid w:val="1D2240DB"/>
    <w:rsid w:val="1D2F0222"/>
    <w:rsid w:val="1D3305FF"/>
    <w:rsid w:val="1D395282"/>
    <w:rsid w:val="1D4251BA"/>
    <w:rsid w:val="1D5272BD"/>
    <w:rsid w:val="1D551881"/>
    <w:rsid w:val="1D581A3D"/>
    <w:rsid w:val="1D5F5386"/>
    <w:rsid w:val="1D6A206A"/>
    <w:rsid w:val="1D7072CE"/>
    <w:rsid w:val="1D73371F"/>
    <w:rsid w:val="1D794A16"/>
    <w:rsid w:val="1D9E30A9"/>
    <w:rsid w:val="1DA142D7"/>
    <w:rsid w:val="1DAB1006"/>
    <w:rsid w:val="1DB33C11"/>
    <w:rsid w:val="1DC65562"/>
    <w:rsid w:val="1DE94164"/>
    <w:rsid w:val="1DEE1B11"/>
    <w:rsid w:val="1E164B52"/>
    <w:rsid w:val="1E180C1F"/>
    <w:rsid w:val="1E206968"/>
    <w:rsid w:val="1E273844"/>
    <w:rsid w:val="1E2F243E"/>
    <w:rsid w:val="1E3B4F6B"/>
    <w:rsid w:val="1E417896"/>
    <w:rsid w:val="1E455D19"/>
    <w:rsid w:val="1E495B3F"/>
    <w:rsid w:val="1E502E26"/>
    <w:rsid w:val="1E561AC1"/>
    <w:rsid w:val="1E595CAF"/>
    <w:rsid w:val="1E5C31E8"/>
    <w:rsid w:val="1E640280"/>
    <w:rsid w:val="1E6607F9"/>
    <w:rsid w:val="1E691070"/>
    <w:rsid w:val="1E7E6BFD"/>
    <w:rsid w:val="1E805396"/>
    <w:rsid w:val="1E876810"/>
    <w:rsid w:val="1E884F62"/>
    <w:rsid w:val="1E8D6059"/>
    <w:rsid w:val="1E9D6342"/>
    <w:rsid w:val="1E9D6D15"/>
    <w:rsid w:val="1E9E3341"/>
    <w:rsid w:val="1EA77730"/>
    <w:rsid w:val="1EAF5D76"/>
    <w:rsid w:val="1EB47110"/>
    <w:rsid w:val="1EBD1EAD"/>
    <w:rsid w:val="1EC36E9D"/>
    <w:rsid w:val="1ECA4D4D"/>
    <w:rsid w:val="1ECD0246"/>
    <w:rsid w:val="1EDA576E"/>
    <w:rsid w:val="1EE25FDD"/>
    <w:rsid w:val="1EE73D82"/>
    <w:rsid w:val="1EF5103F"/>
    <w:rsid w:val="1EFF621F"/>
    <w:rsid w:val="1F065EF2"/>
    <w:rsid w:val="1F090F9B"/>
    <w:rsid w:val="1F0B2103"/>
    <w:rsid w:val="1F0E5D6B"/>
    <w:rsid w:val="1F3E662A"/>
    <w:rsid w:val="1F425753"/>
    <w:rsid w:val="1F4E6B74"/>
    <w:rsid w:val="1F4F2219"/>
    <w:rsid w:val="1F614D01"/>
    <w:rsid w:val="1F6961D7"/>
    <w:rsid w:val="1F721405"/>
    <w:rsid w:val="1F7C40BC"/>
    <w:rsid w:val="1F8777E8"/>
    <w:rsid w:val="1F935819"/>
    <w:rsid w:val="1FA6556D"/>
    <w:rsid w:val="1FA94C9B"/>
    <w:rsid w:val="1FAF2571"/>
    <w:rsid w:val="1FC55EDA"/>
    <w:rsid w:val="1FC81323"/>
    <w:rsid w:val="1FCE593C"/>
    <w:rsid w:val="1FD50096"/>
    <w:rsid w:val="1FD81D98"/>
    <w:rsid w:val="1FE312AC"/>
    <w:rsid w:val="1FE95071"/>
    <w:rsid w:val="1FEC5915"/>
    <w:rsid w:val="1FED32EF"/>
    <w:rsid w:val="1FF03CAD"/>
    <w:rsid w:val="1FFF7A0F"/>
    <w:rsid w:val="200B53CA"/>
    <w:rsid w:val="200E7173"/>
    <w:rsid w:val="201B5375"/>
    <w:rsid w:val="201E6D7C"/>
    <w:rsid w:val="202E58E4"/>
    <w:rsid w:val="20446081"/>
    <w:rsid w:val="204852AD"/>
    <w:rsid w:val="204E6676"/>
    <w:rsid w:val="205A5AA0"/>
    <w:rsid w:val="20602AB8"/>
    <w:rsid w:val="20677607"/>
    <w:rsid w:val="206960E7"/>
    <w:rsid w:val="20773A28"/>
    <w:rsid w:val="20815555"/>
    <w:rsid w:val="208574F4"/>
    <w:rsid w:val="208650E9"/>
    <w:rsid w:val="208C4449"/>
    <w:rsid w:val="208F6BAF"/>
    <w:rsid w:val="20966D8D"/>
    <w:rsid w:val="209F715E"/>
    <w:rsid w:val="20A34A65"/>
    <w:rsid w:val="20A462BA"/>
    <w:rsid w:val="20BF2AAC"/>
    <w:rsid w:val="20C245BE"/>
    <w:rsid w:val="20C7650F"/>
    <w:rsid w:val="20C849C7"/>
    <w:rsid w:val="20C96A07"/>
    <w:rsid w:val="20CE590E"/>
    <w:rsid w:val="20DF2821"/>
    <w:rsid w:val="20DF66D2"/>
    <w:rsid w:val="20E84BAA"/>
    <w:rsid w:val="20EC3F2E"/>
    <w:rsid w:val="20EC7C3E"/>
    <w:rsid w:val="20F533C5"/>
    <w:rsid w:val="210548E9"/>
    <w:rsid w:val="21124D15"/>
    <w:rsid w:val="213533EC"/>
    <w:rsid w:val="213E7119"/>
    <w:rsid w:val="214D1729"/>
    <w:rsid w:val="21530058"/>
    <w:rsid w:val="21810744"/>
    <w:rsid w:val="218D6EF5"/>
    <w:rsid w:val="2195668B"/>
    <w:rsid w:val="219B5592"/>
    <w:rsid w:val="219F69EC"/>
    <w:rsid w:val="21A130EA"/>
    <w:rsid w:val="21C17010"/>
    <w:rsid w:val="21C267BF"/>
    <w:rsid w:val="21C67F48"/>
    <w:rsid w:val="21CC6535"/>
    <w:rsid w:val="21CD6BCD"/>
    <w:rsid w:val="21CE6067"/>
    <w:rsid w:val="21CF439A"/>
    <w:rsid w:val="21F00127"/>
    <w:rsid w:val="21F82063"/>
    <w:rsid w:val="22033778"/>
    <w:rsid w:val="22097CAB"/>
    <w:rsid w:val="22197A7E"/>
    <w:rsid w:val="221B2DA5"/>
    <w:rsid w:val="221D2FA3"/>
    <w:rsid w:val="2226635F"/>
    <w:rsid w:val="222D4F0B"/>
    <w:rsid w:val="223D7545"/>
    <w:rsid w:val="22411D14"/>
    <w:rsid w:val="22423BE1"/>
    <w:rsid w:val="22454449"/>
    <w:rsid w:val="224B70B3"/>
    <w:rsid w:val="22500810"/>
    <w:rsid w:val="22544814"/>
    <w:rsid w:val="226347BD"/>
    <w:rsid w:val="22682935"/>
    <w:rsid w:val="227E1569"/>
    <w:rsid w:val="228A4698"/>
    <w:rsid w:val="229154FD"/>
    <w:rsid w:val="22925971"/>
    <w:rsid w:val="229320A7"/>
    <w:rsid w:val="22945167"/>
    <w:rsid w:val="22955D49"/>
    <w:rsid w:val="22A55CD5"/>
    <w:rsid w:val="22C74EE2"/>
    <w:rsid w:val="22CB6237"/>
    <w:rsid w:val="22CC220D"/>
    <w:rsid w:val="22CD14B5"/>
    <w:rsid w:val="22E02C6E"/>
    <w:rsid w:val="22E04FF4"/>
    <w:rsid w:val="22E105B9"/>
    <w:rsid w:val="22E1121B"/>
    <w:rsid w:val="22EA4C70"/>
    <w:rsid w:val="22F34CBC"/>
    <w:rsid w:val="22F75251"/>
    <w:rsid w:val="22F86F75"/>
    <w:rsid w:val="22FB4D32"/>
    <w:rsid w:val="230F4FBB"/>
    <w:rsid w:val="23131055"/>
    <w:rsid w:val="233C6F76"/>
    <w:rsid w:val="234449F5"/>
    <w:rsid w:val="23460DA0"/>
    <w:rsid w:val="23536618"/>
    <w:rsid w:val="23577BCB"/>
    <w:rsid w:val="236973F7"/>
    <w:rsid w:val="236F277C"/>
    <w:rsid w:val="23773385"/>
    <w:rsid w:val="23816932"/>
    <w:rsid w:val="2386788B"/>
    <w:rsid w:val="239C062C"/>
    <w:rsid w:val="23A23998"/>
    <w:rsid w:val="23A2625E"/>
    <w:rsid w:val="23A9484E"/>
    <w:rsid w:val="23B32F98"/>
    <w:rsid w:val="23B84268"/>
    <w:rsid w:val="23D17D7B"/>
    <w:rsid w:val="23D36D91"/>
    <w:rsid w:val="23DA79BF"/>
    <w:rsid w:val="23DB7F7A"/>
    <w:rsid w:val="23DF07A3"/>
    <w:rsid w:val="23E2523B"/>
    <w:rsid w:val="23F70BA5"/>
    <w:rsid w:val="23F93D0D"/>
    <w:rsid w:val="23FC5219"/>
    <w:rsid w:val="240464DF"/>
    <w:rsid w:val="2405417E"/>
    <w:rsid w:val="240C7443"/>
    <w:rsid w:val="240E014F"/>
    <w:rsid w:val="240E196D"/>
    <w:rsid w:val="241B5C62"/>
    <w:rsid w:val="241C28C8"/>
    <w:rsid w:val="24267CE7"/>
    <w:rsid w:val="24377DB7"/>
    <w:rsid w:val="244300D9"/>
    <w:rsid w:val="244D425D"/>
    <w:rsid w:val="24500F40"/>
    <w:rsid w:val="24511E39"/>
    <w:rsid w:val="2458381E"/>
    <w:rsid w:val="245872F9"/>
    <w:rsid w:val="245943D9"/>
    <w:rsid w:val="245E6B64"/>
    <w:rsid w:val="2463385E"/>
    <w:rsid w:val="247C27F7"/>
    <w:rsid w:val="248B0DC8"/>
    <w:rsid w:val="24967323"/>
    <w:rsid w:val="249D5FC8"/>
    <w:rsid w:val="24A1538E"/>
    <w:rsid w:val="24B2386D"/>
    <w:rsid w:val="24B9450F"/>
    <w:rsid w:val="24C83F94"/>
    <w:rsid w:val="24E11BFA"/>
    <w:rsid w:val="24F60CDA"/>
    <w:rsid w:val="24FE42EB"/>
    <w:rsid w:val="250D450C"/>
    <w:rsid w:val="25134332"/>
    <w:rsid w:val="25141A5B"/>
    <w:rsid w:val="2521546A"/>
    <w:rsid w:val="252242ED"/>
    <w:rsid w:val="252A2BA6"/>
    <w:rsid w:val="252B49E0"/>
    <w:rsid w:val="2531380D"/>
    <w:rsid w:val="253B4663"/>
    <w:rsid w:val="254A35DD"/>
    <w:rsid w:val="25657E8F"/>
    <w:rsid w:val="25734B61"/>
    <w:rsid w:val="25825D58"/>
    <w:rsid w:val="25834CB1"/>
    <w:rsid w:val="258F6BC4"/>
    <w:rsid w:val="25975923"/>
    <w:rsid w:val="25994F9B"/>
    <w:rsid w:val="259A3D0A"/>
    <w:rsid w:val="25A34648"/>
    <w:rsid w:val="25A76B90"/>
    <w:rsid w:val="25A95F3E"/>
    <w:rsid w:val="25B7161F"/>
    <w:rsid w:val="25BF6041"/>
    <w:rsid w:val="25C35718"/>
    <w:rsid w:val="25CF0252"/>
    <w:rsid w:val="25D0248E"/>
    <w:rsid w:val="25D04605"/>
    <w:rsid w:val="25D61C5C"/>
    <w:rsid w:val="25E33BEE"/>
    <w:rsid w:val="25F81D70"/>
    <w:rsid w:val="25FB5636"/>
    <w:rsid w:val="25FE58A9"/>
    <w:rsid w:val="26024CE6"/>
    <w:rsid w:val="26046BDC"/>
    <w:rsid w:val="26070462"/>
    <w:rsid w:val="260B5300"/>
    <w:rsid w:val="260D2C45"/>
    <w:rsid w:val="26147FA8"/>
    <w:rsid w:val="26395C92"/>
    <w:rsid w:val="26465DA0"/>
    <w:rsid w:val="26497858"/>
    <w:rsid w:val="265A5249"/>
    <w:rsid w:val="265C76BB"/>
    <w:rsid w:val="266237C3"/>
    <w:rsid w:val="266749F2"/>
    <w:rsid w:val="267150F2"/>
    <w:rsid w:val="267550B9"/>
    <w:rsid w:val="269C0A66"/>
    <w:rsid w:val="26B06894"/>
    <w:rsid w:val="26B35A65"/>
    <w:rsid w:val="26C472EC"/>
    <w:rsid w:val="26CB2240"/>
    <w:rsid w:val="26D66D39"/>
    <w:rsid w:val="26E36BDC"/>
    <w:rsid w:val="26EC491A"/>
    <w:rsid w:val="26ED73E1"/>
    <w:rsid w:val="26F017FB"/>
    <w:rsid w:val="26F01FFB"/>
    <w:rsid w:val="26F503CD"/>
    <w:rsid w:val="26F85F58"/>
    <w:rsid w:val="27036506"/>
    <w:rsid w:val="27047832"/>
    <w:rsid w:val="2706037D"/>
    <w:rsid w:val="270D152E"/>
    <w:rsid w:val="27204B5D"/>
    <w:rsid w:val="2724701B"/>
    <w:rsid w:val="272F31A0"/>
    <w:rsid w:val="27310CAC"/>
    <w:rsid w:val="2732375A"/>
    <w:rsid w:val="27342901"/>
    <w:rsid w:val="27367FF0"/>
    <w:rsid w:val="273D2762"/>
    <w:rsid w:val="27470B72"/>
    <w:rsid w:val="27525E32"/>
    <w:rsid w:val="275E7380"/>
    <w:rsid w:val="27604751"/>
    <w:rsid w:val="27691E6A"/>
    <w:rsid w:val="2778582E"/>
    <w:rsid w:val="27806765"/>
    <w:rsid w:val="27832596"/>
    <w:rsid w:val="278C1620"/>
    <w:rsid w:val="278D3D24"/>
    <w:rsid w:val="279B1E53"/>
    <w:rsid w:val="27AA3521"/>
    <w:rsid w:val="27AB7429"/>
    <w:rsid w:val="27C55A4B"/>
    <w:rsid w:val="27C57B2B"/>
    <w:rsid w:val="27C8029E"/>
    <w:rsid w:val="27CC78AC"/>
    <w:rsid w:val="27D72FE7"/>
    <w:rsid w:val="27D86029"/>
    <w:rsid w:val="27DD45ED"/>
    <w:rsid w:val="27E3651B"/>
    <w:rsid w:val="27E864CC"/>
    <w:rsid w:val="27EC25E3"/>
    <w:rsid w:val="27ED0939"/>
    <w:rsid w:val="27F1498B"/>
    <w:rsid w:val="27F65686"/>
    <w:rsid w:val="27FC5B57"/>
    <w:rsid w:val="27FF3E3E"/>
    <w:rsid w:val="28027A71"/>
    <w:rsid w:val="281A2FA6"/>
    <w:rsid w:val="281F4F67"/>
    <w:rsid w:val="282D12B3"/>
    <w:rsid w:val="283744B4"/>
    <w:rsid w:val="28485D62"/>
    <w:rsid w:val="284B63DC"/>
    <w:rsid w:val="284B7902"/>
    <w:rsid w:val="284C7374"/>
    <w:rsid w:val="285560D7"/>
    <w:rsid w:val="286E4E70"/>
    <w:rsid w:val="286E74F1"/>
    <w:rsid w:val="28760CA0"/>
    <w:rsid w:val="28796ED0"/>
    <w:rsid w:val="287B218C"/>
    <w:rsid w:val="28874F6C"/>
    <w:rsid w:val="288A05DD"/>
    <w:rsid w:val="28937D89"/>
    <w:rsid w:val="289B0550"/>
    <w:rsid w:val="28C96C14"/>
    <w:rsid w:val="28CB766F"/>
    <w:rsid w:val="28E138E3"/>
    <w:rsid w:val="28E74216"/>
    <w:rsid w:val="28E87EE4"/>
    <w:rsid w:val="28F63CF6"/>
    <w:rsid w:val="2903396A"/>
    <w:rsid w:val="29081EE9"/>
    <w:rsid w:val="29124309"/>
    <w:rsid w:val="29215B9F"/>
    <w:rsid w:val="2921752E"/>
    <w:rsid w:val="29297F55"/>
    <w:rsid w:val="292A5408"/>
    <w:rsid w:val="293B1F9E"/>
    <w:rsid w:val="293E09E9"/>
    <w:rsid w:val="294E766A"/>
    <w:rsid w:val="297161D3"/>
    <w:rsid w:val="2978319A"/>
    <w:rsid w:val="29787E0C"/>
    <w:rsid w:val="297E4223"/>
    <w:rsid w:val="29886D49"/>
    <w:rsid w:val="29897A2F"/>
    <w:rsid w:val="29A02DFF"/>
    <w:rsid w:val="29A3014B"/>
    <w:rsid w:val="29A74CBD"/>
    <w:rsid w:val="29A80BF5"/>
    <w:rsid w:val="29B01C34"/>
    <w:rsid w:val="29B16357"/>
    <w:rsid w:val="29B7373B"/>
    <w:rsid w:val="29B80E21"/>
    <w:rsid w:val="29BA0D88"/>
    <w:rsid w:val="29BB3E72"/>
    <w:rsid w:val="29C91BA8"/>
    <w:rsid w:val="29CD6B73"/>
    <w:rsid w:val="29CF32B2"/>
    <w:rsid w:val="29D3563A"/>
    <w:rsid w:val="29DE15A2"/>
    <w:rsid w:val="29EC475A"/>
    <w:rsid w:val="29EF000A"/>
    <w:rsid w:val="29EF3680"/>
    <w:rsid w:val="29EF424E"/>
    <w:rsid w:val="29F31768"/>
    <w:rsid w:val="29FA7F26"/>
    <w:rsid w:val="2A0471F6"/>
    <w:rsid w:val="2A0A3B17"/>
    <w:rsid w:val="2A166823"/>
    <w:rsid w:val="2A332D4E"/>
    <w:rsid w:val="2A35650F"/>
    <w:rsid w:val="2A405845"/>
    <w:rsid w:val="2A4D593F"/>
    <w:rsid w:val="2A5657A8"/>
    <w:rsid w:val="2A5C6B8D"/>
    <w:rsid w:val="2A6D3C84"/>
    <w:rsid w:val="2A6E31F8"/>
    <w:rsid w:val="2A7A56A2"/>
    <w:rsid w:val="2A842C00"/>
    <w:rsid w:val="2A860771"/>
    <w:rsid w:val="2A87174E"/>
    <w:rsid w:val="2A8A2F9C"/>
    <w:rsid w:val="2A9176E1"/>
    <w:rsid w:val="2A974435"/>
    <w:rsid w:val="2AAC5A06"/>
    <w:rsid w:val="2AAE4375"/>
    <w:rsid w:val="2ABB3D6F"/>
    <w:rsid w:val="2AC70B30"/>
    <w:rsid w:val="2ACC2AAF"/>
    <w:rsid w:val="2AD74744"/>
    <w:rsid w:val="2AD91AC2"/>
    <w:rsid w:val="2ADB3DDF"/>
    <w:rsid w:val="2AE57C95"/>
    <w:rsid w:val="2AE90B77"/>
    <w:rsid w:val="2AF35C8B"/>
    <w:rsid w:val="2B0C0EEE"/>
    <w:rsid w:val="2B0E637E"/>
    <w:rsid w:val="2B132265"/>
    <w:rsid w:val="2B214776"/>
    <w:rsid w:val="2B2843BE"/>
    <w:rsid w:val="2B313FC1"/>
    <w:rsid w:val="2B347C14"/>
    <w:rsid w:val="2B39348E"/>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A07D38"/>
    <w:rsid w:val="2BC40957"/>
    <w:rsid w:val="2BCB5DAA"/>
    <w:rsid w:val="2BCD0710"/>
    <w:rsid w:val="2BD52D9B"/>
    <w:rsid w:val="2BD65380"/>
    <w:rsid w:val="2BE725D0"/>
    <w:rsid w:val="2BE838DD"/>
    <w:rsid w:val="2BF369B9"/>
    <w:rsid w:val="2BFC0A4A"/>
    <w:rsid w:val="2C094904"/>
    <w:rsid w:val="2C0E55A1"/>
    <w:rsid w:val="2C0F50D9"/>
    <w:rsid w:val="2C1F6F40"/>
    <w:rsid w:val="2C3A7BF6"/>
    <w:rsid w:val="2C425BCE"/>
    <w:rsid w:val="2C44676A"/>
    <w:rsid w:val="2C455BD0"/>
    <w:rsid w:val="2C495C38"/>
    <w:rsid w:val="2C4A080C"/>
    <w:rsid w:val="2C54533B"/>
    <w:rsid w:val="2C591378"/>
    <w:rsid w:val="2C5B70FD"/>
    <w:rsid w:val="2C7204AA"/>
    <w:rsid w:val="2C797A76"/>
    <w:rsid w:val="2C8F4862"/>
    <w:rsid w:val="2C98472C"/>
    <w:rsid w:val="2C987ABA"/>
    <w:rsid w:val="2C9E5AC8"/>
    <w:rsid w:val="2CA2721B"/>
    <w:rsid w:val="2CA33CAE"/>
    <w:rsid w:val="2CAC6D87"/>
    <w:rsid w:val="2CB14607"/>
    <w:rsid w:val="2CB600FC"/>
    <w:rsid w:val="2CBB77A2"/>
    <w:rsid w:val="2CCF5ED8"/>
    <w:rsid w:val="2CDC0E59"/>
    <w:rsid w:val="2CE55282"/>
    <w:rsid w:val="2CE8526F"/>
    <w:rsid w:val="2CE97006"/>
    <w:rsid w:val="2D026315"/>
    <w:rsid w:val="2D03083C"/>
    <w:rsid w:val="2D0764BD"/>
    <w:rsid w:val="2D0B3169"/>
    <w:rsid w:val="2D0D4219"/>
    <w:rsid w:val="2D227595"/>
    <w:rsid w:val="2D272CCD"/>
    <w:rsid w:val="2D274320"/>
    <w:rsid w:val="2D2D2DE2"/>
    <w:rsid w:val="2D321869"/>
    <w:rsid w:val="2D324CCC"/>
    <w:rsid w:val="2D340E86"/>
    <w:rsid w:val="2D395427"/>
    <w:rsid w:val="2D3C2966"/>
    <w:rsid w:val="2D3D0E02"/>
    <w:rsid w:val="2D4141FA"/>
    <w:rsid w:val="2D4F14FE"/>
    <w:rsid w:val="2D5436FA"/>
    <w:rsid w:val="2D62469E"/>
    <w:rsid w:val="2D690FFD"/>
    <w:rsid w:val="2D6B40A9"/>
    <w:rsid w:val="2D6C155B"/>
    <w:rsid w:val="2D70344E"/>
    <w:rsid w:val="2D894942"/>
    <w:rsid w:val="2D8A3FA2"/>
    <w:rsid w:val="2D921BED"/>
    <w:rsid w:val="2D94006F"/>
    <w:rsid w:val="2D9767DC"/>
    <w:rsid w:val="2D980DDC"/>
    <w:rsid w:val="2D980F1C"/>
    <w:rsid w:val="2D987372"/>
    <w:rsid w:val="2DA10474"/>
    <w:rsid w:val="2DA7732A"/>
    <w:rsid w:val="2DAC3A86"/>
    <w:rsid w:val="2DC66A91"/>
    <w:rsid w:val="2DC92AA1"/>
    <w:rsid w:val="2DCE5F69"/>
    <w:rsid w:val="2DD2538B"/>
    <w:rsid w:val="2DDD4F0A"/>
    <w:rsid w:val="2DE76C0B"/>
    <w:rsid w:val="2E34792A"/>
    <w:rsid w:val="2E3D51A9"/>
    <w:rsid w:val="2E437E73"/>
    <w:rsid w:val="2E442C33"/>
    <w:rsid w:val="2E5034DC"/>
    <w:rsid w:val="2E572AB9"/>
    <w:rsid w:val="2E610EF2"/>
    <w:rsid w:val="2E611ED5"/>
    <w:rsid w:val="2E7258DC"/>
    <w:rsid w:val="2E79458E"/>
    <w:rsid w:val="2E797A78"/>
    <w:rsid w:val="2E7C6A94"/>
    <w:rsid w:val="2E824575"/>
    <w:rsid w:val="2E8321A5"/>
    <w:rsid w:val="2E8D14A8"/>
    <w:rsid w:val="2E9B7377"/>
    <w:rsid w:val="2E9F6D95"/>
    <w:rsid w:val="2EAE350B"/>
    <w:rsid w:val="2EB20A6C"/>
    <w:rsid w:val="2EBC2287"/>
    <w:rsid w:val="2EBF350E"/>
    <w:rsid w:val="2EC255A6"/>
    <w:rsid w:val="2EC73D17"/>
    <w:rsid w:val="2ECA3116"/>
    <w:rsid w:val="2ED53442"/>
    <w:rsid w:val="2ED86B51"/>
    <w:rsid w:val="2EDD7896"/>
    <w:rsid w:val="2EEA6E65"/>
    <w:rsid w:val="2EF33C7C"/>
    <w:rsid w:val="2EF66AA8"/>
    <w:rsid w:val="2EFC1D5B"/>
    <w:rsid w:val="2EFC465B"/>
    <w:rsid w:val="2F00011D"/>
    <w:rsid w:val="2F00052B"/>
    <w:rsid w:val="2F0367CD"/>
    <w:rsid w:val="2F0B683E"/>
    <w:rsid w:val="2F1251F2"/>
    <w:rsid w:val="2F1C69E5"/>
    <w:rsid w:val="2F2D445E"/>
    <w:rsid w:val="2F382E70"/>
    <w:rsid w:val="2F3B66C2"/>
    <w:rsid w:val="2F4F6FBB"/>
    <w:rsid w:val="2F6477FB"/>
    <w:rsid w:val="2F664E2B"/>
    <w:rsid w:val="2F6C7BE3"/>
    <w:rsid w:val="2F6E5FE9"/>
    <w:rsid w:val="2F783485"/>
    <w:rsid w:val="2F7D78D2"/>
    <w:rsid w:val="2F7F5C0B"/>
    <w:rsid w:val="2FA6492D"/>
    <w:rsid w:val="2FC86676"/>
    <w:rsid w:val="2FD150ED"/>
    <w:rsid w:val="2FD17A1B"/>
    <w:rsid w:val="2FD71CA4"/>
    <w:rsid w:val="2FDC4A8D"/>
    <w:rsid w:val="2FDE080C"/>
    <w:rsid w:val="2FE53383"/>
    <w:rsid w:val="2FF76952"/>
    <w:rsid w:val="2FF93066"/>
    <w:rsid w:val="2FF93F61"/>
    <w:rsid w:val="301A71CE"/>
    <w:rsid w:val="301E049B"/>
    <w:rsid w:val="302A4BE6"/>
    <w:rsid w:val="303310F6"/>
    <w:rsid w:val="303C7735"/>
    <w:rsid w:val="303E1260"/>
    <w:rsid w:val="304478EC"/>
    <w:rsid w:val="30515C8E"/>
    <w:rsid w:val="30574F7A"/>
    <w:rsid w:val="306C64E5"/>
    <w:rsid w:val="30926F91"/>
    <w:rsid w:val="30962F3E"/>
    <w:rsid w:val="30AA2585"/>
    <w:rsid w:val="30B40287"/>
    <w:rsid w:val="30B45885"/>
    <w:rsid w:val="30C02B1D"/>
    <w:rsid w:val="30C16A19"/>
    <w:rsid w:val="30CB5800"/>
    <w:rsid w:val="30D061F2"/>
    <w:rsid w:val="30D32236"/>
    <w:rsid w:val="30F47FF1"/>
    <w:rsid w:val="30FA09A4"/>
    <w:rsid w:val="30FA7530"/>
    <w:rsid w:val="30FF2795"/>
    <w:rsid w:val="310375CD"/>
    <w:rsid w:val="310E6387"/>
    <w:rsid w:val="31135D27"/>
    <w:rsid w:val="311611B3"/>
    <w:rsid w:val="31254E51"/>
    <w:rsid w:val="313C313D"/>
    <w:rsid w:val="313F6DC6"/>
    <w:rsid w:val="31483F70"/>
    <w:rsid w:val="314B6D10"/>
    <w:rsid w:val="314E236F"/>
    <w:rsid w:val="315E0B07"/>
    <w:rsid w:val="316065B7"/>
    <w:rsid w:val="31621F46"/>
    <w:rsid w:val="31674147"/>
    <w:rsid w:val="316E7CA0"/>
    <w:rsid w:val="316F375D"/>
    <w:rsid w:val="317206BF"/>
    <w:rsid w:val="317932EA"/>
    <w:rsid w:val="317A1425"/>
    <w:rsid w:val="317E5000"/>
    <w:rsid w:val="31875BB4"/>
    <w:rsid w:val="31981473"/>
    <w:rsid w:val="31996F59"/>
    <w:rsid w:val="31B718F2"/>
    <w:rsid w:val="31B758A1"/>
    <w:rsid w:val="31C72E6B"/>
    <w:rsid w:val="31D20051"/>
    <w:rsid w:val="31EF7EE8"/>
    <w:rsid w:val="31FF1FAB"/>
    <w:rsid w:val="3201404F"/>
    <w:rsid w:val="320901F5"/>
    <w:rsid w:val="320B7CCB"/>
    <w:rsid w:val="320F5A63"/>
    <w:rsid w:val="32105DE8"/>
    <w:rsid w:val="321E202E"/>
    <w:rsid w:val="322E16DE"/>
    <w:rsid w:val="3235187E"/>
    <w:rsid w:val="3237186B"/>
    <w:rsid w:val="323B6798"/>
    <w:rsid w:val="324B741D"/>
    <w:rsid w:val="32537B57"/>
    <w:rsid w:val="325779E7"/>
    <w:rsid w:val="325979D3"/>
    <w:rsid w:val="325F618E"/>
    <w:rsid w:val="326D711C"/>
    <w:rsid w:val="32757E99"/>
    <w:rsid w:val="327C6B62"/>
    <w:rsid w:val="327D43E5"/>
    <w:rsid w:val="32850648"/>
    <w:rsid w:val="328D2DCB"/>
    <w:rsid w:val="328F5534"/>
    <w:rsid w:val="329A6ACE"/>
    <w:rsid w:val="32A145CA"/>
    <w:rsid w:val="32A230DB"/>
    <w:rsid w:val="32CE0EEF"/>
    <w:rsid w:val="32CE7F7A"/>
    <w:rsid w:val="32DF351E"/>
    <w:rsid w:val="32EE5E41"/>
    <w:rsid w:val="32F40F87"/>
    <w:rsid w:val="32F572FF"/>
    <w:rsid w:val="32FD7C76"/>
    <w:rsid w:val="330C22FC"/>
    <w:rsid w:val="33277E81"/>
    <w:rsid w:val="332B1B27"/>
    <w:rsid w:val="33404DED"/>
    <w:rsid w:val="334F1631"/>
    <w:rsid w:val="334F5309"/>
    <w:rsid w:val="335219C2"/>
    <w:rsid w:val="33540E5D"/>
    <w:rsid w:val="33597E25"/>
    <w:rsid w:val="335A0521"/>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A47053"/>
    <w:rsid w:val="33A61A17"/>
    <w:rsid w:val="33AE05AB"/>
    <w:rsid w:val="33B82A88"/>
    <w:rsid w:val="33BA4F6D"/>
    <w:rsid w:val="33BF4199"/>
    <w:rsid w:val="33CD6498"/>
    <w:rsid w:val="33D7554F"/>
    <w:rsid w:val="33FE62E7"/>
    <w:rsid w:val="34080399"/>
    <w:rsid w:val="340D25F6"/>
    <w:rsid w:val="341D5FCE"/>
    <w:rsid w:val="3428031E"/>
    <w:rsid w:val="3429226D"/>
    <w:rsid w:val="342B76C7"/>
    <w:rsid w:val="342F35BE"/>
    <w:rsid w:val="343123FA"/>
    <w:rsid w:val="34341A95"/>
    <w:rsid w:val="343A1527"/>
    <w:rsid w:val="34405756"/>
    <w:rsid w:val="34447898"/>
    <w:rsid w:val="344E62FA"/>
    <w:rsid w:val="346C22EF"/>
    <w:rsid w:val="346D4C4A"/>
    <w:rsid w:val="3472234D"/>
    <w:rsid w:val="347D500F"/>
    <w:rsid w:val="34801781"/>
    <w:rsid w:val="34830157"/>
    <w:rsid w:val="34872D27"/>
    <w:rsid w:val="348E58C4"/>
    <w:rsid w:val="34915732"/>
    <w:rsid w:val="349164BD"/>
    <w:rsid w:val="34955F1D"/>
    <w:rsid w:val="3499657C"/>
    <w:rsid w:val="34A46A21"/>
    <w:rsid w:val="34BD02AE"/>
    <w:rsid w:val="34BF775E"/>
    <w:rsid w:val="34C73D99"/>
    <w:rsid w:val="34DA26A8"/>
    <w:rsid w:val="34E56BEF"/>
    <w:rsid w:val="34E960F1"/>
    <w:rsid w:val="350B42D5"/>
    <w:rsid w:val="350F6258"/>
    <w:rsid w:val="35183779"/>
    <w:rsid w:val="351A603C"/>
    <w:rsid w:val="351E4C99"/>
    <w:rsid w:val="352821F6"/>
    <w:rsid w:val="35324954"/>
    <w:rsid w:val="3533698A"/>
    <w:rsid w:val="35384E93"/>
    <w:rsid w:val="35387F19"/>
    <w:rsid w:val="3539550B"/>
    <w:rsid w:val="353D1446"/>
    <w:rsid w:val="355406E8"/>
    <w:rsid w:val="35595818"/>
    <w:rsid w:val="356678B4"/>
    <w:rsid w:val="3573649F"/>
    <w:rsid w:val="357E4B0A"/>
    <w:rsid w:val="35866D7F"/>
    <w:rsid w:val="358F6BDF"/>
    <w:rsid w:val="35A6711C"/>
    <w:rsid w:val="35BD2339"/>
    <w:rsid w:val="35C06D50"/>
    <w:rsid w:val="35CD46FA"/>
    <w:rsid w:val="35CD6F14"/>
    <w:rsid w:val="35CD711E"/>
    <w:rsid w:val="35CF25F7"/>
    <w:rsid w:val="35D24294"/>
    <w:rsid w:val="35D71152"/>
    <w:rsid w:val="35DC6E3F"/>
    <w:rsid w:val="35FF6F3C"/>
    <w:rsid w:val="36075F27"/>
    <w:rsid w:val="36121506"/>
    <w:rsid w:val="36180AB0"/>
    <w:rsid w:val="361D7A43"/>
    <w:rsid w:val="361F3323"/>
    <w:rsid w:val="36221EBE"/>
    <w:rsid w:val="36402EFA"/>
    <w:rsid w:val="36496A51"/>
    <w:rsid w:val="365623F6"/>
    <w:rsid w:val="365656AA"/>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D0DC4"/>
    <w:rsid w:val="36D0014D"/>
    <w:rsid w:val="36D51D00"/>
    <w:rsid w:val="36D66B5E"/>
    <w:rsid w:val="36D94FAB"/>
    <w:rsid w:val="36E14014"/>
    <w:rsid w:val="36E93760"/>
    <w:rsid w:val="36F9022B"/>
    <w:rsid w:val="36FA2C03"/>
    <w:rsid w:val="36FB4305"/>
    <w:rsid w:val="37066E6D"/>
    <w:rsid w:val="3708597F"/>
    <w:rsid w:val="3709624C"/>
    <w:rsid w:val="37096815"/>
    <w:rsid w:val="370F7060"/>
    <w:rsid w:val="37134801"/>
    <w:rsid w:val="37173233"/>
    <w:rsid w:val="371C344E"/>
    <w:rsid w:val="372136EF"/>
    <w:rsid w:val="37226558"/>
    <w:rsid w:val="3725342F"/>
    <w:rsid w:val="372F6BFE"/>
    <w:rsid w:val="3734159D"/>
    <w:rsid w:val="37382526"/>
    <w:rsid w:val="373B4C89"/>
    <w:rsid w:val="37477EE4"/>
    <w:rsid w:val="37503E6C"/>
    <w:rsid w:val="3758590A"/>
    <w:rsid w:val="375E77B2"/>
    <w:rsid w:val="37602E60"/>
    <w:rsid w:val="37687EB7"/>
    <w:rsid w:val="377975C9"/>
    <w:rsid w:val="377A790A"/>
    <w:rsid w:val="3780065D"/>
    <w:rsid w:val="378229A7"/>
    <w:rsid w:val="3784394E"/>
    <w:rsid w:val="37987437"/>
    <w:rsid w:val="379D05BB"/>
    <w:rsid w:val="379F33FC"/>
    <w:rsid w:val="37A432E4"/>
    <w:rsid w:val="37A86196"/>
    <w:rsid w:val="37C94031"/>
    <w:rsid w:val="37CA042E"/>
    <w:rsid w:val="37D44549"/>
    <w:rsid w:val="37D52A12"/>
    <w:rsid w:val="37D77B09"/>
    <w:rsid w:val="37D97EDE"/>
    <w:rsid w:val="37E419E0"/>
    <w:rsid w:val="37E76E34"/>
    <w:rsid w:val="37FA1530"/>
    <w:rsid w:val="38054B4C"/>
    <w:rsid w:val="380D02B1"/>
    <w:rsid w:val="380E1430"/>
    <w:rsid w:val="381D6F5F"/>
    <w:rsid w:val="38226A7D"/>
    <w:rsid w:val="382B1BDF"/>
    <w:rsid w:val="382E392C"/>
    <w:rsid w:val="38342E90"/>
    <w:rsid w:val="383547CB"/>
    <w:rsid w:val="3848759E"/>
    <w:rsid w:val="384B7332"/>
    <w:rsid w:val="385056AF"/>
    <w:rsid w:val="38505C1D"/>
    <w:rsid w:val="386A7142"/>
    <w:rsid w:val="386B25B9"/>
    <w:rsid w:val="38706DCB"/>
    <w:rsid w:val="387A0F38"/>
    <w:rsid w:val="387C7396"/>
    <w:rsid w:val="388E5848"/>
    <w:rsid w:val="3894580C"/>
    <w:rsid w:val="389E1697"/>
    <w:rsid w:val="38A341A7"/>
    <w:rsid w:val="38A72EC1"/>
    <w:rsid w:val="38B15C1A"/>
    <w:rsid w:val="38B624DA"/>
    <w:rsid w:val="38BD31EE"/>
    <w:rsid w:val="38C078C7"/>
    <w:rsid w:val="38CB3BDF"/>
    <w:rsid w:val="38D33D29"/>
    <w:rsid w:val="38D41CCF"/>
    <w:rsid w:val="38D70F8B"/>
    <w:rsid w:val="38E40A5B"/>
    <w:rsid w:val="38F15D82"/>
    <w:rsid w:val="38F16A28"/>
    <w:rsid w:val="39026F69"/>
    <w:rsid w:val="39090B81"/>
    <w:rsid w:val="391A3359"/>
    <w:rsid w:val="392502AB"/>
    <w:rsid w:val="39285D57"/>
    <w:rsid w:val="39290B29"/>
    <w:rsid w:val="392A609E"/>
    <w:rsid w:val="39305263"/>
    <w:rsid w:val="3942177D"/>
    <w:rsid w:val="394303B9"/>
    <w:rsid w:val="394B6470"/>
    <w:rsid w:val="395B23E5"/>
    <w:rsid w:val="395C6EA8"/>
    <w:rsid w:val="39872512"/>
    <w:rsid w:val="39A602F9"/>
    <w:rsid w:val="39BD140D"/>
    <w:rsid w:val="39BD45C8"/>
    <w:rsid w:val="39C2316A"/>
    <w:rsid w:val="39C84F8B"/>
    <w:rsid w:val="39D521F5"/>
    <w:rsid w:val="39D752B5"/>
    <w:rsid w:val="39E4018B"/>
    <w:rsid w:val="39F36281"/>
    <w:rsid w:val="39F81192"/>
    <w:rsid w:val="39FD376D"/>
    <w:rsid w:val="39FD6C9C"/>
    <w:rsid w:val="3A0224B9"/>
    <w:rsid w:val="3A11466E"/>
    <w:rsid w:val="3A16728B"/>
    <w:rsid w:val="3A16794C"/>
    <w:rsid w:val="3A1F6809"/>
    <w:rsid w:val="3A226969"/>
    <w:rsid w:val="3A263A17"/>
    <w:rsid w:val="3A3D306A"/>
    <w:rsid w:val="3A3F47CE"/>
    <w:rsid w:val="3A4E1C5D"/>
    <w:rsid w:val="3A523735"/>
    <w:rsid w:val="3A557AE4"/>
    <w:rsid w:val="3A5F0BE3"/>
    <w:rsid w:val="3A613D40"/>
    <w:rsid w:val="3A6B0F84"/>
    <w:rsid w:val="3A727435"/>
    <w:rsid w:val="3A813EA6"/>
    <w:rsid w:val="3A90179E"/>
    <w:rsid w:val="3A94055A"/>
    <w:rsid w:val="3A9A391F"/>
    <w:rsid w:val="3A9D538F"/>
    <w:rsid w:val="3AB00167"/>
    <w:rsid w:val="3AC17E3A"/>
    <w:rsid w:val="3AC50972"/>
    <w:rsid w:val="3ACB5746"/>
    <w:rsid w:val="3ACE209E"/>
    <w:rsid w:val="3ACE76F0"/>
    <w:rsid w:val="3ACF2928"/>
    <w:rsid w:val="3ADD2B05"/>
    <w:rsid w:val="3AE417E3"/>
    <w:rsid w:val="3AE440AF"/>
    <w:rsid w:val="3AEE0E24"/>
    <w:rsid w:val="3AF7667E"/>
    <w:rsid w:val="3B037EFC"/>
    <w:rsid w:val="3B113F51"/>
    <w:rsid w:val="3B192990"/>
    <w:rsid w:val="3B2013D1"/>
    <w:rsid w:val="3B290B73"/>
    <w:rsid w:val="3B2D3716"/>
    <w:rsid w:val="3B2D5F23"/>
    <w:rsid w:val="3B307112"/>
    <w:rsid w:val="3B386133"/>
    <w:rsid w:val="3B3939FB"/>
    <w:rsid w:val="3B3E5BDD"/>
    <w:rsid w:val="3B5A2A22"/>
    <w:rsid w:val="3B6D6BFB"/>
    <w:rsid w:val="3B707794"/>
    <w:rsid w:val="3B773A0C"/>
    <w:rsid w:val="3B7804A3"/>
    <w:rsid w:val="3B8E2153"/>
    <w:rsid w:val="3B9B2072"/>
    <w:rsid w:val="3BA03B83"/>
    <w:rsid w:val="3BA34296"/>
    <w:rsid w:val="3BB20883"/>
    <w:rsid w:val="3BBD2B29"/>
    <w:rsid w:val="3BC34E75"/>
    <w:rsid w:val="3BCB270F"/>
    <w:rsid w:val="3BD96AA6"/>
    <w:rsid w:val="3BDB182F"/>
    <w:rsid w:val="3BED002E"/>
    <w:rsid w:val="3BF4605D"/>
    <w:rsid w:val="3BF7151A"/>
    <w:rsid w:val="3C0429BF"/>
    <w:rsid w:val="3C1558AA"/>
    <w:rsid w:val="3C1A201A"/>
    <w:rsid w:val="3C276807"/>
    <w:rsid w:val="3C371D4B"/>
    <w:rsid w:val="3C3B4B9D"/>
    <w:rsid w:val="3C413C82"/>
    <w:rsid w:val="3C471C36"/>
    <w:rsid w:val="3C4B0140"/>
    <w:rsid w:val="3C4D66ED"/>
    <w:rsid w:val="3C536FD8"/>
    <w:rsid w:val="3C5A6B66"/>
    <w:rsid w:val="3C6423DA"/>
    <w:rsid w:val="3C6C4C7E"/>
    <w:rsid w:val="3C734413"/>
    <w:rsid w:val="3C7537FA"/>
    <w:rsid w:val="3C8048B1"/>
    <w:rsid w:val="3C9049D1"/>
    <w:rsid w:val="3C9130FD"/>
    <w:rsid w:val="3C982C18"/>
    <w:rsid w:val="3CA734F8"/>
    <w:rsid w:val="3CA95F71"/>
    <w:rsid w:val="3CB03028"/>
    <w:rsid w:val="3CB8005B"/>
    <w:rsid w:val="3CB96C4B"/>
    <w:rsid w:val="3CC16893"/>
    <w:rsid w:val="3CC74223"/>
    <w:rsid w:val="3CC828D0"/>
    <w:rsid w:val="3CCD1F4A"/>
    <w:rsid w:val="3CDB5F96"/>
    <w:rsid w:val="3CE23F49"/>
    <w:rsid w:val="3CE47078"/>
    <w:rsid w:val="3CEC39B8"/>
    <w:rsid w:val="3CF720E3"/>
    <w:rsid w:val="3CF72D6A"/>
    <w:rsid w:val="3CF86D06"/>
    <w:rsid w:val="3D00620E"/>
    <w:rsid w:val="3D035226"/>
    <w:rsid w:val="3D1B4AE8"/>
    <w:rsid w:val="3D316CDB"/>
    <w:rsid w:val="3D320A35"/>
    <w:rsid w:val="3D370F6F"/>
    <w:rsid w:val="3D3D6BBD"/>
    <w:rsid w:val="3D43773B"/>
    <w:rsid w:val="3D450F8C"/>
    <w:rsid w:val="3D477118"/>
    <w:rsid w:val="3D570828"/>
    <w:rsid w:val="3D594E54"/>
    <w:rsid w:val="3D62706F"/>
    <w:rsid w:val="3D65014D"/>
    <w:rsid w:val="3D66172D"/>
    <w:rsid w:val="3D681CCB"/>
    <w:rsid w:val="3D6E2272"/>
    <w:rsid w:val="3D7C727A"/>
    <w:rsid w:val="3D81786B"/>
    <w:rsid w:val="3D830417"/>
    <w:rsid w:val="3D877AC5"/>
    <w:rsid w:val="3D882D35"/>
    <w:rsid w:val="3D8A0BF0"/>
    <w:rsid w:val="3D8B0BEF"/>
    <w:rsid w:val="3D8D2848"/>
    <w:rsid w:val="3D94235D"/>
    <w:rsid w:val="3D9461E1"/>
    <w:rsid w:val="3DB3256E"/>
    <w:rsid w:val="3DB34E86"/>
    <w:rsid w:val="3DE1506A"/>
    <w:rsid w:val="3DE42233"/>
    <w:rsid w:val="3DE90C78"/>
    <w:rsid w:val="3DED0F96"/>
    <w:rsid w:val="3DF44434"/>
    <w:rsid w:val="3DF95812"/>
    <w:rsid w:val="3DFD28B5"/>
    <w:rsid w:val="3E007451"/>
    <w:rsid w:val="3E01747C"/>
    <w:rsid w:val="3E1D4B24"/>
    <w:rsid w:val="3E374A6D"/>
    <w:rsid w:val="3E3A04FA"/>
    <w:rsid w:val="3E3D12A3"/>
    <w:rsid w:val="3E3D6B96"/>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8791F"/>
    <w:rsid w:val="3EB71AC8"/>
    <w:rsid w:val="3EC04D9B"/>
    <w:rsid w:val="3EC50EC2"/>
    <w:rsid w:val="3EC85E34"/>
    <w:rsid w:val="3ECF2AAC"/>
    <w:rsid w:val="3ED0424C"/>
    <w:rsid w:val="3ED07B7E"/>
    <w:rsid w:val="3ED16FB1"/>
    <w:rsid w:val="3EEB4E5A"/>
    <w:rsid w:val="3EF31E7F"/>
    <w:rsid w:val="3EF36DF0"/>
    <w:rsid w:val="3F035EE1"/>
    <w:rsid w:val="3F053EF6"/>
    <w:rsid w:val="3F093188"/>
    <w:rsid w:val="3F0E2BD0"/>
    <w:rsid w:val="3F173F6B"/>
    <w:rsid w:val="3F1E1DE8"/>
    <w:rsid w:val="3F253B0C"/>
    <w:rsid w:val="3F2B67B3"/>
    <w:rsid w:val="3F2C04C4"/>
    <w:rsid w:val="3F374FF9"/>
    <w:rsid w:val="3F3E7C9F"/>
    <w:rsid w:val="3F416B99"/>
    <w:rsid w:val="3F4923FB"/>
    <w:rsid w:val="3F4E238A"/>
    <w:rsid w:val="3F4F5AD7"/>
    <w:rsid w:val="3F5507AA"/>
    <w:rsid w:val="3F643908"/>
    <w:rsid w:val="3F6B75A6"/>
    <w:rsid w:val="3F7654B2"/>
    <w:rsid w:val="3F767D5C"/>
    <w:rsid w:val="3F7D52BB"/>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C5F31"/>
    <w:rsid w:val="3FE04625"/>
    <w:rsid w:val="3FE86CE8"/>
    <w:rsid w:val="3FF83537"/>
    <w:rsid w:val="3FFB0F66"/>
    <w:rsid w:val="40146E6B"/>
    <w:rsid w:val="403052F1"/>
    <w:rsid w:val="40330D29"/>
    <w:rsid w:val="404469FD"/>
    <w:rsid w:val="404A2717"/>
    <w:rsid w:val="404E779F"/>
    <w:rsid w:val="40530E08"/>
    <w:rsid w:val="4059090D"/>
    <w:rsid w:val="4065170A"/>
    <w:rsid w:val="406E5CAB"/>
    <w:rsid w:val="40713C35"/>
    <w:rsid w:val="40750007"/>
    <w:rsid w:val="408376F8"/>
    <w:rsid w:val="40A25054"/>
    <w:rsid w:val="40A325E0"/>
    <w:rsid w:val="40A3394F"/>
    <w:rsid w:val="40B7228C"/>
    <w:rsid w:val="40BD0DA1"/>
    <w:rsid w:val="40EC7D18"/>
    <w:rsid w:val="40ED11A0"/>
    <w:rsid w:val="40F13769"/>
    <w:rsid w:val="40F311B3"/>
    <w:rsid w:val="40FD1BF0"/>
    <w:rsid w:val="41096BC0"/>
    <w:rsid w:val="410A75B6"/>
    <w:rsid w:val="410B452A"/>
    <w:rsid w:val="41146D26"/>
    <w:rsid w:val="41151452"/>
    <w:rsid w:val="412243A3"/>
    <w:rsid w:val="412E4C82"/>
    <w:rsid w:val="413353F1"/>
    <w:rsid w:val="41354257"/>
    <w:rsid w:val="414D5867"/>
    <w:rsid w:val="41513BC9"/>
    <w:rsid w:val="41735B7F"/>
    <w:rsid w:val="419E60D3"/>
    <w:rsid w:val="41A339F5"/>
    <w:rsid w:val="41A36C7E"/>
    <w:rsid w:val="41AF1969"/>
    <w:rsid w:val="41B928D7"/>
    <w:rsid w:val="41C93F6C"/>
    <w:rsid w:val="41D71584"/>
    <w:rsid w:val="41D75714"/>
    <w:rsid w:val="41DD3BC3"/>
    <w:rsid w:val="41DE47A6"/>
    <w:rsid w:val="41E0049A"/>
    <w:rsid w:val="41EE2F03"/>
    <w:rsid w:val="41F12885"/>
    <w:rsid w:val="41F466FD"/>
    <w:rsid w:val="41FA17D7"/>
    <w:rsid w:val="41FB640C"/>
    <w:rsid w:val="42002BC7"/>
    <w:rsid w:val="42026B03"/>
    <w:rsid w:val="420D197F"/>
    <w:rsid w:val="4215519C"/>
    <w:rsid w:val="42167825"/>
    <w:rsid w:val="42187EBE"/>
    <w:rsid w:val="42273D8C"/>
    <w:rsid w:val="4227435A"/>
    <w:rsid w:val="423D0756"/>
    <w:rsid w:val="423F223C"/>
    <w:rsid w:val="424B5824"/>
    <w:rsid w:val="42616DD3"/>
    <w:rsid w:val="42627788"/>
    <w:rsid w:val="426973AD"/>
    <w:rsid w:val="426E05AE"/>
    <w:rsid w:val="426F56CA"/>
    <w:rsid w:val="4276421C"/>
    <w:rsid w:val="427A67A1"/>
    <w:rsid w:val="427E0B36"/>
    <w:rsid w:val="429F4CDE"/>
    <w:rsid w:val="42A03D98"/>
    <w:rsid w:val="42A729F1"/>
    <w:rsid w:val="42AD119C"/>
    <w:rsid w:val="42B561EC"/>
    <w:rsid w:val="42B94BC1"/>
    <w:rsid w:val="42BD33E9"/>
    <w:rsid w:val="42C30254"/>
    <w:rsid w:val="42C41EAD"/>
    <w:rsid w:val="42C42A08"/>
    <w:rsid w:val="42CA2D38"/>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E0DDE"/>
    <w:rsid w:val="43245778"/>
    <w:rsid w:val="43254465"/>
    <w:rsid w:val="432E1B6C"/>
    <w:rsid w:val="4332317A"/>
    <w:rsid w:val="433246A0"/>
    <w:rsid w:val="43346A41"/>
    <w:rsid w:val="4339367B"/>
    <w:rsid w:val="433A7DF8"/>
    <w:rsid w:val="433F6B54"/>
    <w:rsid w:val="4346543A"/>
    <w:rsid w:val="43533E29"/>
    <w:rsid w:val="43552086"/>
    <w:rsid w:val="435B1259"/>
    <w:rsid w:val="43625C64"/>
    <w:rsid w:val="436263D5"/>
    <w:rsid w:val="437556C4"/>
    <w:rsid w:val="438136CA"/>
    <w:rsid w:val="43874CD4"/>
    <w:rsid w:val="438C5C44"/>
    <w:rsid w:val="43907B2D"/>
    <w:rsid w:val="43911EEB"/>
    <w:rsid w:val="43970CBB"/>
    <w:rsid w:val="439B699F"/>
    <w:rsid w:val="43AF2D32"/>
    <w:rsid w:val="43B759A7"/>
    <w:rsid w:val="43B76E4F"/>
    <w:rsid w:val="43CF0206"/>
    <w:rsid w:val="43D85D6D"/>
    <w:rsid w:val="43DC339E"/>
    <w:rsid w:val="43E261FB"/>
    <w:rsid w:val="43EC6F1F"/>
    <w:rsid w:val="43FE44BA"/>
    <w:rsid w:val="440D5045"/>
    <w:rsid w:val="440F6C97"/>
    <w:rsid w:val="441137BF"/>
    <w:rsid w:val="442227E8"/>
    <w:rsid w:val="44270D82"/>
    <w:rsid w:val="442C2AD8"/>
    <w:rsid w:val="44300615"/>
    <w:rsid w:val="44371929"/>
    <w:rsid w:val="443740AF"/>
    <w:rsid w:val="44480935"/>
    <w:rsid w:val="444851FA"/>
    <w:rsid w:val="445E251E"/>
    <w:rsid w:val="445E4DEE"/>
    <w:rsid w:val="446140E1"/>
    <w:rsid w:val="44640994"/>
    <w:rsid w:val="44681A6F"/>
    <w:rsid w:val="446A1BCE"/>
    <w:rsid w:val="446B0434"/>
    <w:rsid w:val="44744362"/>
    <w:rsid w:val="44756A66"/>
    <w:rsid w:val="4475765B"/>
    <w:rsid w:val="447E4EBE"/>
    <w:rsid w:val="447F0CBA"/>
    <w:rsid w:val="44957F46"/>
    <w:rsid w:val="44994CF5"/>
    <w:rsid w:val="44D43244"/>
    <w:rsid w:val="44DA1025"/>
    <w:rsid w:val="44DC46EB"/>
    <w:rsid w:val="44DD4B2F"/>
    <w:rsid w:val="44E8312D"/>
    <w:rsid w:val="44EA6491"/>
    <w:rsid w:val="44F03F8F"/>
    <w:rsid w:val="44F14ECF"/>
    <w:rsid w:val="45057E42"/>
    <w:rsid w:val="450C7F39"/>
    <w:rsid w:val="45101FC6"/>
    <w:rsid w:val="451837D5"/>
    <w:rsid w:val="45275172"/>
    <w:rsid w:val="45332511"/>
    <w:rsid w:val="453F44DA"/>
    <w:rsid w:val="45412391"/>
    <w:rsid w:val="45412C46"/>
    <w:rsid w:val="45514AD5"/>
    <w:rsid w:val="45514C21"/>
    <w:rsid w:val="4552412E"/>
    <w:rsid w:val="455908C0"/>
    <w:rsid w:val="45743BE6"/>
    <w:rsid w:val="4575513B"/>
    <w:rsid w:val="45761EDD"/>
    <w:rsid w:val="457A7286"/>
    <w:rsid w:val="457B06AA"/>
    <w:rsid w:val="457C7D39"/>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C32AC3"/>
    <w:rsid w:val="45C661BC"/>
    <w:rsid w:val="45CA082F"/>
    <w:rsid w:val="45CD2126"/>
    <w:rsid w:val="45D2713B"/>
    <w:rsid w:val="45DD738A"/>
    <w:rsid w:val="45E372CD"/>
    <w:rsid w:val="45EE33EC"/>
    <w:rsid w:val="45FB2D6A"/>
    <w:rsid w:val="45FD76F1"/>
    <w:rsid w:val="460C5979"/>
    <w:rsid w:val="46110AB3"/>
    <w:rsid w:val="46143B66"/>
    <w:rsid w:val="4615371C"/>
    <w:rsid w:val="46214325"/>
    <w:rsid w:val="463246EC"/>
    <w:rsid w:val="463425D3"/>
    <w:rsid w:val="463A3547"/>
    <w:rsid w:val="463F2211"/>
    <w:rsid w:val="464514F3"/>
    <w:rsid w:val="464B28C8"/>
    <w:rsid w:val="464E0973"/>
    <w:rsid w:val="46555DC3"/>
    <w:rsid w:val="46617DB2"/>
    <w:rsid w:val="46621065"/>
    <w:rsid w:val="46665198"/>
    <w:rsid w:val="46697236"/>
    <w:rsid w:val="467442D0"/>
    <w:rsid w:val="46764F51"/>
    <w:rsid w:val="46770F8B"/>
    <w:rsid w:val="467C16FA"/>
    <w:rsid w:val="46894B18"/>
    <w:rsid w:val="468E1931"/>
    <w:rsid w:val="46910480"/>
    <w:rsid w:val="469448C6"/>
    <w:rsid w:val="46AB0067"/>
    <w:rsid w:val="46B80AF8"/>
    <w:rsid w:val="46C119C0"/>
    <w:rsid w:val="46C11C3D"/>
    <w:rsid w:val="46D37F0B"/>
    <w:rsid w:val="46D71533"/>
    <w:rsid w:val="46E333D6"/>
    <w:rsid w:val="46E43970"/>
    <w:rsid w:val="46E53335"/>
    <w:rsid w:val="46FF5C70"/>
    <w:rsid w:val="47155D89"/>
    <w:rsid w:val="472862CD"/>
    <w:rsid w:val="473069AF"/>
    <w:rsid w:val="4734479C"/>
    <w:rsid w:val="474A0EAF"/>
    <w:rsid w:val="474A4FC3"/>
    <w:rsid w:val="474E50BE"/>
    <w:rsid w:val="47502F40"/>
    <w:rsid w:val="47504F30"/>
    <w:rsid w:val="47520A2B"/>
    <w:rsid w:val="475A41FF"/>
    <w:rsid w:val="47682FD5"/>
    <w:rsid w:val="47690F71"/>
    <w:rsid w:val="47696F9C"/>
    <w:rsid w:val="47714F1F"/>
    <w:rsid w:val="47725A17"/>
    <w:rsid w:val="477654F2"/>
    <w:rsid w:val="477D3243"/>
    <w:rsid w:val="478821A1"/>
    <w:rsid w:val="479128A9"/>
    <w:rsid w:val="47973A13"/>
    <w:rsid w:val="47975EDC"/>
    <w:rsid w:val="47983B19"/>
    <w:rsid w:val="4799117C"/>
    <w:rsid w:val="47A3609D"/>
    <w:rsid w:val="47B52288"/>
    <w:rsid w:val="47C01792"/>
    <w:rsid w:val="47C57A48"/>
    <w:rsid w:val="47D511BD"/>
    <w:rsid w:val="47DB65F6"/>
    <w:rsid w:val="47EF248D"/>
    <w:rsid w:val="48020DE8"/>
    <w:rsid w:val="4808150F"/>
    <w:rsid w:val="480F51A8"/>
    <w:rsid w:val="48256B1B"/>
    <w:rsid w:val="48282713"/>
    <w:rsid w:val="483914BE"/>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8FB5474"/>
    <w:rsid w:val="491B63DF"/>
    <w:rsid w:val="491C7F11"/>
    <w:rsid w:val="491D63E9"/>
    <w:rsid w:val="491E6605"/>
    <w:rsid w:val="49306E23"/>
    <w:rsid w:val="4932285C"/>
    <w:rsid w:val="4937722C"/>
    <w:rsid w:val="49384E02"/>
    <w:rsid w:val="493E2F78"/>
    <w:rsid w:val="494049CC"/>
    <w:rsid w:val="495217DF"/>
    <w:rsid w:val="4958367A"/>
    <w:rsid w:val="495A044A"/>
    <w:rsid w:val="495B224C"/>
    <w:rsid w:val="49614CE3"/>
    <w:rsid w:val="49705407"/>
    <w:rsid w:val="497206BF"/>
    <w:rsid w:val="49837164"/>
    <w:rsid w:val="498A16CD"/>
    <w:rsid w:val="498E5F2B"/>
    <w:rsid w:val="49A33C27"/>
    <w:rsid w:val="49A750B5"/>
    <w:rsid w:val="49BE07DA"/>
    <w:rsid w:val="49C84AA0"/>
    <w:rsid w:val="49D7694D"/>
    <w:rsid w:val="49E500F7"/>
    <w:rsid w:val="4A0244D3"/>
    <w:rsid w:val="4A157673"/>
    <w:rsid w:val="4A185805"/>
    <w:rsid w:val="4A1F02E3"/>
    <w:rsid w:val="4A255046"/>
    <w:rsid w:val="4A2E1525"/>
    <w:rsid w:val="4A3D3E88"/>
    <w:rsid w:val="4A423360"/>
    <w:rsid w:val="4A4A538E"/>
    <w:rsid w:val="4A593331"/>
    <w:rsid w:val="4A5A756D"/>
    <w:rsid w:val="4A722B4C"/>
    <w:rsid w:val="4A785772"/>
    <w:rsid w:val="4A797A30"/>
    <w:rsid w:val="4A842E43"/>
    <w:rsid w:val="4A890941"/>
    <w:rsid w:val="4A89105B"/>
    <w:rsid w:val="4AA341CC"/>
    <w:rsid w:val="4AC13295"/>
    <w:rsid w:val="4AC15226"/>
    <w:rsid w:val="4AC31003"/>
    <w:rsid w:val="4AC40F4C"/>
    <w:rsid w:val="4AD25F33"/>
    <w:rsid w:val="4ADD641F"/>
    <w:rsid w:val="4AE072CB"/>
    <w:rsid w:val="4AE93159"/>
    <w:rsid w:val="4AE951C1"/>
    <w:rsid w:val="4AEA1915"/>
    <w:rsid w:val="4AF02EA1"/>
    <w:rsid w:val="4AF24703"/>
    <w:rsid w:val="4AF86E0A"/>
    <w:rsid w:val="4B0B0C38"/>
    <w:rsid w:val="4B0C63A0"/>
    <w:rsid w:val="4B174032"/>
    <w:rsid w:val="4B250CF8"/>
    <w:rsid w:val="4B2873FD"/>
    <w:rsid w:val="4B31377C"/>
    <w:rsid w:val="4B3C6133"/>
    <w:rsid w:val="4B3C709B"/>
    <w:rsid w:val="4B3D4DE9"/>
    <w:rsid w:val="4B586213"/>
    <w:rsid w:val="4B610B6B"/>
    <w:rsid w:val="4B7C4100"/>
    <w:rsid w:val="4B830F9B"/>
    <w:rsid w:val="4B8F2DD0"/>
    <w:rsid w:val="4B9B06E8"/>
    <w:rsid w:val="4B9B0C47"/>
    <w:rsid w:val="4B9D2E9A"/>
    <w:rsid w:val="4B9D4011"/>
    <w:rsid w:val="4BB36BDD"/>
    <w:rsid w:val="4BB60507"/>
    <w:rsid w:val="4BC32290"/>
    <w:rsid w:val="4BCA3049"/>
    <w:rsid w:val="4BD0339A"/>
    <w:rsid w:val="4BD06CCD"/>
    <w:rsid w:val="4BDB1AFE"/>
    <w:rsid w:val="4BE44D7C"/>
    <w:rsid w:val="4BF32495"/>
    <w:rsid w:val="4BF759D3"/>
    <w:rsid w:val="4BF86F2E"/>
    <w:rsid w:val="4BFA3FA2"/>
    <w:rsid w:val="4C065916"/>
    <w:rsid w:val="4C2910DF"/>
    <w:rsid w:val="4C2B4DDD"/>
    <w:rsid w:val="4C3618C0"/>
    <w:rsid w:val="4C3828F8"/>
    <w:rsid w:val="4C395F75"/>
    <w:rsid w:val="4C3C6B23"/>
    <w:rsid w:val="4C4813AB"/>
    <w:rsid w:val="4C521E0D"/>
    <w:rsid w:val="4C562817"/>
    <w:rsid w:val="4C562920"/>
    <w:rsid w:val="4C562D43"/>
    <w:rsid w:val="4C573BEC"/>
    <w:rsid w:val="4C5D1F92"/>
    <w:rsid w:val="4C603F16"/>
    <w:rsid w:val="4C6262E0"/>
    <w:rsid w:val="4C6703A3"/>
    <w:rsid w:val="4C6D7518"/>
    <w:rsid w:val="4C864F3D"/>
    <w:rsid w:val="4C866AA3"/>
    <w:rsid w:val="4C883DE0"/>
    <w:rsid w:val="4C923A72"/>
    <w:rsid w:val="4CB0041E"/>
    <w:rsid w:val="4CB96B0F"/>
    <w:rsid w:val="4CBD582C"/>
    <w:rsid w:val="4CBE0E0E"/>
    <w:rsid w:val="4CD02236"/>
    <w:rsid w:val="4CE34E9F"/>
    <w:rsid w:val="4CF52D94"/>
    <w:rsid w:val="4CF72846"/>
    <w:rsid w:val="4D0B5968"/>
    <w:rsid w:val="4D0D7E8A"/>
    <w:rsid w:val="4D107BD0"/>
    <w:rsid w:val="4D115F24"/>
    <w:rsid w:val="4D212A25"/>
    <w:rsid w:val="4D2F7FD8"/>
    <w:rsid w:val="4D327E9E"/>
    <w:rsid w:val="4D462159"/>
    <w:rsid w:val="4D47409F"/>
    <w:rsid w:val="4D4A1488"/>
    <w:rsid w:val="4D525BE3"/>
    <w:rsid w:val="4D566017"/>
    <w:rsid w:val="4D572C57"/>
    <w:rsid w:val="4D6022FC"/>
    <w:rsid w:val="4D6B6220"/>
    <w:rsid w:val="4D7D3EFB"/>
    <w:rsid w:val="4D866DE7"/>
    <w:rsid w:val="4D8A4B8F"/>
    <w:rsid w:val="4D8B0123"/>
    <w:rsid w:val="4D8D384B"/>
    <w:rsid w:val="4D8F1908"/>
    <w:rsid w:val="4D926C66"/>
    <w:rsid w:val="4D931B47"/>
    <w:rsid w:val="4D9721EF"/>
    <w:rsid w:val="4D9F0DDC"/>
    <w:rsid w:val="4DA60176"/>
    <w:rsid w:val="4DAF14C5"/>
    <w:rsid w:val="4DB9067A"/>
    <w:rsid w:val="4DC605B6"/>
    <w:rsid w:val="4DCB146F"/>
    <w:rsid w:val="4DD732D2"/>
    <w:rsid w:val="4DDA2D87"/>
    <w:rsid w:val="4DEC0985"/>
    <w:rsid w:val="4E024AB6"/>
    <w:rsid w:val="4E0538A3"/>
    <w:rsid w:val="4E065FF3"/>
    <w:rsid w:val="4E0E6818"/>
    <w:rsid w:val="4E1110A1"/>
    <w:rsid w:val="4E1B222E"/>
    <w:rsid w:val="4E27683A"/>
    <w:rsid w:val="4E321D35"/>
    <w:rsid w:val="4E397241"/>
    <w:rsid w:val="4E4C50A3"/>
    <w:rsid w:val="4E510698"/>
    <w:rsid w:val="4E576363"/>
    <w:rsid w:val="4E5D49B1"/>
    <w:rsid w:val="4E635567"/>
    <w:rsid w:val="4E674786"/>
    <w:rsid w:val="4E742982"/>
    <w:rsid w:val="4E7D3D83"/>
    <w:rsid w:val="4E7F1E8F"/>
    <w:rsid w:val="4E862481"/>
    <w:rsid w:val="4E896627"/>
    <w:rsid w:val="4E8E2A85"/>
    <w:rsid w:val="4E9C0636"/>
    <w:rsid w:val="4E9D29FB"/>
    <w:rsid w:val="4EA30DB6"/>
    <w:rsid w:val="4EA7341F"/>
    <w:rsid w:val="4EB67F01"/>
    <w:rsid w:val="4EDB58B2"/>
    <w:rsid w:val="4EE925CE"/>
    <w:rsid w:val="4EEB1A94"/>
    <w:rsid w:val="4EEF2E30"/>
    <w:rsid w:val="4EF24828"/>
    <w:rsid w:val="4EF6093E"/>
    <w:rsid w:val="4EFE7F59"/>
    <w:rsid w:val="4F2218BF"/>
    <w:rsid w:val="4F285975"/>
    <w:rsid w:val="4F2A7BF3"/>
    <w:rsid w:val="4F2C2C3C"/>
    <w:rsid w:val="4F2C37D4"/>
    <w:rsid w:val="4F2E2624"/>
    <w:rsid w:val="4F4973B8"/>
    <w:rsid w:val="4F4E1077"/>
    <w:rsid w:val="4F546156"/>
    <w:rsid w:val="4F5F0E17"/>
    <w:rsid w:val="4F6657CA"/>
    <w:rsid w:val="4F6A3AFB"/>
    <w:rsid w:val="4F844A99"/>
    <w:rsid w:val="4F8B37B0"/>
    <w:rsid w:val="4F9214FD"/>
    <w:rsid w:val="4F94662C"/>
    <w:rsid w:val="4F964BF2"/>
    <w:rsid w:val="4F9766A5"/>
    <w:rsid w:val="4FA378C0"/>
    <w:rsid w:val="4FA96C89"/>
    <w:rsid w:val="4FAD5914"/>
    <w:rsid w:val="4FB00163"/>
    <w:rsid w:val="4FB208E7"/>
    <w:rsid w:val="4FBC0D69"/>
    <w:rsid w:val="4FE30332"/>
    <w:rsid w:val="4FE37E3E"/>
    <w:rsid w:val="4FE70BB4"/>
    <w:rsid w:val="4FE73C01"/>
    <w:rsid w:val="4FE87C31"/>
    <w:rsid w:val="4FF14DCF"/>
    <w:rsid w:val="500815B6"/>
    <w:rsid w:val="500B39BC"/>
    <w:rsid w:val="500E7DCA"/>
    <w:rsid w:val="502173F8"/>
    <w:rsid w:val="5022123F"/>
    <w:rsid w:val="502B7315"/>
    <w:rsid w:val="503E570B"/>
    <w:rsid w:val="503E79CC"/>
    <w:rsid w:val="503F32CF"/>
    <w:rsid w:val="5041152A"/>
    <w:rsid w:val="50436B43"/>
    <w:rsid w:val="50490474"/>
    <w:rsid w:val="504A1D23"/>
    <w:rsid w:val="504C77D2"/>
    <w:rsid w:val="504E004A"/>
    <w:rsid w:val="50560460"/>
    <w:rsid w:val="50601A5C"/>
    <w:rsid w:val="50623643"/>
    <w:rsid w:val="506B27F0"/>
    <w:rsid w:val="507E1B25"/>
    <w:rsid w:val="508E3B94"/>
    <w:rsid w:val="508E4492"/>
    <w:rsid w:val="5090223F"/>
    <w:rsid w:val="50924591"/>
    <w:rsid w:val="509575C8"/>
    <w:rsid w:val="50A649F5"/>
    <w:rsid w:val="50A84A74"/>
    <w:rsid w:val="50AB5EB6"/>
    <w:rsid w:val="50AC0F2E"/>
    <w:rsid w:val="50AE6FE2"/>
    <w:rsid w:val="50B16618"/>
    <w:rsid w:val="50BB6306"/>
    <w:rsid w:val="50BC79E2"/>
    <w:rsid w:val="50C64C14"/>
    <w:rsid w:val="50C816FE"/>
    <w:rsid w:val="50CD2E4B"/>
    <w:rsid w:val="50F66F3D"/>
    <w:rsid w:val="50F8688B"/>
    <w:rsid w:val="50FC4E36"/>
    <w:rsid w:val="5105169B"/>
    <w:rsid w:val="51062881"/>
    <w:rsid w:val="510861B3"/>
    <w:rsid w:val="510956BD"/>
    <w:rsid w:val="5120254C"/>
    <w:rsid w:val="51230220"/>
    <w:rsid w:val="51471753"/>
    <w:rsid w:val="514C513A"/>
    <w:rsid w:val="514E4912"/>
    <w:rsid w:val="515400FF"/>
    <w:rsid w:val="515B1B71"/>
    <w:rsid w:val="515D735D"/>
    <w:rsid w:val="51781A83"/>
    <w:rsid w:val="51802CA0"/>
    <w:rsid w:val="51864057"/>
    <w:rsid w:val="51867298"/>
    <w:rsid w:val="51894D69"/>
    <w:rsid w:val="518D21E1"/>
    <w:rsid w:val="518D7A95"/>
    <w:rsid w:val="518F1CD0"/>
    <w:rsid w:val="51930297"/>
    <w:rsid w:val="51953936"/>
    <w:rsid w:val="519E116A"/>
    <w:rsid w:val="51A2793A"/>
    <w:rsid w:val="51AD2B9C"/>
    <w:rsid w:val="51BA0CB7"/>
    <w:rsid w:val="51BF6DE5"/>
    <w:rsid w:val="51D129CA"/>
    <w:rsid w:val="51D93F8A"/>
    <w:rsid w:val="51E42B4C"/>
    <w:rsid w:val="51E5046A"/>
    <w:rsid w:val="52090DED"/>
    <w:rsid w:val="520A28D1"/>
    <w:rsid w:val="52272B85"/>
    <w:rsid w:val="52284E31"/>
    <w:rsid w:val="523E09B5"/>
    <w:rsid w:val="52650435"/>
    <w:rsid w:val="52665581"/>
    <w:rsid w:val="52687B2A"/>
    <w:rsid w:val="526E0E82"/>
    <w:rsid w:val="527901C6"/>
    <w:rsid w:val="528D1AF7"/>
    <w:rsid w:val="528F4A24"/>
    <w:rsid w:val="52944BB6"/>
    <w:rsid w:val="52A24532"/>
    <w:rsid w:val="52AF04EC"/>
    <w:rsid w:val="52B3363A"/>
    <w:rsid w:val="52B668EB"/>
    <w:rsid w:val="52C4763C"/>
    <w:rsid w:val="52D15E4A"/>
    <w:rsid w:val="52DE691D"/>
    <w:rsid w:val="52E04D27"/>
    <w:rsid w:val="52E501E0"/>
    <w:rsid w:val="52ED0C96"/>
    <w:rsid w:val="52F53FAD"/>
    <w:rsid w:val="52FB2EBB"/>
    <w:rsid w:val="52FD0BE2"/>
    <w:rsid w:val="53061721"/>
    <w:rsid w:val="530C0E6B"/>
    <w:rsid w:val="53145A23"/>
    <w:rsid w:val="531A5380"/>
    <w:rsid w:val="532751AE"/>
    <w:rsid w:val="532F77EA"/>
    <w:rsid w:val="53367575"/>
    <w:rsid w:val="533933AA"/>
    <w:rsid w:val="533B7F54"/>
    <w:rsid w:val="533D12DA"/>
    <w:rsid w:val="533E3ACE"/>
    <w:rsid w:val="535009E1"/>
    <w:rsid w:val="53650168"/>
    <w:rsid w:val="536C2A29"/>
    <w:rsid w:val="53743B1E"/>
    <w:rsid w:val="53780350"/>
    <w:rsid w:val="53851D09"/>
    <w:rsid w:val="538859E4"/>
    <w:rsid w:val="538E3092"/>
    <w:rsid w:val="5398565C"/>
    <w:rsid w:val="539F394B"/>
    <w:rsid w:val="53A20FFA"/>
    <w:rsid w:val="53A233E4"/>
    <w:rsid w:val="53A94C48"/>
    <w:rsid w:val="53AA7BC7"/>
    <w:rsid w:val="53AE5EA5"/>
    <w:rsid w:val="53AF1E0C"/>
    <w:rsid w:val="53B00B1F"/>
    <w:rsid w:val="53B2409D"/>
    <w:rsid w:val="53B31E73"/>
    <w:rsid w:val="53B36843"/>
    <w:rsid w:val="53D6247A"/>
    <w:rsid w:val="53DB3477"/>
    <w:rsid w:val="53DE00FF"/>
    <w:rsid w:val="53E77CBF"/>
    <w:rsid w:val="53EE48C1"/>
    <w:rsid w:val="53FE7128"/>
    <w:rsid w:val="540A2F59"/>
    <w:rsid w:val="541C1DFD"/>
    <w:rsid w:val="54201800"/>
    <w:rsid w:val="54247F22"/>
    <w:rsid w:val="542C29CD"/>
    <w:rsid w:val="542F1551"/>
    <w:rsid w:val="54381756"/>
    <w:rsid w:val="54450860"/>
    <w:rsid w:val="54450970"/>
    <w:rsid w:val="545750B7"/>
    <w:rsid w:val="545A1EBF"/>
    <w:rsid w:val="546757BA"/>
    <w:rsid w:val="54727478"/>
    <w:rsid w:val="54823967"/>
    <w:rsid w:val="54835E71"/>
    <w:rsid w:val="5488319C"/>
    <w:rsid w:val="5497051D"/>
    <w:rsid w:val="54B06F11"/>
    <w:rsid w:val="54B56DF4"/>
    <w:rsid w:val="54B93943"/>
    <w:rsid w:val="54BE5578"/>
    <w:rsid w:val="54BF52B5"/>
    <w:rsid w:val="54CA37AF"/>
    <w:rsid w:val="54D202CA"/>
    <w:rsid w:val="54D54E59"/>
    <w:rsid w:val="54D85442"/>
    <w:rsid w:val="54DA156E"/>
    <w:rsid w:val="54DD41DB"/>
    <w:rsid w:val="54E0050A"/>
    <w:rsid w:val="54E106CE"/>
    <w:rsid w:val="54E67D42"/>
    <w:rsid w:val="54E80059"/>
    <w:rsid w:val="54ED3D78"/>
    <w:rsid w:val="54F52BA3"/>
    <w:rsid w:val="54F54E04"/>
    <w:rsid w:val="550B4121"/>
    <w:rsid w:val="550D5CFC"/>
    <w:rsid w:val="550E1627"/>
    <w:rsid w:val="550F3357"/>
    <w:rsid w:val="55126CC5"/>
    <w:rsid w:val="55197997"/>
    <w:rsid w:val="551A48EF"/>
    <w:rsid w:val="551B6FFD"/>
    <w:rsid w:val="551B7F0A"/>
    <w:rsid w:val="552A6B56"/>
    <w:rsid w:val="5532385A"/>
    <w:rsid w:val="55381D42"/>
    <w:rsid w:val="55401B14"/>
    <w:rsid w:val="554748F2"/>
    <w:rsid w:val="554D414C"/>
    <w:rsid w:val="554E7279"/>
    <w:rsid w:val="55594FFB"/>
    <w:rsid w:val="55637CEB"/>
    <w:rsid w:val="55677DDA"/>
    <w:rsid w:val="556C693A"/>
    <w:rsid w:val="55757FB9"/>
    <w:rsid w:val="55777DC8"/>
    <w:rsid w:val="55884237"/>
    <w:rsid w:val="5589109F"/>
    <w:rsid w:val="558C7FAA"/>
    <w:rsid w:val="55900510"/>
    <w:rsid w:val="55947881"/>
    <w:rsid w:val="55A25EB7"/>
    <w:rsid w:val="55A66DC8"/>
    <w:rsid w:val="55A82784"/>
    <w:rsid w:val="55A97512"/>
    <w:rsid w:val="55A9759E"/>
    <w:rsid w:val="55B63FD5"/>
    <w:rsid w:val="55BB00DE"/>
    <w:rsid w:val="55C35A76"/>
    <w:rsid w:val="55D40743"/>
    <w:rsid w:val="55DD6F2A"/>
    <w:rsid w:val="55E73480"/>
    <w:rsid w:val="55E8339E"/>
    <w:rsid w:val="55F06771"/>
    <w:rsid w:val="560D500D"/>
    <w:rsid w:val="560D5F48"/>
    <w:rsid w:val="56103377"/>
    <w:rsid w:val="56106284"/>
    <w:rsid w:val="5616044F"/>
    <w:rsid w:val="562F7CA6"/>
    <w:rsid w:val="5632642A"/>
    <w:rsid w:val="56375B61"/>
    <w:rsid w:val="563B29BF"/>
    <w:rsid w:val="564944F4"/>
    <w:rsid w:val="564D4C5B"/>
    <w:rsid w:val="564E5820"/>
    <w:rsid w:val="56630C00"/>
    <w:rsid w:val="567739D2"/>
    <w:rsid w:val="56775A0A"/>
    <w:rsid w:val="5686536D"/>
    <w:rsid w:val="568B1DB1"/>
    <w:rsid w:val="569807E4"/>
    <w:rsid w:val="56A55214"/>
    <w:rsid w:val="56A67978"/>
    <w:rsid w:val="56AC63C5"/>
    <w:rsid w:val="56C008D5"/>
    <w:rsid w:val="56C1700B"/>
    <w:rsid w:val="56C85B9C"/>
    <w:rsid w:val="56CF6248"/>
    <w:rsid w:val="56D25618"/>
    <w:rsid w:val="56D5793F"/>
    <w:rsid w:val="56D7644B"/>
    <w:rsid w:val="56E15114"/>
    <w:rsid w:val="56E71CC5"/>
    <w:rsid w:val="56E84A97"/>
    <w:rsid w:val="56FB2A68"/>
    <w:rsid w:val="57011F3E"/>
    <w:rsid w:val="5705646B"/>
    <w:rsid w:val="57060649"/>
    <w:rsid w:val="571C0069"/>
    <w:rsid w:val="572657E3"/>
    <w:rsid w:val="5732705F"/>
    <w:rsid w:val="57351D6F"/>
    <w:rsid w:val="57454F4D"/>
    <w:rsid w:val="5748099A"/>
    <w:rsid w:val="576476C1"/>
    <w:rsid w:val="57724CC0"/>
    <w:rsid w:val="57770501"/>
    <w:rsid w:val="577B3337"/>
    <w:rsid w:val="577D4F28"/>
    <w:rsid w:val="57882F2B"/>
    <w:rsid w:val="578D5950"/>
    <w:rsid w:val="57924B37"/>
    <w:rsid w:val="57A33734"/>
    <w:rsid w:val="57AA7172"/>
    <w:rsid w:val="57AB6ADD"/>
    <w:rsid w:val="57B7178E"/>
    <w:rsid w:val="57B76EED"/>
    <w:rsid w:val="57BD72A7"/>
    <w:rsid w:val="57BE5838"/>
    <w:rsid w:val="57CC34B4"/>
    <w:rsid w:val="57D82354"/>
    <w:rsid w:val="57DC7C08"/>
    <w:rsid w:val="57FC07D9"/>
    <w:rsid w:val="57FF6992"/>
    <w:rsid w:val="580742A5"/>
    <w:rsid w:val="580B408B"/>
    <w:rsid w:val="580E2E04"/>
    <w:rsid w:val="580F1B21"/>
    <w:rsid w:val="58133F7B"/>
    <w:rsid w:val="581B7E79"/>
    <w:rsid w:val="582B1AE7"/>
    <w:rsid w:val="58500F22"/>
    <w:rsid w:val="58587379"/>
    <w:rsid w:val="585C19EB"/>
    <w:rsid w:val="586D57A3"/>
    <w:rsid w:val="586E53C9"/>
    <w:rsid w:val="587917A0"/>
    <w:rsid w:val="587A4288"/>
    <w:rsid w:val="5880052B"/>
    <w:rsid w:val="5883562A"/>
    <w:rsid w:val="588E76C9"/>
    <w:rsid w:val="589571D3"/>
    <w:rsid w:val="58A42A35"/>
    <w:rsid w:val="58AA27ED"/>
    <w:rsid w:val="58AD27D9"/>
    <w:rsid w:val="58B169A2"/>
    <w:rsid w:val="58B9636C"/>
    <w:rsid w:val="58C37133"/>
    <w:rsid w:val="58C93046"/>
    <w:rsid w:val="58CD16BF"/>
    <w:rsid w:val="58D36BCB"/>
    <w:rsid w:val="58E06C8E"/>
    <w:rsid w:val="58E6349C"/>
    <w:rsid w:val="58EF4C5B"/>
    <w:rsid w:val="58EF63EE"/>
    <w:rsid w:val="58FA4163"/>
    <w:rsid w:val="590317F0"/>
    <w:rsid w:val="59075000"/>
    <w:rsid w:val="59083CB8"/>
    <w:rsid w:val="591878D4"/>
    <w:rsid w:val="593559FD"/>
    <w:rsid w:val="594079B2"/>
    <w:rsid w:val="59410047"/>
    <w:rsid w:val="5962357B"/>
    <w:rsid w:val="59695586"/>
    <w:rsid w:val="596A688E"/>
    <w:rsid w:val="5987482A"/>
    <w:rsid w:val="598C6F19"/>
    <w:rsid w:val="598D474D"/>
    <w:rsid w:val="59931352"/>
    <w:rsid w:val="59954857"/>
    <w:rsid w:val="599C49A8"/>
    <w:rsid w:val="59A04DAD"/>
    <w:rsid w:val="59A36725"/>
    <w:rsid w:val="59A94796"/>
    <w:rsid w:val="59B027D7"/>
    <w:rsid w:val="59B14B6B"/>
    <w:rsid w:val="59B21BF9"/>
    <w:rsid w:val="59BB4EA3"/>
    <w:rsid w:val="59C90E5A"/>
    <w:rsid w:val="59E9525B"/>
    <w:rsid w:val="59F0796C"/>
    <w:rsid w:val="59F70BAF"/>
    <w:rsid w:val="5A023A34"/>
    <w:rsid w:val="5A0F52D4"/>
    <w:rsid w:val="5A1A17BB"/>
    <w:rsid w:val="5A297D0D"/>
    <w:rsid w:val="5A332B09"/>
    <w:rsid w:val="5A3C0F08"/>
    <w:rsid w:val="5A3E5B83"/>
    <w:rsid w:val="5A4B5B7A"/>
    <w:rsid w:val="5A517C69"/>
    <w:rsid w:val="5A5663A3"/>
    <w:rsid w:val="5A571746"/>
    <w:rsid w:val="5A6253E3"/>
    <w:rsid w:val="5A8E6670"/>
    <w:rsid w:val="5A912613"/>
    <w:rsid w:val="5A923F1B"/>
    <w:rsid w:val="5A9245E9"/>
    <w:rsid w:val="5A953D41"/>
    <w:rsid w:val="5A98461F"/>
    <w:rsid w:val="5AA12BDF"/>
    <w:rsid w:val="5AB7018B"/>
    <w:rsid w:val="5AB72D62"/>
    <w:rsid w:val="5ABC50F4"/>
    <w:rsid w:val="5ACC4940"/>
    <w:rsid w:val="5AD66153"/>
    <w:rsid w:val="5AD86656"/>
    <w:rsid w:val="5AD86A6D"/>
    <w:rsid w:val="5AEC14F6"/>
    <w:rsid w:val="5AF124A4"/>
    <w:rsid w:val="5AF551C8"/>
    <w:rsid w:val="5B141085"/>
    <w:rsid w:val="5B28192B"/>
    <w:rsid w:val="5B28516E"/>
    <w:rsid w:val="5B32616A"/>
    <w:rsid w:val="5B342BAD"/>
    <w:rsid w:val="5B4007EF"/>
    <w:rsid w:val="5B4D1F7C"/>
    <w:rsid w:val="5B564EFB"/>
    <w:rsid w:val="5B66707B"/>
    <w:rsid w:val="5B673066"/>
    <w:rsid w:val="5B690719"/>
    <w:rsid w:val="5B6A48A8"/>
    <w:rsid w:val="5B731FA9"/>
    <w:rsid w:val="5B785E83"/>
    <w:rsid w:val="5B787143"/>
    <w:rsid w:val="5B7C1CD1"/>
    <w:rsid w:val="5B7D56F2"/>
    <w:rsid w:val="5B8A1CAA"/>
    <w:rsid w:val="5B8C2057"/>
    <w:rsid w:val="5B9004A9"/>
    <w:rsid w:val="5B907C6C"/>
    <w:rsid w:val="5B9251EF"/>
    <w:rsid w:val="5BAB5BC4"/>
    <w:rsid w:val="5BB20B74"/>
    <w:rsid w:val="5BB855BE"/>
    <w:rsid w:val="5BC677D8"/>
    <w:rsid w:val="5BC82981"/>
    <w:rsid w:val="5BE54040"/>
    <w:rsid w:val="5BEB0120"/>
    <w:rsid w:val="5BEC175C"/>
    <w:rsid w:val="5C097C4E"/>
    <w:rsid w:val="5C1A3A93"/>
    <w:rsid w:val="5C235386"/>
    <w:rsid w:val="5C3B6CFC"/>
    <w:rsid w:val="5C3D5E31"/>
    <w:rsid w:val="5C3F3C67"/>
    <w:rsid w:val="5C411D29"/>
    <w:rsid w:val="5C4A6A52"/>
    <w:rsid w:val="5C4C2CF4"/>
    <w:rsid w:val="5C5E423E"/>
    <w:rsid w:val="5C621BE7"/>
    <w:rsid w:val="5C6A3232"/>
    <w:rsid w:val="5C6B1600"/>
    <w:rsid w:val="5C7D5080"/>
    <w:rsid w:val="5C7D70D1"/>
    <w:rsid w:val="5C7F647B"/>
    <w:rsid w:val="5C8542A8"/>
    <w:rsid w:val="5C880B1F"/>
    <w:rsid w:val="5C894527"/>
    <w:rsid w:val="5C8B3F62"/>
    <w:rsid w:val="5CA6294E"/>
    <w:rsid w:val="5CAD5AEB"/>
    <w:rsid w:val="5CB815AE"/>
    <w:rsid w:val="5CDA02F6"/>
    <w:rsid w:val="5CDA03DF"/>
    <w:rsid w:val="5CDB3358"/>
    <w:rsid w:val="5CED4E0C"/>
    <w:rsid w:val="5CF5224F"/>
    <w:rsid w:val="5CF52268"/>
    <w:rsid w:val="5CF71C69"/>
    <w:rsid w:val="5CF90425"/>
    <w:rsid w:val="5D034EE9"/>
    <w:rsid w:val="5D035CDC"/>
    <w:rsid w:val="5D0366E8"/>
    <w:rsid w:val="5D08684C"/>
    <w:rsid w:val="5D09481A"/>
    <w:rsid w:val="5D0A06B6"/>
    <w:rsid w:val="5D10589A"/>
    <w:rsid w:val="5D1307E8"/>
    <w:rsid w:val="5D1F728E"/>
    <w:rsid w:val="5D212A05"/>
    <w:rsid w:val="5D28584C"/>
    <w:rsid w:val="5D2D013D"/>
    <w:rsid w:val="5D2F4802"/>
    <w:rsid w:val="5D32794F"/>
    <w:rsid w:val="5D3444E6"/>
    <w:rsid w:val="5D385380"/>
    <w:rsid w:val="5D3B64AE"/>
    <w:rsid w:val="5D3F0BDF"/>
    <w:rsid w:val="5D5B7098"/>
    <w:rsid w:val="5D616312"/>
    <w:rsid w:val="5D634782"/>
    <w:rsid w:val="5D654194"/>
    <w:rsid w:val="5D676A87"/>
    <w:rsid w:val="5D6E1B86"/>
    <w:rsid w:val="5D725A84"/>
    <w:rsid w:val="5D7E274B"/>
    <w:rsid w:val="5D8A2CFF"/>
    <w:rsid w:val="5D960EE9"/>
    <w:rsid w:val="5D9A0CFA"/>
    <w:rsid w:val="5D9B296A"/>
    <w:rsid w:val="5D9C1943"/>
    <w:rsid w:val="5DA37726"/>
    <w:rsid w:val="5DA53D05"/>
    <w:rsid w:val="5DCC4C76"/>
    <w:rsid w:val="5DCC73F7"/>
    <w:rsid w:val="5DD14397"/>
    <w:rsid w:val="5DD3123F"/>
    <w:rsid w:val="5DD45E00"/>
    <w:rsid w:val="5DD71C7A"/>
    <w:rsid w:val="5DD734EC"/>
    <w:rsid w:val="5DDA4F5F"/>
    <w:rsid w:val="5DE45FD1"/>
    <w:rsid w:val="5DEC05A1"/>
    <w:rsid w:val="5DEE0433"/>
    <w:rsid w:val="5DFD51DB"/>
    <w:rsid w:val="5E0671AB"/>
    <w:rsid w:val="5E0B0848"/>
    <w:rsid w:val="5E1D4A67"/>
    <w:rsid w:val="5E1F2E4C"/>
    <w:rsid w:val="5E21613A"/>
    <w:rsid w:val="5E237029"/>
    <w:rsid w:val="5E3A3BD1"/>
    <w:rsid w:val="5E4F1C2F"/>
    <w:rsid w:val="5E5203B8"/>
    <w:rsid w:val="5E596C3E"/>
    <w:rsid w:val="5E5D7D0E"/>
    <w:rsid w:val="5E64345A"/>
    <w:rsid w:val="5E6A5399"/>
    <w:rsid w:val="5E6F7428"/>
    <w:rsid w:val="5E704921"/>
    <w:rsid w:val="5E71373F"/>
    <w:rsid w:val="5E717191"/>
    <w:rsid w:val="5E830708"/>
    <w:rsid w:val="5E831398"/>
    <w:rsid w:val="5E85633A"/>
    <w:rsid w:val="5E921A45"/>
    <w:rsid w:val="5E975993"/>
    <w:rsid w:val="5E98170F"/>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301250"/>
    <w:rsid w:val="5F3370DF"/>
    <w:rsid w:val="5F3A6C63"/>
    <w:rsid w:val="5F495527"/>
    <w:rsid w:val="5F4B22AC"/>
    <w:rsid w:val="5F67534D"/>
    <w:rsid w:val="5F683B6E"/>
    <w:rsid w:val="5F875C0C"/>
    <w:rsid w:val="5F8F0B9E"/>
    <w:rsid w:val="5F8F267A"/>
    <w:rsid w:val="5F976163"/>
    <w:rsid w:val="5FA516DE"/>
    <w:rsid w:val="5FB37394"/>
    <w:rsid w:val="5FB7185B"/>
    <w:rsid w:val="5FB94C48"/>
    <w:rsid w:val="5FDE06CE"/>
    <w:rsid w:val="5FDE327E"/>
    <w:rsid w:val="5FE65D4F"/>
    <w:rsid w:val="5FF37587"/>
    <w:rsid w:val="5FF75A7A"/>
    <w:rsid w:val="5FFE57B7"/>
    <w:rsid w:val="60060CD5"/>
    <w:rsid w:val="60085AA3"/>
    <w:rsid w:val="600D693F"/>
    <w:rsid w:val="600E362B"/>
    <w:rsid w:val="60183392"/>
    <w:rsid w:val="601A4CB1"/>
    <w:rsid w:val="601B56CB"/>
    <w:rsid w:val="601F596C"/>
    <w:rsid w:val="602924C5"/>
    <w:rsid w:val="60297C51"/>
    <w:rsid w:val="602C236D"/>
    <w:rsid w:val="603967D7"/>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6E62"/>
    <w:rsid w:val="606A52D4"/>
    <w:rsid w:val="60767942"/>
    <w:rsid w:val="607C3753"/>
    <w:rsid w:val="608D1D4E"/>
    <w:rsid w:val="6092569C"/>
    <w:rsid w:val="60AC4135"/>
    <w:rsid w:val="60AD0357"/>
    <w:rsid w:val="60B004BE"/>
    <w:rsid w:val="60B81012"/>
    <w:rsid w:val="60BA604C"/>
    <w:rsid w:val="60C302BA"/>
    <w:rsid w:val="60C30855"/>
    <w:rsid w:val="60C338B1"/>
    <w:rsid w:val="60C62807"/>
    <w:rsid w:val="60D4742F"/>
    <w:rsid w:val="60D95276"/>
    <w:rsid w:val="60E06DEB"/>
    <w:rsid w:val="60E51841"/>
    <w:rsid w:val="61110088"/>
    <w:rsid w:val="611D3AB0"/>
    <w:rsid w:val="613C2F91"/>
    <w:rsid w:val="61421EFD"/>
    <w:rsid w:val="6159132F"/>
    <w:rsid w:val="615C5041"/>
    <w:rsid w:val="61631B5D"/>
    <w:rsid w:val="617A6EE7"/>
    <w:rsid w:val="617C7A10"/>
    <w:rsid w:val="6182260C"/>
    <w:rsid w:val="61903674"/>
    <w:rsid w:val="61996169"/>
    <w:rsid w:val="619E1255"/>
    <w:rsid w:val="61AD68BC"/>
    <w:rsid w:val="61AE5BED"/>
    <w:rsid w:val="61B173D2"/>
    <w:rsid w:val="61C61B7F"/>
    <w:rsid w:val="61D43A2B"/>
    <w:rsid w:val="61DE7A3D"/>
    <w:rsid w:val="61E34474"/>
    <w:rsid w:val="61F94CF7"/>
    <w:rsid w:val="61FF316E"/>
    <w:rsid w:val="621542CB"/>
    <w:rsid w:val="622D46BD"/>
    <w:rsid w:val="623B7B19"/>
    <w:rsid w:val="624263A2"/>
    <w:rsid w:val="625272C3"/>
    <w:rsid w:val="6260007B"/>
    <w:rsid w:val="62715337"/>
    <w:rsid w:val="627B1067"/>
    <w:rsid w:val="6280204D"/>
    <w:rsid w:val="628A1563"/>
    <w:rsid w:val="6290769B"/>
    <w:rsid w:val="62943D08"/>
    <w:rsid w:val="62A05735"/>
    <w:rsid w:val="62A411F8"/>
    <w:rsid w:val="62A81A26"/>
    <w:rsid w:val="62BA7A46"/>
    <w:rsid w:val="62BC2479"/>
    <w:rsid w:val="62C376AC"/>
    <w:rsid w:val="62CE13CB"/>
    <w:rsid w:val="62D2197B"/>
    <w:rsid w:val="62D90271"/>
    <w:rsid w:val="62DB028F"/>
    <w:rsid w:val="62F05276"/>
    <w:rsid w:val="62F36B33"/>
    <w:rsid w:val="62F435E7"/>
    <w:rsid w:val="62F6011A"/>
    <w:rsid w:val="62FD2BA9"/>
    <w:rsid w:val="63006C71"/>
    <w:rsid w:val="63216B0A"/>
    <w:rsid w:val="6327422B"/>
    <w:rsid w:val="6328597C"/>
    <w:rsid w:val="63355AD3"/>
    <w:rsid w:val="633B249F"/>
    <w:rsid w:val="63527617"/>
    <w:rsid w:val="63552D76"/>
    <w:rsid w:val="6359778B"/>
    <w:rsid w:val="635B63E3"/>
    <w:rsid w:val="638C3395"/>
    <w:rsid w:val="63927E66"/>
    <w:rsid w:val="63931B0B"/>
    <w:rsid w:val="639A5178"/>
    <w:rsid w:val="63B82D87"/>
    <w:rsid w:val="63BA05AB"/>
    <w:rsid w:val="63BA3154"/>
    <w:rsid w:val="63BF4D8D"/>
    <w:rsid w:val="63CA2E8B"/>
    <w:rsid w:val="63D4153E"/>
    <w:rsid w:val="63DC7755"/>
    <w:rsid w:val="63E43D21"/>
    <w:rsid w:val="63F47D2A"/>
    <w:rsid w:val="63FE2D33"/>
    <w:rsid w:val="64034DE2"/>
    <w:rsid w:val="64046427"/>
    <w:rsid w:val="64153D86"/>
    <w:rsid w:val="64175050"/>
    <w:rsid w:val="64223BD0"/>
    <w:rsid w:val="64264A79"/>
    <w:rsid w:val="64304E58"/>
    <w:rsid w:val="64311867"/>
    <w:rsid w:val="64391ED3"/>
    <w:rsid w:val="6445632E"/>
    <w:rsid w:val="64742B63"/>
    <w:rsid w:val="647B45B6"/>
    <w:rsid w:val="647E661E"/>
    <w:rsid w:val="648939AA"/>
    <w:rsid w:val="648C635C"/>
    <w:rsid w:val="649B1AC2"/>
    <w:rsid w:val="64A7467B"/>
    <w:rsid w:val="64A94712"/>
    <w:rsid w:val="64B53322"/>
    <w:rsid w:val="64C61AF8"/>
    <w:rsid w:val="64C86505"/>
    <w:rsid w:val="64EE15FB"/>
    <w:rsid w:val="64FE700F"/>
    <w:rsid w:val="6500327F"/>
    <w:rsid w:val="6506609B"/>
    <w:rsid w:val="65083216"/>
    <w:rsid w:val="6508621E"/>
    <w:rsid w:val="65177606"/>
    <w:rsid w:val="651D5079"/>
    <w:rsid w:val="65297D03"/>
    <w:rsid w:val="653E150D"/>
    <w:rsid w:val="65460728"/>
    <w:rsid w:val="65541C03"/>
    <w:rsid w:val="655A04C2"/>
    <w:rsid w:val="65616CFC"/>
    <w:rsid w:val="656716BB"/>
    <w:rsid w:val="65822810"/>
    <w:rsid w:val="65844611"/>
    <w:rsid w:val="65870C45"/>
    <w:rsid w:val="659705FF"/>
    <w:rsid w:val="65A5156E"/>
    <w:rsid w:val="65A671FC"/>
    <w:rsid w:val="65AA6346"/>
    <w:rsid w:val="65B07458"/>
    <w:rsid w:val="65B56C47"/>
    <w:rsid w:val="65B8262E"/>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6052F43"/>
    <w:rsid w:val="660644D2"/>
    <w:rsid w:val="6609487E"/>
    <w:rsid w:val="660C5D19"/>
    <w:rsid w:val="661D25CE"/>
    <w:rsid w:val="66206CF2"/>
    <w:rsid w:val="6622191A"/>
    <w:rsid w:val="66244029"/>
    <w:rsid w:val="66265846"/>
    <w:rsid w:val="662705F1"/>
    <w:rsid w:val="66287C9C"/>
    <w:rsid w:val="662E4097"/>
    <w:rsid w:val="663B39B8"/>
    <w:rsid w:val="664805B8"/>
    <w:rsid w:val="665572E9"/>
    <w:rsid w:val="665B55EA"/>
    <w:rsid w:val="66641D58"/>
    <w:rsid w:val="66655F85"/>
    <w:rsid w:val="666F05B8"/>
    <w:rsid w:val="667C7AEC"/>
    <w:rsid w:val="66863A0F"/>
    <w:rsid w:val="66984358"/>
    <w:rsid w:val="669B7C76"/>
    <w:rsid w:val="669D04F1"/>
    <w:rsid w:val="66A200F8"/>
    <w:rsid w:val="66A30EC2"/>
    <w:rsid w:val="66AA4BA8"/>
    <w:rsid w:val="66C56058"/>
    <w:rsid w:val="66C955BD"/>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302DC3"/>
    <w:rsid w:val="673762BE"/>
    <w:rsid w:val="67423CD5"/>
    <w:rsid w:val="674318B2"/>
    <w:rsid w:val="674D4B22"/>
    <w:rsid w:val="67570422"/>
    <w:rsid w:val="675D31B4"/>
    <w:rsid w:val="676D2F4B"/>
    <w:rsid w:val="677A266A"/>
    <w:rsid w:val="677C1A81"/>
    <w:rsid w:val="677E2907"/>
    <w:rsid w:val="677E7198"/>
    <w:rsid w:val="678A426A"/>
    <w:rsid w:val="67914BE1"/>
    <w:rsid w:val="67A01F16"/>
    <w:rsid w:val="67AF508C"/>
    <w:rsid w:val="67B163D1"/>
    <w:rsid w:val="67CA69AB"/>
    <w:rsid w:val="67F45538"/>
    <w:rsid w:val="67F8231B"/>
    <w:rsid w:val="680239EB"/>
    <w:rsid w:val="680722DA"/>
    <w:rsid w:val="6809309C"/>
    <w:rsid w:val="680A5480"/>
    <w:rsid w:val="68120E37"/>
    <w:rsid w:val="682211D1"/>
    <w:rsid w:val="68391544"/>
    <w:rsid w:val="6845131C"/>
    <w:rsid w:val="684607E6"/>
    <w:rsid w:val="685C6395"/>
    <w:rsid w:val="686318DD"/>
    <w:rsid w:val="68635145"/>
    <w:rsid w:val="6873596A"/>
    <w:rsid w:val="687B4883"/>
    <w:rsid w:val="687E7F65"/>
    <w:rsid w:val="687F607E"/>
    <w:rsid w:val="688055AB"/>
    <w:rsid w:val="68862D39"/>
    <w:rsid w:val="68916B30"/>
    <w:rsid w:val="68974D06"/>
    <w:rsid w:val="689A41FB"/>
    <w:rsid w:val="689E57F0"/>
    <w:rsid w:val="68A34C5C"/>
    <w:rsid w:val="68A702BB"/>
    <w:rsid w:val="68B26F6B"/>
    <w:rsid w:val="68B44788"/>
    <w:rsid w:val="68D26406"/>
    <w:rsid w:val="68DB3760"/>
    <w:rsid w:val="68E21EC1"/>
    <w:rsid w:val="68E24981"/>
    <w:rsid w:val="69093C6F"/>
    <w:rsid w:val="69123898"/>
    <w:rsid w:val="69123F86"/>
    <w:rsid w:val="69155827"/>
    <w:rsid w:val="69162C82"/>
    <w:rsid w:val="691C1D81"/>
    <w:rsid w:val="691C3525"/>
    <w:rsid w:val="69216128"/>
    <w:rsid w:val="69280874"/>
    <w:rsid w:val="69335905"/>
    <w:rsid w:val="695D6B21"/>
    <w:rsid w:val="695F601A"/>
    <w:rsid w:val="69611EE7"/>
    <w:rsid w:val="696C708E"/>
    <w:rsid w:val="696F4D5D"/>
    <w:rsid w:val="69850877"/>
    <w:rsid w:val="698C13C5"/>
    <w:rsid w:val="698C3794"/>
    <w:rsid w:val="69955D61"/>
    <w:rsid w:val="69982EAF"/>
    <w:rsid w:val="69B03525"/>
    <w:rsid w:val="69BB7671"/>
    <w:rsid w:val="69C75642"/>
    <w:rsid w:val="69CD126F"/>
    <w:rsid w:val="69D6041E"/>
    <w:rsid w:val="69DC7662"/>
    <w:rsid w:val="69E00E47"/>
    <w:rsid w:val="69EC6D9F"/>
    <w:rsid w:val="69F0745A"/>
    <w:rsid w:val="69F074A7"/>
    <w:rsid w:val="6A0868FC"/>
    <w:rsid w:val="6A0D20F2"/>
    <w:rsid w:val="6A0E47DD"/>
    <w:rsid w:val="6A107423"/>
    <w:rsid w:val="6A117DEB"/>
    <w:rsid w:val="6A1D59EC"/>
    <w:rsid w:val="6A1F0C1E"/>
    <w:rsid w:val="6A247F72"/>
    <w:rsid w:val="6A3E2393"/>
    <w:rsid w:val="6A435B92"/>
    <w:rsid w:val="6A444DB8"/>
    <w:rsid w:val="6A4D4828"/>
    <w:rsid w:val="6A516AC3"/>
    <w:rsid w:val="6A5303BA"/>
    <w:rsid w:val="6A677080"/>
    <w:rsid w:val="6A711183"/>
    <w:rsid w:val="6A7468D5"/>
    <w:rsid w:val="6A7B4B9C"/>
    <w:rsid w:val="6A84768F"/>
    <w:rsid w:val="6AAC0B91"/>
    <w:rsid w:val="6AAF014C"/>
    <w:rsid w:val="6ABD356B"/>
    <w:rsid w:val="6AC07690"/>
    <w:rsid w:val="6ACB082B"/>
    <w:rsid w:val="6AD03B7B"/>
    <w:rsid w:val="6AD3247E"/>
    <w:rsid w:val="6AE21187"/>
    <w:rsid w:val="6AE4699C"/>
    <w:rsid w:val="6AF317C6"/>
    <w:rsid w:val="6AFB1621"/>
    <w:rsid w:val="6AFE0500"/>
    <w:rsid w:val="6B09696B"/>
    <w:rsid w:val="6B0B3083"/>
    <w:rsid w:val="6B2B0EFD"/>
    <w:rsid w:val="6B2C13E4"/>
    <w:rsid w:val="6B2D2EEB"/>
    <w:rsid w:val="6B2F7CEB"/>
    <w:rsid w:val="6B346460"/>
    <w:rsid w:val="6B3C3403"/>
    <w:rsid w:val="6B410613"/>
    <w:rsid w:val="6B4B0A4C"/>
    <w:rsid w:val="6B4B36C9"/>
    <w:rsid w:val="6B4E75E6"/>
    <w:rsid w:val="6B50310B"/>
    <w:rsid w:val="6B5045E2"/>
    <w:rsid w:val="6B517D2C"/>
    <w:rsid w:val="6B5B3B9E"/>
    <w:rsid w:val="6B5C4553"/>
    <w:rsid w:val="6B695848"/>
    <w:rsid w:val="6B730045"/>
    <w:rsid w:val="6B736A2E"/>
    <w:rsid w:val="6B777EF2"/>
    <w:rsid w:val="6B874340"/>
    <w:rsid w:val="6B884219"/>
    <w:rsid w:val="6B886E2F"/>
    <w:rsid w:val="6B90781F"/>
    <w:rsid w:val="6B9905BB"/>
    <w:rsid w:val="6BA6663C"/>
    <w:rsid w:val="6BA9194F"/>
    <w:rsid w:val="6BAE3840"/>
    <w:rsid w:val="6BB210D5"/>
    <w:rsid w:val="6BBE7F74"/>
    <w:rsid w:val="6BCB7C53"/>
    <w:rsid w:val="6BCE503D"/>
    <w:rsid w:val="6BE727F5"/>
    <w:rsid w:val="6BEA4872"/>
    <w:rsid w:val="6C0858B3"/>
    <w:rsid w:val="6C240DF3"/>
    <w:rsid w:val="6C3005AE"/>
    <w:rsid w:val="6C45610F"/>
    <w:rsid w:val="6C574B4E"/>
    <w:rsid w:val="6C5761ED"/>
    <w:rsid w:val="6C59472D"/>
    <w:rsid w:val="6C5A4564"/>
    <w:rsid w:val="6C603744"/>
    <w:rsid w:val="6C637CCF"/>
    <w:rsid w:val="6C7802EB"/>
    <w:rsid w:val="6C7E2C8F"/>
    <w:rsid w:val="6C89456C"/>
    <w:rsid w:val="6C96209A"/>
    <w:rsid w:val="6CA20D5B"/>
    <w:rsid w:val="6CB71894"/>
    <w:rsid w:val="6CC8798D"/>
    <w:rsid w:val="6CD431E3"/>
    <w:rsid w:val="6CD63FB3"/>
    <w:rsid w:val="6CFE035F"/>
    <w:rsid w:val="6CFF67B3"/>
    <w:rsid w:val="6D056EA6"/>
    <w:rsid w:val="6D09175B"/>
    <w:rsid w:val="6D0B5B86"/>
    <w:rsid w:val="6D1766A9"/>
    <w:rsid w:val="6D221E52"/>
    <w:rsid w:val="6D227835"/>
    <w:rsid w:val="6D243E83"/>
    <w:rsid w:val="6D2834C8"/>
    <w:rsid w:val="6D2F1F0B"/>
    <w:rsid w:val="6D3C6626"/>
    <w:rsid w:val="6D3E495C"/>
    <w:rsid w:val="6D413806"/>
    <w:rsid w:val="6D48513C"/>
    <w:rsid w:val="6D5D0DB5"/>
    <w:rsid w:val="6D6460DF"/>
    <w:rsid w:val="6D66158F"/>
    <w:rsid w:val="6D6855B1"/>
    <w:rsid w:val="6D7B4AB7"/>
    <w:rsid w:val="6D836C02"/>
    <w:rsid w:val="6D89784B"/>
    <w:rsid w:val="6D9057BE"/>
    <w:rsid w:val="6D963D4B"/>
    <w:rsid w:val="6D9E0566"/>
    <w:rsid w:val="6DB04D3A"/>
    <w:rsid w:val="6DB81701"/>
    <w:rsid w:val="6DBE7F27"/>
    <w:rsid w:val="6DC0251C"/>
    <w:rsid w:val="6DC51C9B"/>
    <w:rsid w:val="6DCF5F2A"/>
    <w:rsid w:val="6DD97CAC"/>
    <w:rsid w:val="6DDC5249"/>
    <w:rsid w:val="6DF43BD4"/>
    <w:rsid w:val="6DFF4992"/>
    <w:rsid w:val="6E000CE0"/>
    <w:rsid w:val="6E0E1FAB"/>
    <w:rsid w:val="6E2143FB"/>
    <w:rsid w:val="6E235490"/>
    <w:rsid w:val="6E254FD1"/>
    <w:rsid w:val="6E317378"/>
    <w:rsid w:val="6E362B50"/>
    <w:rsid w:val="6E381C39"/>
    <w:rsid w:val="6E3E5591"/>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90B16"/>
    <w:rsid w:val="6EB169D3"/>
    <w:rsid w:val="6EB21539"/>
    <w:rsid w:val="6EB829B1"/>
    <w:rsid w:val="6EB978A9"/>
    <w:rsid w:val="6ECC3A24"/>
    <w:rsid w:val="6ECD7C9F"/>
    <w:rsid w:val="6ED0689A"/>
    <w:rsid w:val="6ED86D3E"/>
    <w:rsid w:val="6EE9744F"/>
    <w:rsid w:val="6EEA215D"/>
    <w:rsid w:val="6EEA47AA"/>
    <w:rsid w:val="6EEC3F7C"/>
    <w:rsid w:val="6EF3602C"/>
    <w:rsid w:val="6EFE1485"/>
    <w:rsid w:val="6F031F8E"/>
    <w:rsid w:val="6F0D382C"/>
    <w:rsid w:val="6F0F0878"/>
    <w:rsid w:val="6F2632E8"/>
    <w:rsid w:val="6F291167"/>
    <w:rsid w:val="6F30363A"/>
    <w:rsid w:val="6F3316E5"/>
    <w:rsid w:val="6F3F40F9"/>
    <w:rsid w:val="6F487D2D"/>
    <w:rsid w:val="6F5A44B6"/>
    <w:rsid w:val="6F5A6031"/>
    <w:rsid w:val="6F5E0205"/>
    <w:rsid w:val="6F6727D3"/>
    <w:rsid w:val="6F687EC7"/>
    <w:rsid w:val="6F6F14E1"/>
    <w:rsid w:val="6F720F0F"/>
    <w:rsid w:val="6F730F95"/>
    <w:rsid w:val="6F7C168C"/>
    <w:rsid w:val="6F97583D"/>
    <w:rsid w:val="6FA629D4"/>
    <w:rsid w:val="6FA75ADB"/>
    <w:rsid w:val="6FAF2E30"/>
    <w:rsid w:val="6FB77ED4"/>
    <w:rsid w:val="6FBD4D2F"/>
    <w:rsid w:val="6FBF4710"/>
    <w:rsid w:val="6FC9109F"/>
    <w:rsid w:val="6FD00EEC"/>
    <w:rsid w:val="6FD2270D"/>
    <w:rsid w:val="6FDB518F"/>
    <w:rsid w:val="6FE529ED"/>
    <w:rsid w:val="6FF733A7"/>
    <w:rsid w:val="70003DD9"/>
    <w:rsid w:val="70072915"/>
    <w:rsid w:val="70153348"/>
    <w:rsid w:val="70172090"/>
    <w:rsid w:val="70195E88"/>
    <w:rsid w:val="701D43BA"/>
    <w:rsid w:val="702B6F43"/>
    <w:rsid w:val="7032079E"/>
    <w:rsid w:val="703C186A"/>
    <w:rsid w:val="70497051"/>
    <w:rsid w:val="70570007"/>
    <w:rsid w:val="705843B4"/>
    <w:rsid w:val="70655A58"/>
    <w:rsid w:val="70812377"/>
    <w:rsid w:val="70822BAD"/>
    <w:rsid w:val="70841A37"/>
    <w:rsid w:val="708746BC"/>
    <w:rsid w:val="708F7F54"/>
    <w:rsid w:val="709E3D85"/>
    <w:rsid w:val="70A36A35"/>
    <w:rsid w:val="70AC660B"/>
    <w:rsid w:val="70B17138"/>
    <w:rsid w:val="70B9257A"/>
    <w:rsid w:val="70BB2EF0"/>
    <w:rsid w:val="70BC2801"/>
    <w:rsid w:val="70C6646C"/>
    <w:rsid w:val="70D25814"/>
    <w:rsid w:val="70E60974"/>
    <w:rsid w:val="70E631E9"/>
    <w:rsid w:val="70E909E4"/>
    <w:rsid w:val="70EE2F9A"/>
    <w:rsid w:val="70FC26EE"/>
    <w:rsid w:val="70FC2D1E"/>
    <w:rsid w:val="70FD504B"/>
    <w:rsid w:val="71015D6B"/>
    <w:rsid w:val="71115386"/>
    <w:rsid w:val="71134CB7"/>
    <w:rsid w:val="71151975"/>
    <w:rsid w:val="71193B46"/>
    <w:rsid w:val="71336A65"/>
    <w:rsid w:val="71337101"/>
    <w:rsid w:val="71373902"/>
    <w:rsid w:val="713D70FD"/>
    <w:rsid w:val="71477682"/>
    <w:rsid w:val="71545B37"/>
    <w:rsid w:val="71570E43"/>
    <w:rsid w:val="71573E01"/>
    <w:rsid w:val="71592098"/>
    <w:rsid w:val="715A501D"/>
    <w:rsid w:val="71702748"/>
    <w:rsid w:val="717D6053"/>
    <w:rsid w:val="71867894"/>
    <w:rsid w:val="7194526D"/>
    <w:rsid w:val="719E26AC"/>
    <w:rsid w:val="719F7A78"/>
    <w:rsid w:val="71B623F6"/>
    <w:rsid w:val="71C7540C"/>
    <w:rsid w:val="71D041D7"/>
    <w:rsid w:val="71D77180"/>
    <w:rsid w:val="71F64A63"/>
    <w:rsid w:val="71F870B8"/>
    <w:rsid w:val="71FF5D88"/>
    <w:rsid w:val="72021233"/>
    <w:rsid w:val="72044F59"/>
    <w:rsid w:val="720A72C1"/>
    <w:rsid w:val="720B2A1D"/>
    <w:rsid w:val="72141C82"/>
    <w:rsid w:val="72161099"/>
    <w:rsid w:val="72175F5D"/>
    <w:rsid w:val="721950B2"/>
    <w:rsid w:val="723808FE"/>
    <w:rsid w:val="723959DC"/>
    <w:rsid w:val="724678EE"/>
    <w:rsid w:val="724B5FB3"/>
    <w:rsid w:val="724D0D96"/>
    <w:rsid w:val="72502F9F"/>
    <w:rsid w:val="725250A2"/>
    <w:rsid w:val="725817D3"/>
    <w:rsid w:val="725F0544"/>
    <w:rsid w:val="726B756E"/>
    <w:rsid w:val="726E6AD4"/>
    <w:rsid w:val="727C422C"/>
    <w:rsid w:val="728E71EE"/>
    <w:rsid w:val="7292045A"/>
    <w:rsid w:val="72974DBE"/>
    <w:rsid w:val="72A20C20"/>
    <w:rsid w:val="72AC5E95"/>
    <w:rsid w:val="72C13ED7"/>
    <w:rsid w:val="72CF1AC7"/>
    <w:rsid w:val="72D01A76"/>
    <w:rsid w:val="72E42AFA"/>
    <w:rsid w:val="72E85578"/>
    <w:rsid w:val="72EB4466"/>
    <w:rsid w:val="72FD426E"/>
    <w:rsid w:val="73043CFC"/>
    <w:rsid w:val="7304713F"/>
    <w:rsid w:val="731474DA"/>
    <w:rsid w:val="731A0595"/>
    <w:rsid w:val="732256F4"/>
    <w:rsid w:val="732B736C"/>
    <w:rsid w:val="732C334F"/>
    <w:rsid w:val="73387A26"/>
    <w:rsid w:val="734F0C79"/>
    <w:rsid w:val="734F4185"/>
    <w:rsid w:val="73520620"/>
    <w:rsid w:val="7363274A"/>
    <w:rsid w:val="736462D9"/>
    <w:rsid w:val="73691A4A"/>
    <w:rsid w:val="737025EA"/>
    <w:rsid w:val="7371152B"/>
    <w:rsid w:val="73736DAC"/>
    <w:rsid w:val="73777B4D"/>
    <w:rsid w:val="738A6895"/>
    <w:rsid w:val="73917325"/>
    <w:rsid w:val="7395427D"/>
    <w:rsid w:val="73962719"/>
    <w:rsid w:val="739C7F13"/>
    <w:rsid w:val="73AE5810"/>
    <w:rsid w:val="73BC7089"/>
    <w:rsid w:val="73BE7067"/>
    <w:rsid w:val="73C34124"/>
    <w:rsid w:val="73C45DC9"/>
    <w:rsid w:val="73C61E23"/>
    <w:rsid w:val="73D42A4C"/>
    <w:rsid w:val="73D76D70"/>
    <w:rsid w:val="73E406FD"/>
    <w:rsid w:val="73E41FA2"/>
    <w:rsid w:val="73E52294"/>
    <w:rsid w:val="73EC5464"/>
    <w:rsid w:val="73F174B7"/>
    <w:rsid w:val="73FF2D64"/>
    <w:rsid w:val="74137154"/>
    <w:rsid w:val="74144BA6"/>
    <w:rsid w:val="741B0410"/>
    <w:rsid w:val="7421310D"/>
    <w:rsid w:val="74257F79"/>
    <w:rsid w:val="74264621"/>
    <w:rsid w:val="74273820"/>
    <w:rsid w:val="7427471C"/>
    <w:rsid w:val="74355B0B"/>
    <w:rsid w:val="743729F4"/>
    <w:rsid w:val="743C7157"/>
    <w:rsid w:val="74416F54"/>
    <w:rsid w:val="744A440A"/>
    <w:rsid w:val="744B354F"/>
    <w:rsid w:val="7450294E"/>
    <w:rsid w:val="74543139"/>
    <w:rsid w:val="745C1C3A"/>
    <w:rsid w:val="746B732F"/>
    <w:rsid w:val="746E18CB"/>
    <w:rsid w:val="746F3904"/>
    <w:rsid w:val="74771653"/>
    <w:rsid w:val="748D52FA"/>
    <w:rsid w:val="748D6EB4"/>
    <w:rsid w:val="74914363"/>
    <w:rsid w:val="74993216"/>
    <w:rsid w:val="749E3FA7"/>
    <w:rsid w:val="749F3C57"/>
    <w:rsid w:val="74A122CC"/>
    <w:rsid w:val="74A72748"/>
    <w:rsid w:val="74AF6C4F"/>
    <w:rsid w:val="74B44784"/>
    <w:rsid w:val="74B808BF"/>
    <w:rsid w:val="74BE7A5B"/>
    <w:rsid w:val="74C03187"/>
    <w:rsid w:val="74C06691"/>
    <w:rsid w:val="74D42CCE"/>
    <w:rsid w:val="74E4756E"/>
    <w:rsid w:val="74E86DF6"/>
    <w:rsid w:val="74ED19FF"/>
    <w:rsid w:val="74EF16F5"/>
    <w:rsid w:val="75084E8F"/>
    <w:rsid w:val="7509261E"/>
    <w:rsid w:val="7515717D"/>
    <w:rsid w:val="75202656"/>
    <w:rsid w:val="752231CE"/>
    <w:rsid w:val="752A68C2"/>
    <w:rsid w:val="7537255A"/>
    <w:rsid w:val="75434B0A"/>
    <w:rsid w:val="755772AB"/>
    <w:rsid w:val="755D23C7"/>
    <w:rsid w:val="756B0CB3"/>
    <w:rsid w:val="75752B04"/>
    <w:rsid w:val="757C1090"/>
    <w:rsid w:val="758642C2"/>
    <w:rsid w:val="758910BB"/>
    <w:rsid w:val="75917BAF"/>
    <w:rsid w:val="75955DA9"/>
    <w:rsid w:val="75977910"/>
    <w:rsid w:val="759F2A35"/>
    <w:rsid w:val="75A00EE0"/>
    <w:rsid w:val="75AF0CBC"/>
    <w:rsid w:val="75B15C41"/>
    <w:rsid w:val="75BD65C1"/>
    <w:rsid w:val="75CA3E44"/>
    <w:rsid w:val="75CC5191"/>
    <w:rsid w:val="75D12923"/>
    <w:rsid w:val="75D732ED"/>
    <w:rsid w:val="75DB5DD7"/>
    <w:rsid w:val="75EA364B"/>
    <w:rsid w:val="75F07356"/>
    <w:rsid w:val="75F20996"/>
    <w:rsid w:val="75F96973"/>
    <w:rsid w:val="76123E1D"/>
    <w:rsid w:val="761270F3"/>
    <w:rsid w:val="761A6551"/>
    <w:rsid w:val="7623606B"/>
    <w:rsid w:val="762A17C0"/>
    <w:rsid w:val="762E6798"/>
    <w:rsid w:val="763D07DC"/>
    <w:rsid w:val="76425118"/>
    <w:rsid w:val="764838B9"/>
    <w:rsid w:val="764B15DA"/>
    <w:rsid w:val="764C09B4"/>
    <w:rsid w:val="764F5A52"/>
    <w:rsid w:val="765F0043"/>
    <w:rsid w:val="766437F5"/>
    <w:rsid w:val="766A4A0D"/>
    <w:rsid w:val="768C454B"/>
    <w:rsid w:val="7692667A"/>
    <w:rsid w:val="76982273"/>
    <w:rsid w:val="769A7352"/>
    <w:rsid w:val="76A177B8"/>
    <w:rsid w:val="76A769AE"/>
    <w:rsid w:val="76AD2761"/>
    <w:rsid w:val="76B64E53"/>
    <w:rsid w:val="76B8001A"/>
    <w:rsid w:val="76B81599"/>
    <w:rsid w:val="76BB2F21"/>
    <w:rsid w:val="76BB47BC"/>
    <w:rsid w:val="76BC314A"/>
    <w:rsid w:val="76C0190F"/>
    <w:rsid w:val="76CF29D3"/>
    <w:rsid w:val="76EC51FD"/>
    <w:rsid w:val="76F410B8"/>
    <w:rsid w:val="76F70779"/>
    <w:rsid w:val="771B67DF"/>
    <w:rsid w:val="771E76DD"/>
    <w:rsid w:val="77241319"/>
    <w:rsid w:val="77272CAB"/>
    <w:rsid w:val="772C0FCF"/>
    <w:rsid w:val="77451578"/>
    <w:rsid w:val="77496762"/>
    <w:rsid w:val="77576666"/>
    <w:rsid w:val="775C26D4"/>
    <w:rsid w:val="77692EA3"/>
    <w:rsid w:val="776C305B"/>
    <w:rsid w:val="77825248"/>
    <w:rsid w:val="7785098B"/>
    <w:rsid w:val="77870D91"/>
    <w:rsid w:val="778A3229"/>
    <w:rsid w:val="779258CC"/>
    <w:rsid w:val="7794068F"/>
    <w:rsid w:val="779664FF"/>
    <w:rsid w:val="779A096B"/>
    <w:rsid w:val="779B52FF"/>
    <w:rsid w:val="77A00E75"/>
    <w:rsid w:val="77A80D17"/>
    <w:rsid w:val="77B841F3"/>
    <w:rsid w:val="77C078B1"/>
    <w:rsid w:val="77C302CA"/>
    <w:rsid w:val="77C55C2E"/>
    <w:rsid w:val="77DE5E93"/>
    <w:rsid w:val="77E66E3C"/>
    <w:rsid w:val="77F224A7"/>
    <w:rsid w:val="77F3789A"/>
    <w:rsid w:val="780326B9"/>
    <w:rsid w:val="780332E5"/>
    <w:rsid w:val="78060D31"/>
    <w:rsid w:val="781670F3"/>
    <w:rsid w:val="7833711D"/>
    <w:rsid w:val="78460D63"/>
    <w:rsid w:val="78497C2E"/>
    <w:rsid w:val="78502D35"/>
    <w:rsid w:val="7854087B"/>
    <w:rsid w:val="786A4053"/>
    <w:rsid w:val="78781E78"/>
    <w:rsid w:val="78782A0D"/>
    <w:rsid w:val="78785A2F"/>
    <w:rsid w:val="787B5060"/>
    <w:rsid w:val="788720E7"/>
    <w:rsid w:val="78906D21"/>
    <w:rsid w:val="78A17FC0"/>
    <w:rsid w:val="78A90B04"/>
    <w:rsid w:val="78C53485"/>
    <w:rsid w:val="78C6693F"/>
    <w:rsid w:val="78C76A01"/>
    <w:rsid w:val="78CF286F"/>
    <w:rsid w:val="78E86E4E"/>
    <w:rsid w:val="78EC45D8"/>
    <w:rsid w:val="78EC6DF0"/>
    <w:rsid w:val="78F5335B"/>
    <w:rsid w:val="7904095A"/>
    <w:rsid w:val="790702C1"/>
    <w:rsid w:val="790919EB"/>
    <w:rsid w:val="790B5CA7"/>
    <w:rsid w:val="791562F1"/>
    <w:rsid w:val="791843E7"/>
    <w:rsid w:val="79233426"/>
    <w:rsid w:val="79260F03"/>
    <w:rsid w:val="79270902"/>
    <w:rsid w:val="79387141"/>
    <w:rsid w:val="79395A92"/>
    <w:rsid w:val="794008FB"/>
    <w:rsid w:val="794708D9"/>
    <w:rsid w:val="794B21A1"/>
    <w:rsid w:val="794E2CE6"/>
    <w:rsid w:val="79546264"/>
    <w:rsid w:val="7962130E"/>
    <w:rsid w:val="7964574A"/>
    <w:rsid w:val="796C1315"/>
    <w:rsid w:val="79804706"/>
    <w:rsid w:val="79813367"/>
    <w:rsid w:val="798E284E"/>
    <w:rsid w:val="79941CF2"/>
    <w:rsid w:val="79973382"/>
    <w:rsid w:val="79B03E5E"/>
    <w:rsid w:val="79B05F67"/>
    <w:rsid w:val="79B4353E"/>
    <w:rsid w:val="79C6284E"/>
    <w:rsid w:val="79D33056"/>
    <w:rsid w:val="79D715DF"/>
    <w:rsid w:val="79EC0256"/>
    <w:rsid w:val="79F60153"/>
    <w:rsid w:val="79FB6E2C"/>
    <w:rsid w:val="7A0E2780"/>
    <w:rsid w:val="7A2C0718"/>
    <w:rsid w:val="7A36322F"/>
    <w:rsid w:val="7A3B1ED1"/>
    <w:rsid w:val="7A4042DC"/>
    <w:rsid w:val="7A4C2D60"/>
    <w:rsid w:val="7A5E0869"/>
    <w:rsid w:val="7A6E4BF5"/>
    <w:rsid w:val="7A735653"/>
    <w:rsid w:val="7A751DF5"/>
    <w:rsid w:val="7A851D5D"/>
    <w:rsid w:val="7A8A2267"/>
    <w:rsid w:val="7AA1708A"/>
    <w:rsid w:val="7AA5314C"/>
    <w:rsid w:val="7AB53126"/>
    <w:rsid w:val="7AB76FE8"/>
    <w:rsid w:val="7AC73DFD"/>
    <w:rsid w:val="7ACD6E07"/>
    <w:rsid w:val="7AD07AAE"/>
    <w:rsid w:val="7AD268E2"/>
    <w:rsid w:val="7ADC0B33"/>
    <w:rsid w:val="7AE003AC"/>
    <w:rsid w:val="7AE14C19"/>
    <w:rsid w:val="7AEA174E"/>
    <w:rsid w:val="7AEB196C"/>
    <w:rsid w:val="7B047BC5"/>
    <w:rsid w:val="7B274176"/>
    <w:rsid w:val="7B2F7204"/>
    <w:rsid w:val="7B306163"/>
    <w:rsid w:val="7B314CD2"/>
    <w:rsid w:val="7B31652B"/>
    <w:rsid w:val="7B3B7D96"/>
    <w:rsid w:val="7B3E17AA"/>
    <w:rsid w:val="7B3E7C70"/>
    <w:rsid w:val="7B401C79"/>
    <w:rsid w:val="7B410712"/>
    <w:rsid w:val="7B440ED6"/>
    <w:rsid w:val="7B4678D7"/>
    <w:rsid w:val="7B4B2A93"/>
    <w:rsid w:val="7B527515"/>
    <w:rsid w:val="7B530743"/>
    <w:rsid w:val="7B581154"/>
    <w:rsid w:val="7B726B7D"/>
    <w:rsid w:val="7B890A24"/>
    <w:rsid w:val="7B8A4A8A"/>
    <w:rsid w:val="7B911911"/>
    <w:rsid w:val="7B9B2881"/>
    <w:rsid w:val="7B9C1915"/>
    <w:rsid w:val="7BAA45BD"/>
    <w:rsid w:val="7BAA485C"/>
    <w:rsid w:val="7BAD1591"/>
    <w:rsid w:val="7BCD64C2"/>
    <w:rsid w:val="7BD100FC"/>
    <w:rsid w:val="7BD3716B"/>
    <w:rsid w:val="7BEC2711"/>
    <w:rsid w:val="7BF05E45"/>
    <w:rsid w:val="7BF55850"/>
    <w:rsid w:val="7C0B3126"/>
    <w:rsid w:val="7C0E0264"/>
    <w:rsid w:val="7C1054B7"/>
    <w:rsid w:val="7C26369C"/>
    <w:rsid w:val="7C2A465C"/>
    <w:rsid w:val="7C305879"/>
    <w:rsid w:val="7C34521A"/>
    <w:rsid w:val="7C35301B"/>
    <w:rsid w:val="7C441FF8"/>
    <w:rsid w:val="7C4A2BD1"/>
    <w:rsid w:val="7C4B27D4"/>
    <w:rsid w:val="7C576C70"/>
    <w:rsid w:val="7C5D03E9"/>
    <w:rsid w:val="7C5F3B34"/>
    <w:rsid w:val="7C6E4349"/>
    <w:rsid w:val="7C77043F"/>
    <w:rsid w:val="7C8011AF"/>
    <w:rsid w:val="7C8A7CDC"/>
    <w:rsid w:val="7C9E5A24"/>
    <w:rsid w:val="7CB4006B"/>
    <w:rsid w:val="7CB72B29"/>
    <w:rsid w:val="7CB93ABB"/>
    <w:rsid w:val="7CBB5A0B"/>
    <w:rsid w:val="7CC5613A"/>
    <w:rsid w:val="7CD4712C"/>
    <w:rsid w:val="7CE656F0"/>
    <w:rsid w:val="7CED34FF"/>
    <w:rsid w:val="7CEE5458"/>
    <w:rsid w:val="7CF26588"/>
    <w:rsid w:val="7CF565D7"/>
    <w:rsid w:val="7CFA3A46"/>
    <w:rsid w:val="7D010685"/>
    <w:rsid w:val="7D0F5720"/>
    <w:rsid w:val="7D105B5E"/>
    <w:rsid w:val="7D1333EC"/>
    <w:rsid w:val="7D284586"/>
    <w:rsid w:val="7D2E198F"/>
    <w:rsid w:val="7D3B3737"/>
    <w:rsid w:val="7D3D73AF"/>
    <w:rsid w:val="7D436D5A"/>
    <w:rsid w:val="7D4D65C1"/>
    <w:rsid w:val="7D4F1BEF"/>
    <w:rsid w:val="7D5931FC"/>
    <w:rsid w:val="7D5A1162"/>
    <w:rsid w:val="7D5B27C9"/>
    <w:rsid w:val="7D62117D"/>
    <w:rsid w:val="7D631D92"/>
    <w:rsid w:val="7D6B7F02"/>
    <w:rsid w:val="7D6E73B9"/>
    <w:rsid w:val="7D834A16"/>
    <w:rsid w:val="7D875A88"/>
    <w:rsid w:val="7D9D0A97"/>
    <w:rsid w:val="7D9D438F"/>
    <w:rsid w:val="7D9E1150"/>
    <w:rsid w:val="7DA514D2"/>
    <w:rsid w:val="7DC76324"/>
    <w:rsid w:val="7DCD1A27"/>
    <w:rsid w:val="7DCD4739"/>
    <w:rsid w:val="7DCD4EB5"/>
    <w:rsid w:val="7DE70969"/>
    <w:rsid w:val="7DE81862"/>
    <w:rsid w:val="7E090313"/>
    <w:rsid w:val="7E102BFA"/>
    <w:rsid w:val="7E223BE0"/>
    <w:rsid w:val="7E325371"/>
    <w:rsid w:val="7E3E0FEC"/>
    <w:rsid w:val="7E3E1EF2"/>
    <w:rsid w:val="7E566EA2"/>
    <w:rsid w:val="7E5C1ABA"/>
    <w:rsid w:val="7E61281D"/>
    <w:rsid w:val="7E617052"/>
    <w:rsid w:val="7E622778"/>
    <w:rsid w:val="7E756346"/>
    <w:rsid w:val="7E85174A"/>
    <w:rsid w:val="7E8B68B9"/>
    <w:rsid w:val="7E8D0FAA"/>
    <w:rsid w:val="7EAA7C26"/>
    <w:rsid w:val="7EAB69D0"/>
    <w:rsid w:val="7EAF1FAA"/>
    <w:rsid w:val="7EB4653A"/>
    <w:rsid w:val="7EC10C3E"/>
    <w:rsid w:val="7ECA4601"/>
    <w:rsid w:val="7ED81377"/>
    <w:rsid w:val="7EDC22AD"/>
    <w:rsid w:val="7EDE4C34"/>
    <w:rsid w:val="7EE34086"/>
    <w:rsid w:val="7EE55F89"/>
    <w:rsid w:val="7EEB5719"/>
    <w:rsid w:val="7EF215E8"/>
    <w:rsid w:val="7EF525E1"/>
    <w:rsid w:val="7EF74FC9"/>
    <w:rsid w:val="7EFA0D7C"/>
    <w:rsid w:val="7F000B6A"/>
    <w:rsid w:val="7F010AD2"/>
    <w:rsid w:val="7F022EBD"/>
    <w:rsid w:val="7F0B5962"/>
    <w:rsid w:val="7F0C2035"/>
    <w:rsid w:val="7F0F7992"/>
    <w:rsid w:val="7F1B0865"/>
    <w:rsid w:val="7F271AA3"/>
    <w:rsid w:val="7F3334BA"/>
    <w:rsid w:val="7F542B37"/>
    <w:rsid w:val="7F6B2248"/>
    <w:rsid w:val="7F6F1B6B"/>
    <w:rsid w:val="7F7D7A8E"/>
    <w:rsid w:val="7F815BEF"/>
    <w:rsid w:val="7F872588"/>
    <w:rsid w:val="7F8725BA"/>
    <w:rsid w:val="7F881F1A"/>
    <w:rsid w:val="7F8C6A8F"/>
    <w:rsid w:val="7F9C175D"/>
    <w:rsid w:val="7F9D1CD6"/>
    <w:rsid w:val="7F9F2BCF"/>
    <w:rsid w:val="7F9F56AA"/>
    <w:rsid w:val="7FA85877"/>
    <w:rsid w:val="7FAB3A81"/>
    <w:rsid w:val="7FBA3058"/>
    <w:rsid w:val="7FCB6843"/>
    <w:rsid w:val="7FCC2994"/>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 w:type="character" w:customStyle="1" w:styleId="79">
    <w:name w:val="msoins0"/>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6</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2025-05-09T06:37:54Z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BFAB5B6DF7F04D6D866C6FBBE455FA93</vt:lpwstr>
  </property>
</Properties>
</file>