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C22A8">
      <w:pPr>
        <w:tabs>
          <w:tab w:val="right" w:pos="9781"/>
          <w:tab w:val="right" w:pos="13323"/>
        </w:tabs>
        <w:overflowPunct/>
        <w:autoSpaceDE/>
        <w:autoSpaceDN/>
        <w:adjustRightInd/>
        <w:spacing w:before="60" w:after="60"/>
        <w:textAlignment w:val="auto"/>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#115</w:t>
      </w:r>
      <w:r>
        <w:rPr>
          <w:rFonts w:hint="eastAsia" w:ascii="Arial" w:hAnsi="Arial" w:eastAsia="宋体" w:cs="Arial"/>
          <w:b/>
          <w:kern w:val="0"/>
          <w:sz w:val="24"/>
          <w:szCs w:val="24"/>
          <w:lang w:val="en-US" w:eastAsia="zh-CN" w:bidi="ar-SA"/>
        </w:rPr>
        <w:t xml:space="preserve">   </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R4-2505798</w:t>
      </w:r>
    </w:p>
    <w:p w14:paraId="748E3200">
      <w:pPr>
        <w:pStyle w:val="34"/>
        <w:rPr>
          <w:sz w:val="22"/>
          <w:szCs w:val="22"/>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686B4C4A">
      <w:pPr>
        <w:rPr>
          <w:rFonts w:ascii="Arial" w:hAnsi="Arial" w:cs="Arial"/>
        </w:rPr>
      </w:pPr>
    </w:p>
    <w:p w14:paraId="5015767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 xml:space="preserve">Reply </w:t>
      </w:r>
      <w:r>
        <w:rPr>
          <w:rFonts w:ascii="Arial" w:hAnsi="Arial" w:cs="Arial"/>
          <w:b/>
          <w:sz w:val="22"/>
          <w:szCs w:val="22"/>
        </w:rPr>
        <w:t xml:space="preserve">LS on SMTC </w:t>
      </w:r>
      <w:r>
        <w:rPr>
          <w:rFonts w:hint="eastAsia" w:ascii="Arial" w:hAnsi="Arial" w:cs="Arial"/>
          <w:b/>
          <w:sz w:val="22"/>
          <w:szCs w:val="22"/>
          <w:lang w:eastAsia="zh-CN"/>
        </w:rPr>
        <w:t>enhancement</w:t>
      </w:r>
      <w:r>
        <w:rPr>
          <w:rFonts w:ascii="Arial" w:hAnsi="Arial" w:cs="Arial"/>
          <w:b/>
          <w:sz w:val="22"/>
          <w:szCs w:val="22"/>
          <w:lang w:eastAsia="zh-CN"/>
        </w:rPr>
        <w:t>s</w:t>
      </w:r>
    </w:p>
    <w:p w14:paraId="1F0FE6A9">
      <w:pPr>
        <w:spacing w:after="60"/>
        <w:ind w:left="1985" w:hanging="1985"/>
        <w:rPr>
          <w:rFonts w:hint="default" w:ascii="Arial" w:hAnsi="Arial" w:eastAsia="宋体" w:cs="Arial"/>
          <w:b/>
          <w:bCs/>
          <w:sz w:val="22"/>
          <w:szCs w:val="22"/>
          <w:lang w:val="en-US" w:eastAsia="zh-CN"/>
        </w:rPr>
      </w:pPr>
      <w:bookmarkStart w:id="2" w:name="OLE_LINK58"/>
      <w:bookmarkStart w:id="3"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R4-2505313</w:t>
      </w:r>
      <w:r>
        <w:rPr>
          <w:rFonts w:hint="eastAsia" w:ascii="Arial" w:hAnsi="Arial" w:eastAsia="宋体" w:cs="Arial"/>
          <w:b/>
          <w:bCs/>
          <w:sz w:val="22"/>
          <w:szCs w:val="22"/>
          <w:lang w:val="en-US" w:eastAsia="zh-CN"/>
        </w:rPr>
        <w:t>/</w:t>
      </w:r>
      <w:r>
        <w:rPr>
          <w:rFonts w:hint="eastAsia" w:ascii="Arial" w:hAnsi="Arial" w:cs="Arial"/>
          <w:b/>
          <w:bCs/>
          <w:sz w:val="22"/>
          <w:szCs w:val="22"/>
        </w:rPr>
        <w:t>R2-2503068</w:t>
      </w:r>
    </w:p>
    <w:bookmarkEnd w:id="2"/>
    <w:bookmarkEnd w:id="3"/>
    <w:p w14:paraId="52D5570C">
      <w:pPr>
        <w:spacing w:after="60"/>
        <w:ind w:left="1985" w:hanging="1985"/>
        <w:rPr>
          <w:rFonts w:ascii="Arial" w:hAnsi="Arial" w:cs="Arial"/>
          <w:b/>
          <w:bCs/>
          <w:sz w:val="22"/>
          <w:szCs w:val="22"/>
        </w:rPr>
      </w:pPr>
      <w:bookmarkStart w:id="4" w:name="OLE_LINK60"/>
      <w:bookmarkStart w:id="5" w:name="OLE_LINK59"/>
      <w:bookmarkStart w:id="6" w:name="OLE_LINK61"/>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rPr>
        <w:t>Rel-19</w:t>
      </w:r>
    </w:p>
    <w:bookmarkEnd w:id="4"/>
    <w:bookmarkEnd w:id="5"/>
    <w:bookmarkEnd w:id="6"/>
    <w:p w14:paraId="5969C09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eastAsia="Batang" w:cs="Arial"/>
          <w:b/>
          <w:sz w:val="22"/>
          <w:szCs w:val="22"/>
          <w:lang w:eastAsia="zh-CN"/>
        </w:rPr>
        <w:t>Non-Terrestrial Networks (NTN) for NR Phase 3</w:t>
      </w:r>
      <w:r>
        <w:rPr>
          <w:rFonts w:ascii="Arial" w:hAnsi="Arial" w:cs="Arial"/>
          <w:b/>
          <w:bCs/>
          <w:sz w:val="22"/>
          <w:szCs w:val="22"/>
        </w:rPr>
        <w:t xml:space="preserve"> (</w:t>
      </w:r>
      <w:r>
        <w:rPr>
          <w:rFonts w:ascii="Arial" w:hAnsi="Arial" w:eastAsia="Times New Roman" w:cs="Arial"/>
          <w:b/>
          <w:sz w:val="22"/>
          <w:szCs w:val="22"/>
        </w:rPr>
        <w:t>NR_NTN_Ph3-Core</w:t>
      </w:r>
      <w:r>
        <w:rPr>
          <w:rFonts w:ascii="Arial" w:hAnsi="Arial" w:cs="Arial"/>
          <w:b/>
          <w:bCs/>
          <w:sz w:val="22"/>
          <w:szCs w:val="22"/>
        </w:rPr>
        <w:t>)</w:t>
      </w:r>
    </w:p>
    <w:p w14:paraId="08BFC4F1">
      <w:pPr>
        <w:spacing w:after="60"/>
        <w:ind w:left="1985" w:hanging="1985"/>
        <w:rPr>
          <w:rFonts w:ascii="Arial" w:hAnsi="Arial" w:cs="Arial"/>
          <w:b/>
          <w:sz w:val="22"/>
          <w:szCs w:val="22"/>
        </w:rPr>
      </w:pPr>
    </w:p>
    <w:p w14:paraId="025EDE3B">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rPr>
        <w:t>RAN4</w:t>
      </w:r>
    </w:p>
    <w:p w14:paraId="4470E9C6">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rPr>
        <w:t>RAN</w:t>
      </w:r>
      <w:r>
        <w:rPr>
          <w:rFonts w:hint="eastAsia" w:ascii="Arial" w:hAnsi="Arial" w:eastAsia="宋体" w:cs="Arial"/>
          <w:b/>
          <w:bCs/>
          <w:sz w:val="22"/>
          <w:szCs w:val="22"/>
          <w:lang w:val="en-US" w:eastAsia="zh-CN"/>
        </w:rPr>
        <w:t>2</w:t>
      </w:r>
    </w:p>
    <w:p w14:paraId="439000C7">
      <w:pPr>
        <w:spacing w:after="60"/>
        <w:ind w:left="1985" w:hanging="1985"/>
        <w:rPr>
          <w:rFonts w:hint="eastAsia" w:ascii="Arial" w:hAnsi="Arial" w:eastAsia="宋体" w:cs="Arial"/>
          <w:b/>
          <w:bCs/>
          <w:sz w:val="22"/>
          <w:szCs w:val="22"/>
          <w:lang w:val="en-US" w:eastAsia="zh-CN"/>
        </w:rPr>
      </w:pPr>
      <w:bookmarkStart w:id="7" w:name="OLE_LINK46"/>
      <w:bookmarkStart w:id="8" w:name="OLE_LINK45"/>
      <w:r>
        <w:rPr>
          <w:rFonts w:ascii="Arial" w:hAnsi="Arial" w:cs="Arial"/>
          <w:b/>
          <w:sz w:val="22"/>
          <w:szCs w:val="22"/>
        </w:rPr>
        <w:t>Cc:</w:t>
      </w:r>
      <w:r>
        <w:rPr>
          <w:rFonts w:ascii="Arial" w:hAnsi="Arial" w:cs="Arial"/>
          <w:b/>
          <w:bCs/>
          <w:sz w:val="22"/>
          <w:szCs w:val="22"/>
        </w:rPr>
        <w:tab/>
      </w:r>
      <w:r>
        <w:rPr>
          <w:rFonts w:hint="eastAsia" w:ascii="Arial" w:hAnsi="Arial" w:eastAsia="宋体" w:cs="Arial"/>
          <w:b/>
          <w:bCs/>
          <w:sz w:val="22"/>
          <w:szCs w:val="22"/>
          <w:lang w:val="en-US" w:eastAsia="zh-CN"/>
        </w:rPr>
        <w:t>-</w:t>
      </w:r>
    </w:p>
    <w:bookmarkEnd w:id="7"/>
    <w:bookmarkEnd w:id="8"/>
    <w:p w14:paraId="2DC74AA5">
      <w:pPr>
        <w:spacing w:after="60"/>
        <w:ind w:left="1985" w:hanging="1985"/>
        <w:rPr>
          <w:rFonts w:ascii="Arial" w:hAnsi="Arial" w:cs="Arial"/>
          <w:bCs/>
        </w:rPr>
      </w:pPr>
    </w:p>
    <w:p w14:paraId="36DA4549">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Ziquan HU</w:t>
      </w:r>
    </w:p>
    <w:p w14:paraId="1172870E">
      <w:pPr>
        <w:spacing w:after="60"/>
        <w:ind w:left="1985" w:hanging="1985"/>
        <w:rPr>
          <w:rFonts w:hint="default"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huziquan@xiaomi.com</w:t>
      </w:r>
    </w:p>
    <w:p w14:paraId="020FB72D">
      <w:pPr>
        <w:spacing w:after="60"/>
        <w:ind w:left="1985" w:hanging="1985"/>
        <w:rPr>
          <w:rFonts w:ascii="Arial" w:hAnsi="Arial" w:cs="Arial"/>
          <w:b/>
          <w:bCs/>
          <w:sz w:val="22"/>
          <w:szCs w:val="22"/>
        </w:rPr>
      </w:pPr>
      <w:r>
        <w:rPr>
          <w:rFonts w:ascii="Arial" w:hAnsi="Arial" w:cs="Arial"/>
          <w:b/>
          <w:bCs/>
          <w:sz w:val="22"/>
          <w:szCs w:val="22"/>
        </w:rPr>
        <w:tab/>
      </w:r>
    </w:p>
    <w:p w14:paraId="2A98DE9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14:paraId="21A2CA0D">
      <w:pPr>
        <w:spacing w:after="60"/>
        <w:ind w:left="1985" w:hanging="1985"/>
        <w:rPr>
          <w:rFonts w:ascii="Arial" w:hAnsi="Arial" w:cs="Arial"/>
          <w:b/>
        </w:rPr>
      </w:pPr>
    </w:p>
    <w:p w14:paraId="05DA34EC">
      <w:pPr>
        <w:spacing w:after="60"/>
        <w:ind w:left="1985" w:hanging="1985"/>
        <w:rPr>
          <w:rFonts w:hint="eastAsia" w:ascii="Arial" w:hAnsi="Arial" w:eastAsia="宋体" w:cs="Arial"/>
          <w:b/>
          <w:bCs/>
          <w:sz w:val="22"/>
          <w:szCs w:val="22"/>
          <w:lang w:val="en-US" w:eastAsia="zh-CN"/>
        </w:rPr>
      </w:pPr>
      <w:r>
        <w:rPr>
          <w:rFonts w:ascii="Arial" w:hAnsi="Arial" w:cs="Arial"/>
          <w:b/>
        </w:rPr>
        <w:t>Attachments:</w:t>
      </w:r>
      <w:r>
        <w:rPr>
          <w:rFonts w:ascii="Arial" w:hAnsi="Arial" w:cs="Arial"/>
          <w:bCs/>
        </w:rPr>
        <w:tab/>
      </w:r>
      <w:r>
        <w:rPr>
          <w:rFonts w:hint="eastAsia" w:ascii="Arial" w:hAnsi="Arial" w:eastAsia="宋体" w:cs="Arial"/>
          <w:b/>
          <w:bCs/>
          <w:sz w:val="22"/>
          <w:szCs w:val="22"/>
          <w:lang w:val="en-US" w:eastAsia="zh-CN"/>
        </w:rPr>
        <w:t>-</w:t>
      </w:r>
    </w:p>
    <w:p w14:paraId="2A90ABDA">
      <w:pPr>
        <w:rPr>
          <w:rFonts w:ascii="Arial" w:hAnsi="Arial" w:cs="Arial"/>
        </w:rPr>
      </w:pPr>
    </w:p>
    <w:p w14:paraId="4AEDA78A">
      <w:pPr>
        <w:pStyle w:val="2"/>
      </w:pPr>
      <w:r>
        <w:t>1</w:t>
      </w:r>
      <w:r>
        <w:tab/>
      </w:r>
      <w:r>
        <w:t>Overall description</w:t>
      </w:r>
    </w:p>
    <w:p w14:paraId="6F5886EA">
      <w:pPr>
        <w:overflowPunct/>
        <w:autoSpaceDE/>
        <w:autoSpaceDN/>
        <w:adjustRightInd/>
        <w:spacing w:after="180"/>
        <w:textAlignment w:val="auto"/>
        <w:rPr>
          <w:rFonts w:hint="eastAsia" w:ascii="Arial" w:hAnsi="Arial" w:cs="Arial"/>
          <w:sz w:val="20"/>
          <w:szCs w:val="20"/>
          <w:lang w:val="en-US" w:eastAsia="zh-CN"/>
        </w:rPr>
      </w:pPr>
      <w:r>
        <w:rPr>
          <w:rFonts w:hint="eastAsia" w:ascii="Arial" w:hAnsi="Arial" w:eastAsia="Times New Roman" w:cs="Arial"/>
          <w:sz w:val="20"/>
          <w:szCs w:val="20"/>
          <w:lang w:val="en-GB" w:eastAsia="zh-CN"/>
        </w:rPr>
        <w:t>RAN4 thanks RAN</w:t>
      </w:r>
      <w:r>
        <w:rPr>
          <w:rFonts w:hint="eastAsia" w:ascii="Arial" w:hAnsi="Arial" w:eastAsia="Times New Roman" w:cs="Arial"/>
          <w:sz w:val="20"/>
          <w:szCs w:val="20"/>
          <w:lang w:val="en-US" w:eastAsia="zh-CN"/>
        </w:rPr>
        <w:t>2</w:t>
      </w:r>
      <w:r>
        <w:rPr>
          <w:rFonts w:hint="eastAsia" w:ascii="Arial" w:hAnsi="Arial" w:eastAsia="Times New Roman" w:cs="Arial"/>
          <w:sz w:val="20"/>
          <w:szCs w:val="20"/>
          <w:lang w:val="en-GB" w:eastAsia="zh-CN"/>
        </w:rPr>
        <w:t xml:space="preserve"> for the information in LS R2-2503068. RAN4 discussed the </w:t>
      </w:r>
      <w:r>
        <w:rPr>
          <w:rFonts w:hint="eastAsia" w:ascii="Arial" w:hAnsi="Arial" w:eastAsia="Times New Roman" w:cs="Arial"/>
          <w:sz w:val="20"/>
          <w:szCs w:val="20"/>
          <w:lang w:val="en-US" w:eastAsia="zh-CN"/>
        </w:rPr>
        <w:t>RRM requirements impact of the SMTC enhancement</w:t>
      </w:r>
      <w:r>
        <w:rPr>
          <w:rFonts w:hint="eastAsia" w:ascii="Arial" w:hAnsi="Arial" w:eastAsia="Times New Roman" w:cs="Arial"/>
          <w:sz w:val="20"/>
          <w:szCs w:val="20"/>
          <w:lang w:val="en-GB" w:eastAsia="zh-CN"/>
        </w:rPr>
        <w:t>, and would like to provide following</w:t>
      </w:r>
      <w:r>
        <w:rPr>
          <w:rFonts w:hint="eastAsia" w:ascii="Arial" w:hAnsi="Arial" w:eastAsia="Times New Roman" w:cs="Arial"/>
          <w:sz w:val="20"/>
          <w:szCs w:val="20"/>
          <w:lang w:val="en-US" w:eastAsia="zh-CN"/>
        </w:rPr>
        <w:t xml:space="preserve"> </w:t>
      </w:r>
      <w:r>
        <w:rPr>
          <w:rFonts w:ascii="Arial" w:hAnsi="Arial" w:cs="Arial"/>
          <w:sz w:val="20"/>
          <w:szCs w:val="20"/>
          <w:lang w:val="en-GB"/>
        </w:rPr>
        <w:t xml:space="preserve">conclusions </w:t>
      </w:r>
      <w:r>
        <w:rPr>
          <w:rFonts w:hint="eastAsia" w:ascii="Arial" w:hAnsi="Arial" w:eastAsia="宋体" w:cs="Arial"/>
          <w:sz w:val="20"/>
          <w:szCs w:val="20"/>
          <w:lang w:val="en-US" w:eastAsia="zh-CN"/>
        </w:rPr>
        <w:t xml:space="preserve">achieved </w:t>
      </w:r>
      <w:r>
        <w:rPr>
          <w:rFonts w:hint="eastAsia" w:ascii="Arial" w:hAnsi="Arial" w:eastAsia="Times New Roman" w:cs="Arial"/>
          <w:sz w:val="20"/>
          <w:szCs w:val="20"/>
          <w:lang w:val="en-GB" w:eastAsia="zh-CN"/>
        </w:rPr>
        <w:t>in RAN4#11</w:t>
      </w:r>
      <w:r>
        <w:rPr>
          <w:rFonts w:hint="eastAsia" w:ascii="Arial" w:hAnsi="Arial" w:eastAsia="Times New Roman" w:cs="Arial"/>
          <w:sz w:val="20"/>
          <w:szCs w:val="20"/>
          <w:lang w:val="en-US" w:eastAsia="zh-CN"/>
        </w:rPr>
        <w:t>5</w:t>
      </w:r>
      <w:r>
        <w:rPr>
          <w:rFonts w:hint="eastAsia" w:ascii="Arial" w:hAnsi="Arial" w:cs="Arial"/>
          <w:sz w:val="20"/>
          <w:szCs w:val="20"/>
          <w:lang w:val="en-US" w:eastAsia="zh-CN"/>
        </w:rPr>
        <w:t>:</w:t>
      </w:r>
    </w:p>
    <w:p w14:paraId="7223142D">
      <w:pPr>
        <w:numPr>
          <w:ilvl w:val="0"/>
          <w:numId w:val="5"/>
        </w:numPr>
        <w:overflowPunct/>
        <w:autoSpaceDE/>
        <w:autoSpaceDN/>
        <w:adjustRightInd/>
        <w:spacing w:after="180"/>
        <w:ind w:left="420" w:leftChars="0" w:hanging="420" w:firstLineChars="0"/>
        <w:textAlignment w:val="auto"/>
        <w:rPr>
          <w:rFonts w:hint="default" w:ascii="Arial" w:hAnsi="Arial" w:cs="Arial"/>
          <w:sz w:val="20"/>
          <w:szCs w:val="20"/>
          <w:lang w:val="en-US" w:eastAsia="zh-CN"/>
        </w:rPr>
      </w:pPr>
      <w:r>
        <w:rPr>
          <w:rFonts w:hint="eastAsia" w:ascii="Arial" w:hAnsi="Arial" w:cs="Arial"/>
          <w:sz w:val="20"/>
          <w:szCs w:val="20"/>
          <w:lang w:val="en-US" w:eastAsia="zh-CN"/>
        </w:rPr>
        <w:t>For the SMTC enhancement on configuring two different SMTC periodicities (with different offsets) in one frequency layer for idle, inactive and connected mode neighbor cell measurements:</w:t>
      </w:r>
    </w:p>
    <w:p w14:paraId="472D7207">
      <w:pPr>
        <w:numPr>
          <w:ilvl w:val="1"/>
          <w:numId w:val="5"/>
        </w:numPr>
        <w:overflowPunct/>
        <w:autoSpaceDE/>
        <w:autoSpaceDN/>
        <w:adjustRightInd/>
        <w:spacing w:after="180"/>
        <w:ind w:left="840" w:leftChars="0" w:hanging="420" w:firstLineChars="0"/>
        <w:textAlignment w:val="auto"/>
        <w:rPr>
          <w:rFonts w:hint="default" w:ascii="Arial" w:hAnsi="Arial" w:cs="Arial"/>
          <w:sz w:val="20"/>
          <w:szCs w:val="20"/>
          <w:lang w:val="en-US" w:eastAsia="zh-CN"/>
        </w:rPr>
      </w:pPr>
      <w:r>
        <w:rPr>
          <w:rFonts w:hint="default" w:ascii="Arial" w:hAnsi="Arial" w:cs="Arial"/>
          <w:sz w:val="20"/>
          <w:szCs w:val="20"/>
          <w:lang w:val="en-US" w:eastAsia="zh-CN"/>
        </w:rPr>
        <w:t xml:space="preserve">RAN4 </w:t>
      </w:r>
      <w:r>
        <w:rPr>
          <w:rFonts w:hint="eastAsia" w:ascii="Arial" w:hAnsi="Arial" w:cs="Arial"/>
          <w:sz w:val="20"/>
          <w:szCs w:val="20"/>
          <w:lang w:val="en-US" w:eastAsia="zh-CN"/>
        </w:rPr>
        <w:t xml:space="preserve">RRM has </w:t>
      </w:r>
      <w:r>
        <w:rPr>
          <w:rFonts w:hint="default" w:ascii="Arial" w:hAnsi="Arial" w:cs="Arial"/>
          <w:sz w:val="20"/>
          <w:szCs w:val="20"/>
          <w:lang w:val="en-US" w:eastAsia="zh-CN"/>
        </w:rPr>
        <w:t xml:space="preserve">already </w:t>
      </w:r>
      <w:r>
        <w:rPr>
          <w:rFonts w:hint="eastAsia" w:ascii="Arial" w:hAnsi="Arial" w:cs="Arial"/>
          <w:sz w:val="20"/>
          <w:szCs w:val="20"/>
          <w:lang w:val="en-US" w:eastAsia="zh-CN"/>
        </w:rPr>
        <w:t xml:space="preserve">considered </w:t>
      </w:r>
      <w:r>
        <w:rPr>
          <w:rFonts w:hint="default" w:ascii="Arial" w:hAnsi="Arial" w:cs="Arial"/>
          <w:sz w:val="20"/>
          <w:szCs w:val="20"/>
          <w:lang w:val="en-US" w:eastAsia="zh-CN"/>
        </w:rPr>
        <w:t>different SMTC periodicit</w:t>
      </w:r>
      <w:r>
        <w:rPr>
          <w:rFonts w:hint="eastAsia" w:ascii="Arial" w:hAnsi="Arial" w:cs="Arial"/>
          <w:sz w:val="20"/>
          <w:szCs w:val="20"/>
          <w:lang w:val="en-US" w:eastAsia="zh-CN"/>
        </w:rPr>
        <w:t>ies configuration</w:t>
      </w:r>
      <w:r>
        <w:rPr>
          <w:rFonts w:hint="default" w:ascii="Arial" w:hAnsi="Arial" w:cs="Arial"/>
          <w:sz w:val="20"/>
          <w:szCs w:val="20"/>
          <w:lang w:val="en-US" w:eastAsia="zh-CN"/>
        </w:rPr>
        <w:t xml:space="preserve"> in the UE measurement requirements</w:t>
      </w:r>
      <w:r>
        <w:rPr>
          <w:rFonts w:hint="eastAsia" w:ascii="Arial" w:hAnsi="Arial" w:cs="Arial"/>
          <w:sz w:val="20"/>
          <w:szCs w:val="20"/>
          <w:lang w:val="en-US" w:eastAsia="zh-CN"/>
        </w:rPr>
        <w:t xml:space="preserve"> for both RRC_IDLE and RRC_CONNECTED mode in previous release</w:t>
      </w:r>
      <w:r>
        <w:rPr>
          <w:rFonts w:hint="default" w:ascii="Arial" w:hAnsi="Arial" w:cs="Arial"/>
          <w:sz w:val="20"/>
          <w:szCs w:val="20"/>
          <w:lang w:val="en-US" w:eastAsia="zh-CN"/>
        </w:rPr>
        <w:t>.</w:t>
      </w:r>
      <w:r>
        <w:rPr>
          <w:rFonts w:hint="eastAsia" w:ascii="Arial" w:hAnsi="Arial" w:cs="Arial"/>
          <w:sz w:val="20"/>
          <w:szCs w:val="20"/>
          <w:lang w:val="en-US" w:eastAsia="zh-CN"/>
        </w:rPr>
        <w:t xml:space="preserve"> Some clarifications on the measurement requirements might be needed in TS 38.133 depending on the detailed difference between the two SMTC configurations, including periodicity, durations and offsets. RAN4 would need to know more details related to the two different SMTC configurations before RAN4 can estimate the full impact.</w:t>
      </w:r>
    </w:p>
    <w:p w14:paraId="2D6DABB8">
      <w:pPr>
        <w:numPr>
          <w:ilvl w:val="0"/>
          <w:numId w:val="5"/>
        </w:numPr>
        <w:overflowPunct/>
        <w:autoSpaceDE/>
        <w:autoSpaceDN/>
        <w:adjustRightInd/>
        <w:spacing w:after="180"/>
        <w:ind w:left="420" w:leftChars="0" w:hanging="420" w:firstLineChars="0"/>
        <w:textAlignment w:val="auto"/>
        <w:rPr>
          <w:rFonts w:hint="default" w:ascii="Arial" w:hAnsi="Arial" w:cs="Arial"/>
          <w:sz w:val="20"/>
          <w:szCs w:val="20"/>
          <w:lang w:val="en-US" w:eastAsia="zh-CN"/>
        </w:rPr>
      </w:pPr>
      <w:r>
        <w:rPr>
          <w:rFonts w:hint="eastAsia" w:ascii="Arial" w:hAnsi="Arial" w:cs="Arial"/>
          <w:sz w:val="20"/>
          <w:szCs w:val="20"/>
          <w:lang w:val="en-US" w:eastAsia="zh-CN"/>
        </w:rPr>
        <w:t>For the SMTC enhancement on configuring more than 4 SMTCs per frequency (i.e. 6) for idle/inactive UEs:</w:t>
      </w:r>
    </w:p>
    <w:p w14:paraId="5100BDC1">
      <w:pPr>
        <w:numPr>
          <w:ilvl w:val="1"/>
          <w:numId w:val="5"/>
        </w:numPr>
        <w:overflowPunct/>
        <w:autoSpaceDE/>
        <w:autoSpaceDN/>
        <w:adjustRightInd/>
        <w:spacing w:after="180"/>
        <w:ind w:left="840" w:leftChars="0" w:hanging="420" w:firstLineChars="0"/>
        <w:textAlignment w:val="auto"/>
        <w:rPr>
          <w:rFonts w:hint="default" w:ascii="Arial" w:hAnsi="Arial" w:cs="Arial"/>
          <w:sz w:val="20"/>
          <w:szCs w:val="20"/>
          <w:lang w:val="en-US" w:eastAsia="zh-CN"/>
        </w:rPr>
      </w:pPr>
      <w:bookmarkStart w:id="13" w:name="_GoBack"/>
      <w:r>
        <w:rPr>
          <w:rFonts w:hint="eastAsia" w:ascii="Arial" w:hAnsi="Arial" w:cs="Arial"/>
          <w:sz w:val="20"/>
          <w:szCs w:val="20"/>
          <w:lang w:val="en-US" w:eastAsia="zh-CN"/>
        </w:rPr>
        <w:t xml:space="preserve">No impact on RAN4 RRM requirements is foreseen. </w:t>
      </w:r>
    </w:p>
    <w:bookmarkEnd w:id="13"/>
    <w:p w14:paraId="026A3EB3">
      <w:pPr>
        <w:pStyle w:val="2"/>
      </w:pPr>
      <w:r>
        <w:t>2</w:t>
      </w:r>
      <w:r>
        <w:tab/>
      </w:r>
      <w:r>
        <w:t>Actions</w:t>
      </w:r>
    </w:p>
    <w:p w14:paraId="79CD9BED">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RAN2</w:t>
      </w:r>
      <w:r>
        <w:rPr>
          <w:rFonts w:ascii="Arial" w:hAnsi="Arial" w:cs="Arial"/>
          <w:b/>
        </w:rPr>
        <w:t xml:space="preserve"> </w:t>
      </w:r>
    </w:p>
    <w:p w14:paraId="402F110E">
      <w:pPr>
        <w:rPr>
          <w:i/>
          <w:iCs/>
          <w:color w:val="0070C0"/>
        </w:rPr>
      </w:pPr>
      <w:r>
        <w:rPr>
          <w:rFonts w:ascii="Arial" w:hAnsi="Arial" w:cs="Arial"/>
          <w:b/>
        </w:rPr>
        <w:t>ACTION:</w:t>
      </w:r>
      <w:r>
        <w:rPr>
          <w:rFonts w:hint="eastAsia" w:ascii="Arial" w:hAnsi="Arial" w:eastAsia="宋体" w:cs="Arial"/>
          <w:b/>
          <w:lang w:val="en-US" w:eastAsia="zh-CN"/>
        </w:rPr>
        <w:t xml:space="preserve"> </w:t>
      </w:r>
      <w:r>
        <w:rPr>
          <w:rFonts w:hint="eastAsia" w:ascii="Arial" w:hAnsi="Arial" w:cs="Arial"/>
          <w:b/>
        </w:rPr>
        <w:t>RAN4 kindly requests RAN</w:t>
      </w:r>
      <w:r>
        <w:rPr>
          <w:rFonts w:hint="eastAsia" w:ascii="Arial" w:hAnsi="Arial" w:eastAsia="宋体" w:cs="Arial"/>
          <w:b/>
          <w:lang w:val="en-US" w:eastAsia="zh-CN"/>
        </w:rPr>
        <w:t>2</w:t>
      </w:r>
      <w:r>
        <w:rPr>
          <w:rFonts w:hint="eastAsia" w:ascii="Arial" w:hAnsi="Arial" w:cs="Arial"/>
          <w:b/>
        </w:rPr>
        <w:t xml:space="preserve"> to take the above information into consideration for future work.</w:t>
      </w:r>
    </w:p>
    <w:p w14:paraId="23E64092">
      <w:pPr>
        <w:spacing w:after="120"/>
        <w:ind w:left="993" w:hanging="993"/>
        <w:rPr>
          <w:rFonts w:ascii="Arial" w:hAnsi="Arial" w:cs="Arial"/>
        </w:rPr>
      </w:pPr>
    </w:p>
    <w:p w14:paraId="25FD89BA">
      <w:pPr>
        <w:pStyle w:val="2"/>
        <w:rPr>
          <w:szCs w:val="36"/>
        </w:rPr>
      </w:pPr>
      <w:r>
        <w:rPr>
          <w:szCs w:val="36"/>
        </w:rPr>
        <w:t>3</w:t>
      </w:r>
      <w:r>
        <w:rPr>
          <w:szCs w:val="36"/>
        </w:rPr>
        <w:tab/>
      </w:r>
      <w:r>
        <w:rPr>
          <w:szCs w:val="36"/>
        </w:rPr>
        <w:t xml:space="preserve">Dates of next </w:t>
      </w:r>
      <w:r>
        <w:rPr>
          <w:rFonts w:cs="Arial"/>
          <w:bCs/>
          <w:szCs w:val="36"/>
        </w:rPr>
        <w:t>TSG</w:t>
      </w:r>
      <w:r>
        <w:rPr>
          <w:rFonts w:hint="eastAsia" w:eastAsia="宋体" w:cs="Arial"/>
          <w:bCs/>
          <w:szCs w:val="36"/>
          <w:lang w:val="en-US" w:eastAsia="zh-CN"/>
        </w:rPr>
        <w:t>-</w:t>
      </w:r>
      <w:r>
        <w:rPr>
          <w:rFonts w:ascii="Arial" w:hAnsi="Arial" w:eastAsia="Arial"/>
          <w:sz w:val="36"/>
          <w:szCs w:val="20"/>
          <w:lang w:val="en-GB" w:eastAsia="en-US"/>
        </w:rPr>
        <w:t>RAN</w:t>
      </w:r>
      <w:r>
        <w:rPr>
          <w:rFonts w:cs="Arial"/>
          <w:bCs/>
          <w:szCs w:val="36"/>
        </w:rPr>
        <w:t xml:space="preserve"> WG</w:t>
      </w:r>
      <w:r>
        <w:rPr>
          <w:rFonts w:hint="eastAsia" w:eastAsia="宋体" w:cs="Arial"/>
          <w:bCs/>
          <w:szCs w:val="36"/>
          <w:highlight w:val="none"/>
          <w:lang w:val="en-US" w:eastAsia="zh-CN"/>
        </w:rPr>
        <w:t>4</w:t>
      </w:r>
      <w:r>
        <w:rPr>
          <w:szCs w:val="36"/>
        </w:rPr>
        <w:t xml:space="preserve"> meetings</w:t>
      </w:r>
    </w:p>
    <w:p w14:paraId="5B5CC2FD">
      <w:pPr>
        <w:rPr>
          <w:highlight w:val="green"/>
        </w:rPr>
      </w:pPr>
      <w:bookmarkStart w:id="9" w:name="OLE_LINK55"/>
      <w:bookmarkStart w:id="10" w:name="OLE_LINK56"/>
      <w:bookmarkStart w:id="11" w:name="OLE_LINK54"/>
      <w:bookmarkStart w:id="12" w:name="OLE_LINK53"/>
      <w:r>
        <w:t>TSG-RAN WG4 Meeting #116</w:t>
      </w:r>
      <w:r>
        <w:tab/>
      </w:r>
      <w:r>
        <w:rPr>
          <w:rFonts w:hint="eastAsia" w:eastAsia="宋体"/>
          <w:lang w:val="en-US" w:eastAsia="zh-CN"/>
        </w:rPr>
        <w:t xml:space="preserve"> </w:t>
      </w:r>
      <w:r>
        <w:t>25 – 29 August 2025</w:t>
      </w:r>
      <w:r>
        <w:tab/>
      </w:r>
      <w:bookmarkEnd w:id="9"/>
      <w:bookmarkEnd w:id="10"/>
      <w:r>
        <w:t>Bengaluru, IN</w:t>
      </w:r>
    </w:p>
    <w:bookmarkEnd w:id="11"/>
    <w:bookmarkEnd w:id="12"/>
    <w:p w14:paraId="3DF73A9D">
      <w:pPr>
        <w:rPr>
          <w:highlight w:val="green"/>
        </w:rPr>
      </w:pPr>
      <w:r>
        <w:t>TSG-RAN WG4 Meeting #116</w:t>
      </w:r>
      <w:r>
        <w:rPr>
          <w:rFonts w:hint="eastAsia" w:eastAsia="宋体"/>
          <w:lang w:val="en-US" w:eastAsia="zh-CN"/>
        </w:rPr>
        <w:t>-bis</w:t>
      </w:r>
      <w:r>
        <w:tab/>
      </w:r>
      <w:r>
        <w:rPr>
          <w:rFonts w:hint="eastAsia" w:eastAsia="宋体"/>
          <w:lang w:val="en-US" w:eastAsia="zh-CN"/>
        </w:rPr>
        <w:t xml:space="preserve"> 13</w:t>
      </w:r>
      <w:r>
        <w:t xml:space="preserve"> – </w:t>
      </w:r>
      <w:r>
        <w:rPr>
          <w:rFonts w:hint="eastAsia" w:eastAsia="宋体"/>
          <w:lang w:val="en-US" w:eastAsia="zh-CN"/>
        </w:rPr>
        <w:t>17</w:t>
      </w:r>
      <w:r>
        <w:t xml:space="preserve"> </w:t>
      </w:r>
      <w:r>
        <w:rPr>
          <w:rFonts w:hint="eastAsia" w:eastAsia="宋体"/>
          <w:lang w:val="en-US" w:eastAsia="zh-CN"/>
        </w:rPr>
        <w:t>October</w:t>
      </w:r>
      <w:r>
        <w:t xml:space="preserve"> 2025</w:t>
      </w:r>
      <w:r>
        <w:tab/>
      </w:r>
      <w:r>
        <w:rPr>
          <w:rFonts w:hint="eastAsia"/>
        </w:rPr>
        <w:t>Prague , CZ</w:t>
      </w:r>
    </w:p>
    <w:p w14:paraId="2D792913"/>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95630"/>
    <w:multiLevelType w:val="multilevel"/>
    <w:tmpl w:val="139956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200"/>
  <w:doNotDisplayPageBoundaries w:val="1"/>
  <w:bordersDoNotSurroundHeader w:val="0"/>
  <w:bordersDoNotSurroundFooter w:val="0"/>
  <w:linkStyles/>
  <w:doNotTrackMov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usePrinterMetrics/>
    <w:doNotSuppressParagraphBorders/>
    <w:footnoteLayoutLikeWW8/>
    <w:forgetLastTabAlignment/>
    <w:adjustLineHeightInTable/>
    <w:layoutRawTableWidth/>
    <w:layoutTableRowsApart/>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F6242"/>
    <w:rsid w:val="002F1940"/>
    <w:rsid w:val="00383545"/>
    <w:rsid w:val="00433500"/>
    <w:rsid w:val="00433F71"/>
    <w:rsid w:val="00440D43"/>
    <w:rsid w:val="004E3939"/>
    <w:rsid w:val="007F4F92"/>
    <w:rsid w:val="008D772F"/>
    <w:rsid w:val="0099764C"/>
    <w:rsid w:val="00B97703"/>
    <w:rsid w:val="00CF6087"/>
    <w:rsid w:val="01D05F96"/>
    <w:rsid w:val="02B654E0"/>
    <w:rsid w:val="045B11C9"/>
    <w:rsid w:val="049525BD"/>
    <w:rsid w:val="054A784B"/>
    <w:rsid w:val="06876BD3"/>
    <w:rsid w:val="073259FF"/>
    <w:rsid w:val="0ACC485F"/>
    <w:rsid w:val="0E5D3E5E"/>
    <w:rsid w:val="0EEC4678"/>
    <w:rsid w:val="0F890F70"/>
    <w:rsid w:val="10604B73"/>
    <w:rsid w:val="11943BFC"/>
    <w:rsid w:val="19CC03D7"/>
    <w:rsid w:val="226559D9"/>
    <w:rsid w:val="22C906A3"/>
    <w:rsid w:val="24013B57"/>
    <w:rsid w:val="29072987"/>
    <w:rsid w:val="2D0F4C8A"/>
    <w:rsid w:val="2D517119"/>
    <w:rsid w:val="2F991294"/>
    <w:rsid w:val="32075FF9"/>
    <w:rsid w:val="33114C55"/>
    <w:rsid w:val="346C0E55"/>
    <w:rsid w:val="3817477A"/>
    <w:rsid w:val="3894610C"/>
    <w:rsid w:val="3A2323D6"/>
    <w:rsid w:val="3FA56E51"/>
    <w:rsid w:val="3FB05CB3"/>
    <w:rsid w:val="40E7681E"/>
    <w:rsid w:val="44AA07D2"/>
    <w:rsid w:val="462A00B0"/>
    <w:rsid w:val="47DA09CB"/>
    <w:rsid w:val="499469DA"/>
    <w:rsid w:val="4E1F4272"/>
    <w:rsid w:val="4F0A4F22"/>
    <w:rsid w:val="54BF7F14"/>
    <w:rsid w:val="562E599A"/>
    <w:rsid w:val="59E20F76"/>
    <w:rsid w:val="5ABA77FD"/>
    <w:rsid w:val="5C221AFD"/>
    <w:rsid w:val="5E364A4E"/>
    <w:rsid w:val="5F6146EB"/>
    <w:rsid w:val="600F4147"/>
    <w:rsid w:val="61A60ADB"/>
    <w:rsid w:val="64911E56"/>
    <w:rsid w:val="6573617D"/>
    <w:rsid w:val="66A702FA"/>
    <w:rsid w:val="6B90226A"/>
    <w:rsid w:val="6FE470BC"/>
    <w:rsid w:val="706933FF"/>
    <w:rsid w:val="713A4D9B"/>
    <w:rsid w:val="72203F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table" w:styleId="42">
    <w:name w:val="Table Grid"/>
    <w:basedOn w:val="4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page number"/>
    <w:basedOn w:val="43"/>
    <w:semiHidden/>
    <w:qFormat/>
    <w:uiPriority w:val="0"/>
  </w:style>
  <w:style w:type="character" w:styleId="45">
    <w:name w:val="Hyperlink"/>
    <w:basedOn w:val="43"/>
    <w:unhideWhenUsed/>
    <w:qFormat/>
    <w:uiPriority w:val="99"/>
    <w:rPr>
      <w:color w:val="0000FF"/>
      <w:u w:val="single"/>
    </w:rPr>
  </w:style>
  <w:style w:type="character" w:styleId="46">
    <w:name w:val="annotation reference"/>
    <w:basedOn w:val="43"/>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Times New Roman"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basedOn w:val="43"/>
    <w:link w:val="32"/>
    <w:semiHidden/>
    <w:qFormat/>
    <w:uiPriority w:val="99"/>
    <w:rPr>
      <w:rFonts w:ascii="Tahoma" w:hAnsi="Tahoma" w:cs="Tahoma"/>
      <w:sz w:val="16"/>
      <w:szCs w:val="16"/>
      <w:lang w:val="en-GB"/>
    </w:rPr>
  </w:style>
  <w:style w:type="character" w:customStyle="1" w:styleId="57">
    <w:name w:val="Header Char"/>
    <w:basedOn w:val="43"/>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character" w:customStyle="1" w:styleId="61">
    <w:name w:val="Footnote Text Char"/>
    <w:basedOn w:val="43"/>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448</Words>
  <Characters>2522</Characters>
  <Lines>10</Lines>
  <Paragraphs>2</Paragraphs>
  <TotalTime>12</TotalTime>
  <ScaleCrop>false</ScaleCrop>
  <LinksUpToDate>false</LinksUpToDate>
  <CharactersWithSpaces>2949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cp:lastModifiedBy>Xiaomi-Ziquan</cp:lastModifiedBy>
  <cp:lastPrinted>2002-04-23T07:10:00Z</cp:lastPrinted>
  <dcterms:modified xsi:type="dcterms:W3CDTF">2025-05-09T10:21:24Z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614bb002a1d11f08000659d0000659d">
    <vt:lpwstr>CWMEsjVlc/jsyQEl3xeq3WN8V+CQOMM/gMxCyrrZFuc+zH9GBe3YuC5AELbsfjvJIFZpVSJDL1idD1fUaa7WPIjeg==</vt:lpwstr>
  </property>
  <property fmtid="{D5CDD505-2E9C-101B-9397-08002B2CF9AE}" pid="3" name="KSOTemplateDocerSaveRecord">
    <vt:lpwstr>eyJoZGlkIjoiMDkxZTNkYTE4MzcwZjBiNTE3ZTU5YTYxZWM3NjgzODMiLCJ1c2VySWQiOiIzMTI1MzA4NTYifQ==</vt:lpwstr>
  </property>
  <property fmtid="{D5CDD505-2E9C-101B-9397-08002B2CF9AE}" pid="4" name="KSOProductBuildVer">
    <vt:lpwstr>2052-12.1.0.20784</vt:lpwstr>
  </property>
  <property fmtid="{D5CDD505-2E9C-101B-9397-08002B2CF9AE}" pid="5" name="ICV">
    <vt:lpwstr>CA5C0C9539D04EDA93432BF2D54C0386_12</vt:lpwstr>
  </property>
</Properties>
</file>