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79B4D">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#115</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R4-2505617</w:t>
      </w:r>
      <w:bookmarkStart w:id="10" w:name="_GoBack"/>
      <w:bookmarkEnd w:id="10"/>
    </w:p>
    <w:p w14:paraId="778F5081">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47562E41">
      <w:pPr>
        <w:rPr>
          <w:rFonts w:ascii="Arial" w:hAnsi="Arial" w:cs="Arial"/>
          <w:b/>
          <w:bCs/>
          <w:sz w:val="24"/>
          <w:szCs w:val="28"/>
          <w:highlight w:val="yellow"/>
        </w:rPr>
      </w:pPr>
    </w:p>
    <w:p w14:paraId="39DA5E39">
      <w:pPr>
        <w:tabs>
          <w:tab w:val="left" w:pos="1980"/>
        </w:tabs>
        <w:spacing w:after="180"/>
        <w:ind w:left="1980" w:hanging="1980"/>
        <w:rPr>
          <w:rFonts w:hint="eastAsia" w:ascii="Arial" w:hAnsi="Arial" w:eastAsia="宋体" w:cs="Arial"/>
          <w:b/>
          <w:sz w:val="24"/>
          <w:szCs w:val="24"/>
          <w:highlight w:val="none"/>
          <w:lang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rPr>
        <w:t>7.2</w:t>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3</w:t>
      </w:r>
      <w:r>
        <w:rPr>
          <w:rFonts w:hint="eastAsia" w:ascii="Arial" w:hAnsi="Arial" w:cs="Arial"/>
          <w:b/>
          <w:sz w:val="24"/>
          <w:szCs w:val="24"/>
          <w:highlight w:val="none"/>
        </w:rPr>
        <w:t>.</w:t>
      </w:r>
      <w:r>
        <w:rPr>
          <w:rFonts w:hint="eastAsia" w:ascii="Arial" w:hAnsi="Arial" w:cs="Arial"/>
          <w:b/>
          <w:sz w:val="24"/>
          <w:szCs w:val="24"/>
          <w:highlight w:val="none"/>
          <w:lang w:val="en-US" w:eastAsia="zh-CN"/>
        </w:rPr>
        <w:t>3</w:t>
      </w:r>
    </w:p>
    <w:p w14:paraId="095D7785">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14:paraId="61BECF61">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A-IoT </w:t>
      </w:r>
      <w:r>
        <w:rPr>
          <w:rFonts w:hint="eastAsia" w:ascii="Arial" w:hAnsi="Arial" w:cs="Arial"/>
          <w:b/>
          <w:sz w:val="24"/>
          <w:szCs w:val="24"/>
          <w:lang w:val="en-US" w:eastAsia="zh-CN"/>
        </w:rPr>
        <w:t>CW</w:t>
      </w:r>
      <w:r>
        <w:rPr>
          <w:rFonts w:hint="eastAsia" w:ascii="Arial" w:hAnsi="Arial" w:cs="Arial"/>
          <w:b/>
          <w:sz w:val="24"/>
          <w:szCs w:val="24"/>
        </w:rPr>
        <w:t xml:space="preserve"> RF requirements</w:t>
      </w:r>
    </w:p>
    <w:p w14:paraId="7026A091">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14:paraId="14EABCD6">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14:paraId="0C5B0F6C">
      <w:pPr>
        <w:spacing w:after="180"/>
        <w:rPr>
          <w:rFonts w:ascii="Times New Roman" w:hAnsi="Times New Roman"/>
          <w:sz w:val="20"/>
        </w:rPr>
      </w:pPr>
      <w:bookmarkStart w:id="2" w:name="_Hlk189663595"/>
      <w:r>
        <w:rPr>
          <w:rFonts w:hint="eastAsia" w:ascii="Times New Roman" w:hAnsi="Times New Roman"/>
          <w:sz w:val="20"/>
        </w:rPr>
        <w:t>In RAN plenary #106 meeting, a new WI [1] of A-IoT is approved with following RAN4 lead RF part objectives:</w:t>
      </w:r>
    </w:p>
    <w:p w14:paraId="71D6A015">
      <w:pPr>
        <w:numPr>
          <w:ilvl w:val="0"/>
          <w:numId w:val="2"/>
        </w:numPr>
        <w:spacing w:after="180"/>
        <w:rPr>
          <w:rFonts w:ascii="Times New Roman" w:hAnsi="Times New Roman"/>
          <w:sz w:val="20"/>
        </w:rPr>
      </w:pPr>
      <w:r>
        <w:rPr>
          <w:rFonts w:ascii="Times New Roman" w:hAnsi="Times New Roman"/>
          <w:sz w:val="20"/>
        </w:rPr>
        <w:t>RAN4 scope:</w:t>
      </w:r>
    </w:p>
    <w:p w14:paraId="51C84C6D">
      <w:pPr>
        <w:numPr>
          <w:ilvl w:val="1"/>
          <w:numId w:val="2"/>
        </w:numPr>
        <w:spacing w:after="180"/>
        <w:rPr>
          <w:rFonts w:ascii="Times New Roman" w:hAnsi="Times New Roman"/>
          <w:bCs/>
          <w:sz w:val="20"/>
        </w:rPr>
      </w:pPr>
      <w:r>
        <w:rPr>
          <w:rFonts w:ascii="Times New Roman" w:hAnsi="Times New Roman"/>
          <w:bCs/>
          <w:sz w:val="20"/>
        </w:rPr>
        <w:t>Specify RF requirements for Ambient-IoT BS, device 1, and CW</w:t>
      </w:r>
    </w:p>
    <w:p w14:paraId="0C28C2C0">
      <w:pPr>
        <w:numPr>
          <w:ilvl w:val="2"/>
          <w:numId w:val="2"/>
        </w:numPr>
        <w:spacing w:after="180"/>
        <w:rPr>
          <w:rFonts w:ascii="Times New Roman" w:hAnsi="Times New Roman"/>
          <w:bCs/>
          <w:sz w:val="20"/>
        </w:rPr>
      </w:pPr>
      <w:r>
        <w:rPr>
          <w:rFonts w:ascii="Times New Roman" w:hAnsi="Times New Roman"/>
          <w:bCs/>
          <w:sz w:val="20"/>
        </w:rPr>
        <w:t>RF requirements for Type 1-C Ambient-IoT BS</w:t>
      </w:r>
    </w:p>
    <w:p w14:paraId="12C3E85D">
      <w:pPr>
        <w:numPr>
          <w:ilvl w:val="2"/>
          <w:numId w:val="2"/>
        </w:numPr>
        <w:spacing w:after="180"/>
        <w:rPr>
          <w:rFonts w:ascii="Times New Roman" w:hAnsi="Times New Roman"/>
          <w:bCs/>
          <w:sz w:val="20"/>
        </w:rPr>
      </w:pPr>
      <w:r>
        <w:rPr>
          <w:rFonts w:ascii="Times New Roman" w:hAnsi="Times New Roman"/>
          <w:bCs/>
          <w:sz w:val="20"/>
        </w:rPr>
        <w:t>RF requirements for device 1</w:t>
      </w:r>
    </w:p>
    <w:p w14:paraId="00B5FC80">
      <w:pPr>
        <w:numPr>
          <w:ilvl w:val="2"/>
          <w:numId w:val="2"/>
        </w:numPr>
        <w:spacing w:after="180"/>
        <w:rPr>
          <w:rFonts w:ascii="Times New Roman" w:hAnsi="Times New Roman"/>
          <w:bCs/>
          <w:sz w:val="20"/>
        </w:rPr>
      </w:pPr>
      <w:r>
        <w:rPr>
          <w:rFonts w:ascii="Times New Roman" w:hAnsi="Times New Roman"/>
          <w:bCs/>
          <w:sz w:val="20"/>
        </w:rPr>
        <w:t>RF requirements for CW</w:t>
      </w:r>
    </w:p>
    <w:p w14:paraId="60A45D44">
      <w:pPr>
        <w:numPr>
          <w:ilvl w:val="1"/>
          <w:numId w:val="2"/>
        </w:numPr>
        <w:spacing w:after="180"/>
        <w:rPr>
          <w:rFonts w:ascii="Times New Roman" w:hAnsi="Times New Roman"/>
          <w:bCs/>
          <w:sz w:val="20"/>
        </w:rPr>
      </w:pPr>
      <w:r>
        <w:rPr>
          <w:rFonts w:ascii="Times New Roman" w:hAnsi="Times New Roman"/>
          <w:bCs/>
          <w:sz w:val="20"/>
        </w:rPr>
        <w:t>Specify RRM core requirements for device 1, if necessary</w:t>
      </w:r>
    </w:p>
    <w:p w14:paraId="1C9ADE56">
      <w:pPr>
        <w:numPr>
          <w:ilvl w:val="1"/>
          <w:numId w:val="2"/>
        </w:numPr>
        <w:spacing w:after="180"/>
        <w:rPr>
          <w:rFonts w:ascii="Times New Roman" w:hAnsi="Times New Roman"/>
          <w:bCs/>
          <w:sz w:val="20"/>
        </w:rPr>
      </w:pPr>
      <w:r>
        <w:rPr>
          <w:rFonts w:ascii="Times New Roman" w:hAnsi="Times New Roman"/>
          <w:bCs/>
          <w:sz w:val="20"/>
        </w:rPr>
        <w:t xml:space="preserve">Study and develop </w:t>
      </w:r>
      <w:r>
        <w:rPr>
          <w:rFonts w:hint="eastAsia" w:ascii="Times New Roman" w:hAnsi="Times New Roman"/>
          <w:bCs/>
          <w:sz w:val="20"/>
        </w:rPr>
        <w:t xml:space="preserve">OTA </w:t>
      </w:r>
      <w:r>
        <w:rPr>
          <w:rFonts w:ascii="Times New Roman" w:hAnsi="Times New Roman"/>
          <w:bCs/>
          <w:sz w:val="20"/>
        </w:rPr>
        <w:t xml:space="preserve">test methodology </w:t>
      </w:r>
      <w:r>
        <w:rPr>
          <w:rFonts w:hint="eastAsia" w:ascii="Times New Roman" w:hAnsi="Times New Roman"/>
          <w:bCs/>
          <w:sz w:val="20"/>
        </w:rPr>
        <w:t>for A-IoT device</w:t>
      </w:r>
      <w:r>
        <w:rPr>
          <w:rFonts w:ascii="Times New Roman" w:hAnsi="Times New Roman"/>
          <w:bCs/>
          <w:sz w:val="20"/>
        </w:rPr>
        <w:t xml:space="preserve"> 1</w:t>
      </w:r>
    </w:p>
    <w:p w14:paraId="7C504601">
      <w:pPr>
        <w:numPr>
          <w:ilvl w:val="2"/>
          <w:numId w:val="2"/>
        </w:numPr>
        <w:spacing w:after="180"/>
        <w:rPr>
          <w:rFonts w:ascii="Times New Roman" w:hAnsi="Times New Roman"/>
          <w:bCs/>
          <w:sz w:val="20"/>
        </w:rPr>
      </w:pPr>
      <w:r>
        <w:rPr>
          <w:rFonts w:ascii="Times New Roman" w:hAnsi="Times New Roman"/>
          <w:bCs/>
          <w:sz w:val="20"/>
        </w:rPr>
        <w:t xml:space="preserve">Consider test methods specified in TR 38.870 as starting point. </w:t>
      </w:r>
      <w:r>
        <w:rPr>
          <w:rFonts w:hint="eastAsia" w:ascii="Times New Roman" w:hAnsi="Times New Roman"/>
          <w:bCs/>
          <w:sz w:val="20"/>
        </w:rPr>
        <w:t>Take t</w:t>
      </w:r>
      <w:r>
        <w:rPr>
          <w:rFonts w:ascii="Times New Roman" w:hAnsi="Times New Roman"/>
          <w:bCs/>
          <w:sz w:val="20"/>
        </w:rPr>
        <w:t>est system reuse, test system complexity and test time into account, when developing test methods suitable for Ambient IoT.</w:t>
      </w:r>
    </w:p>
    <w:p w14:paraId="2E9AA07B">
      <w:pPr>
        <w:numPr>
          <w:ilvl w:val="2"/>
          <w:numId w:val="2"/>
        </w:numPr>
        <w:spacing w:after="180"/>
        <w:rPr>
          <w:rFonts w:ascii="Times New Roman" w:hAnsi="Times New Roman"/>
          <w:bCs/>
          <w:sz w:val="20"/>
        </w:rPr>
      </w:pPr>
      <w:r>
        <w:rPr>
          <w:rFonts w:ascii="Times New Roman" w:hAnsi="Times New Roman"/>
          <w:bCs/>
          <w:sz w:val="20"/>
        </w:rPr>
        <w:t>Develop the preliminary Measurement Uncertainty (MU) assessment for the test system</w:t>
      </w:r>
    </w:p>
    <w:p w14:paraId="7D0B5BEE">
      <w:pPr>
        <w:numPr>
          <w:ilvl w:val="1"/>
          <w:numId w:val="2"/>
        </w:numPr>
        <w:spacing w:after="180"/>
        <w:rPr>
          <w:rFonts w:ascii="Times New Roman" w:hAnsi="Times New Roman"/>
          <w:bCs/>
          <w:sz w:val="20"/>
        </w:rPr>
      </w:pPr>
      <w:r>
        <w:rPr>
          <w:rFonts w:ascii="Times New Roman" w:hAnsi="Times New Roman"/>
          <w:bCs/>
          <w:sz w:val="20"/>
        </w:rPr>
        <w:t>Use band n8 as an example band</w:t>
      </w:r>
    </w:p>
    <w:bookmarkEnd w:id="2"/>
    <w:p w14:paraId="4D65487D">
      <w:pPr>
        <w:spacing w:before="156" w:beforeLines="50"/>
        <w:rPr>
          <w:rFonts w:ascii="Times New Roman" w:hAnsi="Times New Roman"/>
          <w:sz w:val="20"/>
        </w:rPr>
      </w:pPr>
      <w:bookmarkStart w:id="3" w:name="_Hlk189663608"/>
      <w:r>
        <w:rPr>
          <w:rFonts w:hint="eastAsia" w:ascii="Times New Roman" w:hAnsi="Times New Roman"/>
          <w:bCs/>
          <w:sz w:val="20"/>
          <w:szCs w:val="20"/>
        </w:rPr>
        <w:t xml:space="preserve">In this contribution, we discuss the RF requirements for </w:t>
      </w:r>
      <w:r>
        <w:rPr>
          <w:rFonts w:hint="eastAsia" w:ascii="Times New Roman" w:hAnsi="Times New Roman"/>
          <w:bCs/>
          <w:sz w:val="20"/>
          <w:szCs w:val="20"/>
          <w:lang w:val="en-US" w:eastAsia="zh-CN"/>
        </w:rPr>
        <w:t>A-IoT CW node</w:t>
      </w:r>
      <w:r>
        <w:rPr>
          <w:rFonts w:hint="eastAsia" w:ascii="Times New Roman" w:hAnsi="Times New Roman"/>
          <w:bCs/>
          <w:sz w:val="20"/>
          <w:szCs w:val="20"/>
        </w:rPr>
        <w:t>.</w:t>
      </w:r>
    </w:p>
    <w:bookmarkEnd w:id="3"/>
    <w:p w14:paraId="6ADB0E36">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14:paraId="5B876D9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Following list the </w:t>
      </w:r>
      <w:r>
        <w:rPr>
          <w:rFonts w:hint="eastAsia" w:ascii="Times New Roman" w:hAnsi="Times New Roman" w:cs="Times New Roman"/>
          <w:sz w:val="20"/>
          <w:szCs w:val="20"/>
          <w:lang w:val="en-US" w:eastAsia="zh-CN"/>
        </w:rPr>
        <w:t>current agreements of</w:t>
      </w:r>
      <w:r>
        <w:rPr>
          <w:rFonts w:hint="default" w:ascii="Times New Roman" w:hAnsi="Times New Roman" w:cs="Times New Roman"/>
          <w:sz w:val="20"/>
          <w:szCs w:val="20"/>
          <w:lang w:val="en-US" w:eastAsia="zh-CN"/>
        </w:rPr>
        <w:t xml:space="preserve"> requirements for A-IoT CW.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686"/>
      </w:tblGrid>
      <w:tr w14:paraId="4DD7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405" w:type="dxa"/>
            <w:shd w:val="clear" w:color="auto" w:fill="B6DDE8" w:themeFill="accent5" w:themeFillTint="66"/>
          </w:tcPr>
          <w:p w14:paraId="6EA9D09C">
            <w:pPr>
              <w:overflowPunct w:val="0"/>
              <w:autoSpaceDE w:val="0"/>
              <w:autoSpaceDN w:val="0"/>
              <w:adjustRightInd w:val="0"/>
              <w:spacing w:before="120" w:line="280" w:lineRule="atLeast"/>
              <w:textAlignment w:val="baseline"/>
              <w:rPr>
                <w:rFonts w:hint="default" w:ascii="Times New Roman" w:hAnsi="Times New Roman" w:eastAsia="Yu Mincho" w:cs="Times New Roman"/>
                <w:b/>
                <w:bCs/>
                <w:sz w:val="20"/>
                <w:szCs w:val="20"/>
              </w:rPr>
            </w:pPr>
            <w:bookmarkStart w:id="4" w:name="_Hlk190784355"/>
            <w:r>
              <w:rPr>
                <w:rFonts w:hint="default" w:ascii="Times New Roman" w:hAnsi="Times New Roman" w:eastAsia="Yu Mincho" w:cs="Times New Roman"/>
                <w:b/>
                <w:bCs/>
                <w:sz w:val="20"/>
                <w:szCs w:val="20"/>
              </w:rPr>
              <w:t>CW RF Requirement</w:t>
            </w:r>
          </w:p>
        </w:tc>
        <w:tc>
          <w:tcPr>
            <w:tcW w:w="3686" w:type="dxa"/>
            <w:shd w:val="clear" w:color="auto" w:fill="B6DDE8" w:themeFill="accent5" w:themeFillTint="66"/>
          </w:tcPr>
          <w:p w14:paraId="03B4E590">
            <w:pPr>
              <w:overflowPunct w:val="0"/>
              <w:autoSpaceDE w:val="0"/>
              <w:autoSpaceDN w:val="0"/>
              <w:adjustRightInd w:val="0"/>
              <w:spacing w:before="120" w:line="280" w:lineRule="atLeast"/>
              <w:textAlignment w:val="baseline"/>
              <w:rPr>
                <w:rFonts w:hint="default" w:ascii="Times New Roman" w:hAnsi="Times New Roman" w:eastAsia="Yu Mincho" w:cs="Times New Roman"/>
                <w:b/>
                <w:bCs/>
                <w:sz w:val="20"/>
                <w:szCs w:val="20"/>
              </w:rPr>
            </w:pPr>
            <w:r>
              <w:rPr>
                <w:rFonts w:hint="default" w:ascii="Times New Roman" w:hAnsi="Times New Roman" w:cs="Times New Roman" w:eastAsiaTheme="minorEastAsia"/>
                <w:b/>
                <w:bCs/>
                <w:sz w:val="20"/>
                <w:szCs w:val="20"/>
                <w:lang w:eastAsia="zh-CN"/>
              </w:rPr>
              <w:t>P</w:t>
            </w:r>
            <w:r>
              <w:rPr>
                <w:rFonts w:hint="default" w:ascii="Times New Roman" w:hAnsi="Times New Roman" w:eastAsia="Yu Mincho" w:cs="Times New Roman"/>
                <w:b/>
                <w:bCs/>
                <w:sz w:val="20"/>
                <w:szCs w:val="20"/>
                <w:lang w:eastAsia="zh-CN"/>
              </w:rPr>
              <w:t>otentially needed or not</w:t>
            </w:r>
            <w:r>
              <w:rPr>
                <w:rFonts w:hint="default" w:ascii="Times New Roman" w:hAnsi="Times New Roman" w:cs="Times New Roman" w:eastAsiaTheme="minorEastAsia"/>
                <w:b/>
                <w:bCs/>
                <w:sz w:val="20"/>
                <w:szCs w:val="20"/>
                <w:lang w:eastAsia="zh-CN"/>
              </w:rPr>
              <w:t xml:space="preserve"> </w:t>
            </w:r>
          </w:p>
        </w:tc>
      </w:tr>
      <w:tr w14:paraId="188D5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405" w:type="dxa"/>
          </w:tcPr>
          <w:p w14:paraId="56063146">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eastAsia="en-GB"/>
              </w:rPr>
            </w:pPr>
            <w:r>
              <w:rPr>
                <w:rFonts w:hint="default" w:ascii="Times New Roman" w:hAnsi="Times New Roman" w:eastAsia="Yu Mincho" w:cs="Times New Roman"/>
                <w:sz w:val="20"/>
                <w:szCs w:val="20"/>
              </w:rPr>
              <w:t>Output power</w:t>
            </w:r>
          </w:p>
        </w:tc>
        <w:tc>
          <w:tcPr>
            <w:tcW w:w="3686" w:type="dxa"/>
          </w:tcPr>
          <w:p w14:paraId="469D3880">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eastAsia="zh-CN"/>
              </w:rPr>
              <w:t>Y</w:t>
            </w:r>
            <w:r>
              <w:rPr>
                <w:rFonts w:hint="eastAsia" w:ascii="Times New Roman" w:hAnsi="Times New Roman" w:cs="Times New Roman" w:eastAsiaTheme="minorEastAsia"/>
                <w:sz w:val="20"/>
                <w:szCs w:val="20"/>
                <w:lang w:val="en-US" w:eastAsia="zh-CN"/>
              </w:rPr>
              <w:t>es based on declaration</w:t>
            </w:r>
          </w:p>
        </w:tc>
      </w:tr>
      <w:tr w14:paraId="2B39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2405" w:type="dxa"/>
          </w:tcPr>
          <w:p w14:paraId="01BBA688">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ON/OFF power</w:t>
            </w:r>
          </w:p>
        </w:tc>
        <w:tc>
          <w:tcPr>
            <w:tcW w:w="3686" w:type="dxa"/>
          </w:tcPr>
          <w:p w14:paraId="20F9D3AA">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val="en-US" w:eastAsia="zh-CN"/>
              </w:rPr>
            </w:pPr>
            <w:r>
              <w:rPr>
                <w:rFonts w:hint="eastAsia" w:ascii="Times New Roman" w:hAnsi="Times New Roman" w:cs="Times New Roman" w:eastAsiaTheme="minorEastAsia"/>
                <w:sz w:val="20"/>
                <w:szCs w:val="20"/>
                <w:highlight w:val="none"/>
                <w:lang w:val="en-US" w:eastAsia="zh-CN"/>
              </w:rPr>
              <w:t>Yes, value TBD</w:t>
            </w:r>
          </w:p>
        </w:tc>
      </w:tr>
      <w:tr w14:paraId="0AF4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405" w:type="dxa"/>
            <w:vAlign w:val="center"/>
          </w:tcPr>
          <w:p w14:paraId="65D1C4FB">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color w:val="000000" w:themeColor="text1"/>
                <w:sz w:val="20"/>
                <w:szCs w:val="20"/>
                <w:lang w:val="en-US"/>
                <w14:textFill>
                  <w14:solidFill>
                    <w14:schemeClr w14:val="tx1"/>
                  </w14:solidFill>
                </w14:textFill>
              </w:rPr>
              <w:t>Frequency error</w:t>
            </w:r>
          </w:p>
        </w:tc>
        <w:tc>
          <w:tcPr>
            <w:tcW w:w="3686" w:type="dxa"/>
          </w:tcPr>
          <w:p w14:paraId="3B7ECFBD">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eastAsia="en-GB"/>
              </w:rPr>
            </w:pPr>
            <w:r>
              <w:rPr>
                <w:rFonts w:hint="default" w:ascii="Times New Roman" w:hAnsi="Times New Roman" w:cs="Times New Roman" w:eastAsiaTheme="minorEastAsia"/>
                <w:sz w:val="20"/>
                <w:szCs w:val="20"/>
                <w:lang w:eastAsia="zh-CN"/>
              </w:rPr>
              <w:t>YES</w:t>
            </w:r>
          </w:p>
        </w:tc>
      </w:tr>
      <w:tr w14:paraId="4D29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405" w:type="dxa"/>
            <w:vAlign w:val="center"/>
          </w:tcPr>
          <w:p w14:paraId="5ACCF102">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color w:val="000000" w:themeColor="text1"/>
                <w:sz w:val="20"/>
                <w:szCs w:val="20"/>
                <w:lang w:val="en-US"/>
                <w14:textFill>
                  <w14:solidFill>
                    <w14:schemeClr w14:val="tx1"/>
                  </w14:solidFill>
                </w14:textFill>
              </w:rPr>
              <w:t>Phase noise</w:t>
            </w:r>
          </w:p>
        </w:tc>
        <w:tc>
          <w:tcPr>
            <w:tcW w:w="3686" w:type="dxa"/>
          </w:tcPr>
          <w:p w14:paraId="0346C614">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eastAsiaTheme="minorEastAsia"/>
                <w:sz w:val="20"/>
                <w:szCs w:val="20"/>
                <w:highlight w:val="none"/>
                <w:lang w:eastAsia="zh-CN"/>
              </w:rPr>
              <w:t>TBD for outside topology</w:t>
            </w:r>
          </w:p>
        </w:tc>
      </w:tr>
      <w:tr w14:paraId="7A8E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2405" w:type="dxa"/>
            <w:vAlign w:val="center"/>
          </w:tcPr>
          <w:p w14:paraId="4F08C1B8">
            <w:pPr>
              <w:overflowPunct w:val="0"/>
              <w:autoSpaceDE w:val="0"/>
              <w:autoSpaceDN w:val="0"/>
              <w:adjustRightInd w:val="0"/>
              <w:spacing w:before="120" w:line="280" w:lineRule="atLeast"/>
              <w:textAlignment w:val="baseline"/>
              <w:rPr>
                <w:rFonts w:hint="default" w:ascii="Times New Roman" w:hAnsi="Times New Roman" w:eastAsia="Yu Mincho" w:cs="Times New Roman"/>
                <w:color w:val="000000" w:themeColor="text1"/>
                <w:sz w:val="20"/>
                <w:szCs w:val="20"/>
                <w:lang w:val="en-US"/>
                <w14:textFill>
                  <w14:solidFill>
                    <w14:schemeClr w14:val="tx1"/>
                  </w14:solidFill>
                </w14:textFill>
              </w:rPr>
            </w:pPr>
            <w:r>
              <w:rPr>
                <w:rFonts w:hint="default" w:ascii="Times New Roman" w:hAnsi="Times New Roman" w:eastAsia="Yu Mincho" w:cs="Times New Roman"/>
                <w:color w:val="000000" w:themeColor="text1"/>
                <w:sz w:val="20"/>
                <w:szCs w:val="20"/>
                <w:lang w:val="en-US"/>
                <w14:textFill>
                  <w14:solidFill>
                    <w14:schemeClr w14:val="tx1"/>
                  </w14:solidFill>
                </w14:textFill>
              </w:rPr>
              <w:t>Unwanted emission</w:t>
            </w:r>
          </w:p>
        </w:tc>
        <w:tc>
          <w:tcPr>
            <w:tcW w:w="3686" w:type="dxa"/>
          </w:tcPr>
          <w:p w14:paraId="1DFC7E85">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YES</w:t>
            </w:r>
          </w:p>
        </w:tc>
      </w:tr>
      <w:tr w14:paraId="50A8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2405" w:type="dxa"/>
          </w:tcPr>
          <w:p w14:paraId="48583891">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color w:val="000000" w:themeColor="text1"/>
                <w:sz w:val="20"/>
                <w:szCs w:val="20"/>
                <w:lang w:val="en-US"/>
                <w14:textFill>
                  <w14:solidFill>
                    <w14:schemeClr w14:val="tx1"/>
                  </w14:solidFill>
                </w14:textFill>
              </w:rPr>
              <w:t>Spurious emissions</w:t>
            </w:r>
          </w:p>
        </w:tc>
        <w:tc>
          <w:tcPr>
            <w:tcW w:w="3686" w:type="dxa"/>
          </w:tcPr>
          <w:p w14:paraId="7B7EF5CD">
            <w:pPr>
              <w:overflowPunct w:val="0"/>
              <w:autoSpaceDE w:val="0"/>
              <w:autoSpaceDN w:val="0"/>
              <w:adjustRightInd w:val="0"/>
              <w:spacing w:before="120" w:line="280" w:lineRule="atLeast"/>
              <w:textAlignment w:val="baseline"/>
              <w:rPr>
                <w:rFonts w:hint="default" w:ascii="Times New Roman" w:hAnsi="Times New Roman" w:eastAsia="Yu Mincho" w:cs="Times New Roman"/>
                <w:sz w:val="20"/>
                <w:szCs w:val="20"/>
                <w:lang w:eastAsia="en-GB"/>
              </w:rPr>
            </w:pPr>
            <w:r>
              <w:rPr>
                <w:rFonts w:hint="default" w:ascii="Times New Roman" w:hAnsi="Times New Roman" w:cs="Times New Roman" w:eastAsiaTheme="minorEastAsia"/>
                <w:sz w:val="20"/>
                <w:szCs w:val="20"/>
                <w:lang w:eastAsia="zh-CN"/>
              </w:rPr>
              <w:t>YES</w:t>
            </w:r>
          </w:p>
        </w:tc>
      </w:tr>
      <w:tr w14:paraId="4911A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5" w:type="dxa"/>
          </w:tcPr>
          <w:p w14:paraId="75B0FF1B">
            <w:pPr>
              <w:overflowPunct w:val="0"/>
              <w:autoSpaceDE w:val="0"/>
              <w:autoSpaceDN w:val="0"/>
              <w:adjustRightInd w:val="0"/>
              <w:spacing w:before="120" w:line="280" w:lineRule="atLeast"/>
              <w:textAlignment w:val="baseline"/>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pPr>
            <w:r>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t>Intermodulation</w:t>
            </w:r>
          </w:p>
        </w:tc>
        <w:tc>
          <w:tcPr>
            <w:tcW w:w="3686" w:type="dxa"/>
          </w:tcPr>
          <w:p w14:paraId="22379311">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eastAsia="zh-CN"/>
              </w:rPr>
            </w:pPr>
            <w:r>
              <w:rPr>
                <w:rFonts w:hint="default" w:ascii="Times New Roman" w:hAnsi="Times New Roman" w:cs="Times New Roman" w:eastAsiaTheme="minorEastAsia"/>
                <w:sz w:val="20"/>
                <w:szCs w:val="20"/>
                <w:highlight w:val="none"/>
                <w:lang w:eastAsia="zh-CN"/>
              </w:rPr>
              <w:t>TBD</w:t>
            </w:r>
          </w:p>
        </w:tc>
      </w:tr>
      <w:tr w14:paraId="02A8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05" w:type="dxa"/>
          </w:tcPr>
          <w:p w14:paraId="04BFCF83">
            <w:pPr>
              <w:overflowPunct w:val="0"/>
              <w:autoSpaceDE w:val="0"/>
              <w:autoSpaceDN w:val="0"/>
              <w:adjustRightInd w:val="0"/>
              <w:spacing w:before="120" w:line="280" w:lineRule="atLeast"/>
              <w:textAlignment w:val="baseline"/>
              <w:rPr>
                <w:rFonts w:hint="default" w:ascii="Times New Roman" w:hAnsi="Times New Roman" w:cs="Times New Roman" w:eastAsiaTheme="minorEastAsia"/>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color w:val="000000" w:themeColor="text1"/>
                <w:sz w:val="20"/>
                <w:szCs w:val="20"/>
                <w:lang w:val="en-US" w:eastAsia="zh-CN"/>
                <w14:textFill>
                  <w14:solidFill>
                    <w14:schemeClr w14:val="tx1"/>
                  </w14:solidFill>
                </w14:textFill>
              </w:rPr>
              <w:t>others</w:t>
            </w:r>
          </w:p>
        </w:tc>
        <w:tc>
          <w:tcPr>
            <w:tcW w:w="3686" w:type="dxa"/>
          </w:tcPr>
          <w:p w14:paraId="387EEB51">
            <w:pPr>
              <w:overflowPunct w:val="0"/>
              <w:autoSpaceDE w:val="0"/>
              <w:autoSpaceDN w:val="0"/>
              <w:adjustRightInd w:val="0"/>
              <w:spacing w:before="120" w:line="280" w:lineRule="atLeast"/>
              <w:textAlignment w:val="baseline"/>
              <w:rPr>
                <w:rFonts w:hint="default" w:ascii="Times New Roman" w:hAnsi="Times New Roman" w:cs="Times New Roman" w:eastAsiaTheme="minorEastAsia"/>
                <w:sz w:val="20"/>
                <w:szCs w:val="20"/>
                <w:highlight w:val="none"/>
                <w:lang w:val="en-US" w:eastAsia="zh-CN"/>
              </w:rPr>
            </w:pPr>
            <w:r>
              <w:rPr>
                <w:rFonts w:hint="eastAsia" w:ascii="Times New Roman" w:hAnsi="Times New Roman" w:cs="Times New Roman" w:eastAsiaTheme="minorEastAsia"/>
                <w:sz w:val="20"/>
                <w:szCs w:val="20"/>
                <w:highlight w:val="none"/>
                <w:lang w:val="en-US" w:eastAsia="zh-CN"/>
              </w:rPr>
              <w:t>FFS synchronization requirement</w:t>
            </w:r>
          </w:p>
        </w:tc>
      </w:tr>
      <w:bookmarkEnd w:id="4"/>
    </w:tbl>
    <w:p w14:paraId="36A8F3B5">
      <w:pPr>
        <w:rPr>
          <w:rFonts w:hint="default"/>
          <w:lang w:val="en-US" w:eastAsia="zh-CN"/>
        </w:rPr>
      </w:pPr>
    </w:p>
    <w:p w14:paraId="44C7454E">
      <w:pPr>
        <w:numPr>
          <w:ilvl w:val="0"/>
          <w:numId w:val="4"/>
        </w:numPr>
        <w:spacing w:after="180"/>
        <w:jc w:val="left"/>
        <w:rPr>
          <w:rFonts w:ascii="Times New Roman" w:hAnsi="Times New Roman"/>
          <w:sz w:val="20"/>
          <w:szCs w:val="20"/>
        </w:rPr>
      </w:pPr>
      <w:r>
        <w:rPr>
          <w:rFonts w:hint="eastAsia" w:ascii="Times New Roman" w:hAnsi="Times New Roman"/>
          <w:sz w:val="20"/>
          <w:szCs w:val="20"/>
          <w:lang w:val="en-US" w:eastAsia="zh-CN"/>
        </w:rPr>
        <w:t>OFF power</w:t>
      </w:r>
      <w:r>
        <w:rPr>
          <w:rFonts w:hint="eastAsia" w:ascii="Times New Roman" w:hAnsi="Times New Roman"/>
          <w:sz w:val="20"/>
          <w:szCs w:val="20"/>
        </w:rPr>
        <w:t xml:space="preserve"> requirements</w:t>
      </w:r>
    </w:p>
    <w:p w14:paraId="789CC206">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OFF power requirements is still FSS in last meeting. Current scope only contains the HD FDD operation between R2D and CW2D/D2R, CW is OFF when reader is transmitting. One motivation of OFF power is to avoid the interference from closed CW to device receiver. The proponent view of OFF requirements is that the OFF power will influence the noise floor at device side especially when many CW nodes are deployed in the same room. But usually the received SNR at device side is much higher because link budget is the bottleneck. The impact of OFF power at device side is small. Therefore, the UE OFF requirements of -50dBm is enough. One another issue is the measurement bandwidth. In theory, it is equal to CW bandwidth, if there is no such requirement, we can reuse the transmission bandwidth as R2D.</w:t>
      </w:r>
    </w:p>
    <w:p w14:paraId="065AE00D">
      <w:pPr>
        <w:spacing w:after="180"/>
        <w:jc w:val="left"/>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Proposal 1: OFF power is suggested as -50dBm, the measurement bandwidth could equals to CW bandwidth if it is defined, otherwise, equals to R2D transmission bandwidth. </w:t>
      </w:r>
      <w:r>
        <w:rPr>
          <w:rFonts w:hint="eastAsia" w:ascii="Times New Roman" w:hAnsi="Times New Roman"/>
          <w:b w:val="0"/>
          <w:bCs w:val="0"/>
          <w:sz w:val="20"/>
          <w:szCs w:val="20"/>
          <w:lang w:val="en-US" w:eastAsia="zh-CN"/>
        </w:rPr>
        <w:t xml:space="preserve"> </w:t>
      </w:r>
    </w:p>
    <w:p w14:paraId="3B3B5FBD">
      <w:pPr>
        <w:numPr>
          <w:ilvl w:val="0"/>
          <w:numId w:val="4"/>
        </w:numPr>
        <w:spacing w:after="18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Phase noise for outside topology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B88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3226F53">
            <w:pPr>
              <w:pStyle w:val="4"/>
              <w:numPr>
                <w:ilvl w:val="0"/>
                <w:numId w:val="0"/>
              </w:numPr>
              <w:ind w:left="720" w:hanging="720"/>
              <w:jc w:val="both"/>
              <w:rPr>
                <w:rFonts w:hint="default" w:ascii="Times New Roman" w:hAnsi="Times New Roman" w:cs="Times New Roman"/>
                <w:sz w:val="20"/>
                <w:szCs w:val="20"/>
                <w:highlight w:val="none"/>
                <w:u w:val="single"/>
              </w:rPr>
            </w:pPr>
            <w:r>
              <w:rPr>
                <w:rFonts w:hint="default" w:ascii="Times New Roman" w:hAnsi="Times New Roman" w:cs="Times New Roman"/>
                <w:sz w:val="20"/>
                <w:szCs w:val="20"/>
                <w:highlight w:val="none"/>
                <w:u w:val="single"/>
              </w:rPr>
              <w:t>Issue 3-4</w:t>
            </w:r>
            <w:r>
              <w:rPr>
                <w:rFonts w:hint="default" w:ascii="Times New Roman" w:hAnsi="Times New Roman" w:cs="Times New Roman"/>
                <w:sz w:val="20"/>
                <w:szCs w:val="20"/>
                <w:highlight w:val="none"/>
                <w:u w:val="single"/>
                <w:lang w:val="en-US"/>
              </w:rPr>
              <w:t xml:space="preserve">: </w:t>
            </w:r>
            <w:r>
              <w:rPr>
                <w:rFonts w:hint="default" w:ascii="Times New Roman" w:hAnsi="Times New Roman" w:cs="Times New Roman"/>
                <w:sz w:val="20"/>
                <w:szCs w:val="20"/>
                <w:highlight w:val="none"/>
                <w:u w:val="single"/>
              </w:rPr>
              <w:t xml:space="preserve">Phase noise </w:t>
            </w:r>
          </w:p>
          <w:p w14:paraId="0EA74AC8">
            <w:pPr>
              <w:pStyle w:val="25"/>
              <w:numPr>
                <w:ilvl w:val="0"/>
                <w:numId w:val="5"/>
              </w:numPr>
              <w:overflowPunct/>
              <w:autoSpaceDE/>
              <w:autoSpaceDN/>
              <w:adjustRightInd/>
              <w:spacing w:before="120" w:after="120" w:line="280" w:lineRule="atLeast"/>
              <w:ind w:left="720" w:firstLineChars="0"/>
              <w:textAlignment w:val="auto"/>
              <w:rPr>
                <w:rFonts w:hint="default" w:ascii="Times New Roman" w:hAnsi="Times New Roman" w:eastAsia="宋体" w:cs="Times New Roman"/>
                <w:sz w:val="20"/>
                <w:szCs w:val="20"/>
                <w:highlight w:val="none"/>
                <w:u w:val="single"/>
                <w:lang w:eastAsia="zh-CN"/>
              </w:rPr>
            </w:pPr>
            <w:r>
              <w:rPr>
                <w:rFonts w:hint="default" w:ascii="Times New Roman" w:hAnsi="Times New Roman" w:eastAsia="宋体" w:cs="Times New Roman"/>
                <w:sz w:val="20"/>
                <w:szCs w:val="20"/>
                <w:highlight w:val="none"/>
                <w:u w:val="single"/>
                <w:lang w:eastAsia="zh-CN"/>
              </w:rPr>
              <w:t>Agreement:</w:t>
            </w:r>
          </w:p>
          <w:p w14:paraId="129A6920">
            <w:pPr>
              <w:pStyle w:val="25"/>
              <w:numPr>
                <w:ilvl w:val="1"/>
                <w:numId w:val="5"/>
              </w:numPr>
              <w:spacing w:before="120" w:line="280" w:lineRule="atLeast"/>
              <w:ind w:firstLineChars="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FFS on whether to define phase noise requirements or leave to implementation in Rel-19 WI.</w:t>
            </w:r>
          </w:p>
          <w:p w14:paraId="15A05CD6">
            <w:pPr>
              <w:pStyle w:val="25"/>
              <w:numPr>
                <w:ilvl w:val="1"/>
                <w:numId w:val="5"/>
              </w:numPr>
              <w:spacing w:before="120" w:line="280" w:lineRule="atLeast"/>
              <w:ind w:firstLineChars="0"/>
              <w:rPr>
                <w:rFonts w:hint="default" w:ascii="Times New Roman" w:hAnsi="Times New Roman" w:cs="Times New Roman"/>
                <w:sz w:val="20"/>
                <w:szCs w:val="20"/>
                <w:highlight w:val="none"/>
                <w:vertAlign w:val="baseline"/>
              </w:rPr>
            </w:pPr>
            <w:r>
              <w:rPr>
                <w:rFonts w:hint="default" w:ascii="Times New Roman" w:hAnsi="Times New Roman" w:cs="Times New Roman"/>
                <w:sz w:val="20"/>
                <w:szCs w:val="20"/>
                <w:highlight w:val="none"/>
              </w:rPr>
              <w:t>Encourage companies provide phase noise profile</w:t>
            </w:r>
          </w:p>
        </w:tc>
      </w:tr>
    </w:tbl>
    <w:p w14:paraId="16129317">
      <w:pPr>
        <w:numPr>
          <w:ilvl w:val="0"/>
          <w:numId w:val="0"/>
        </w:numPr>
        <w:spacing w:after="180"/>
        <w:ind w:leftChars="0"/>
        <w:jc w:val="left"/>
        <w:rPr>
          <w:rFonts w:ascii="Times New Roman" w:hAnsi="Times New Roman"/>
          <w:sz w:val="20"/>
          <w:szCs w:val="20"/>
          <w:highlight w:val="none"/>
        </w:rPr>
      </w:pPr>
    </w:p>
    <w:p w14:paraId="38E27297">
      <w:pPr>
        <w:numPr>
          <w:ilvl w:val="0"/>
          <w:numId w:val="0"/>
        </w:numPr>
        <w:spacing w:after="180"/>
        <w:ind w:leftChars="0"/>
        <w:jc w:val="left"/>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During pervious discussion, the impact of phase noise include following three aspects. It</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s noted all of following aspects could be implicitly reflected into other RF requirements. Besides, usually CW node and reader node belongs to the same vendor, we can only focus on the final receiver performance at reader side and leave phase noise performance for implementation. Even if phase noise at CW side is worse, there are a set of solutions to reduce the impact at reader side, e.g. using spatial filter or connecting CW and reader with cable to cancal CW. No need to explicitly define phase noise for CW.</w:t>
      </w:r>
    </w:p>
    <w:p w14:paraId="306BC59D">
      <w:pPr>
        <w:numPr>
          <w:ilvl w:val="0"/>
          <w:numId w:val="6"/>
        </w:numPr>
        <w:spacing w:after="180"/>
        <w:ind w:left="420" w:leftChars="0" w:hanging="420" w:firstLineChars="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 xml:space="preserve">the SNR degradation at reader receiver side: </w:t>
      </w:r>
      <w:r>
        <w:rPr>
          <w:rFonts w:hint="eastAsia" w:ascii="Times New Roman" w:hAnsi="Times New Roman"/>
          <w:b w:val="0"/>
          <w:bCs w:val="0"/>
          <w:sz w:val="20"/>
          <w:szCs w:val="20"/>
          <w:highlight w:val="none"/>
          <w:lang w:val="en-US" w:eastAsia="zh-CN"/>
        </w:rPr>
        <w:t>SI analysis show phase noise could be mitigated through calibration mechanism for inside topology. For outside topology, this depends on how to perform self-interference cancellation scheme. If there is accurate CW signal characteristics, phase noise could be accuratly cancelled at reader side. otherwise, the phase noise may be hard to be canceled and may enlarge the received noise at reader side, leading to bad receiver performance. But anyway this phase noise can be implicitly reflected into REFSENSE requirement with sensitivity degradation part. No need for explictly phase noise definition.</w:t>
      </w:r>
      <w:r>
        <w:rPr>
          <w:rFonts w:hint="eastAsia" w:ascii="Times New Roman" w:hAnsi="Times New Roman"/>
          <w:sz w:val="20"/>
          <w:szCs w:val="20"/>
          <w:highlight w:val="none"/>
          <w:lang w:val="en-US" w:eastAsia="zh-CN"/>
        </w:rPr>
        <w:t xml:space="preserve">  </w:t>
      </w:r>
    </w:p>
    <w:p w14:paraId="393946BF">
      <w:pPr>
        <w:numPr>
          <w:ilvl w:val="0"/>
          <w:numId w:val="6"/>
        </w:numPr>
        <w:spacing w:after="180"/>
        <w:ind w:left="420" w:leftChars="0" w:hanging="420" w:firstLineChars="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CW Tx unwanted emission: compared with phase noise, it seems harmonic of CW is the bottleneck to meet Tx unwanted emission requirement. So, no need for explicit phase noise definition.</w:t>
      </w:r>
    </w:p>
    <w:p w14:paraId="077784F4">
      <w:pPr>
        <w:numPr>
          <w:ilvl w:val="0"/>
          <w:numId w:val="6"/>
        </w:numPr>
        <w:spacing w:after="180"/>
        <w:ind w:left="420" w:leftChars="0" w:hanging="420" w:firstLineChars="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device Tx signal quality, for example, CW phase noise will impact device</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s final EVM performance. Now there is no enough analysis of CW phase noise</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s impact on time-domain signal quality. But anyway phase noise would be implicitly reflected into device Tx signal quality, no need for explicit phase noise definition. </w:t>
      </w:r>
    </w:p>
    <w:p w14:paraId="1BFE37AC">
      <w:pPr>
        <w:numPr>
          <w:ilvl w:val="0"/>
          <w:numId w:val="0"/>
        </w:numPr>
        <w:spacing w:after="180"/>
        <w:ind w:leftChars="0"/>
        <w:jc w:val="left"/>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US" w:eastAsia="zh-CN"/>
        </w:rPr>
        <w:t xml:space="preserve">Besides, some companies propose[2] that </w:t>
      </w:r>
      <w:r>
        <w:rPr>
          <w:rFonts w:ascii="Times New Roman" w:hAnsi="Times New Roman" w:cs="Times New Roman"/>
        </w:rPr>
        <w:t>dedicated</w:t>
      </w:r>
      <w:r>
        <w:rPr>
          <w:rFonts w:hint="eastAsia" w:ascii="Times New Roman" w:hAnsi="Times New Roman" w:cs="Times New Roman"/>
        </w:rPr>
        <w:t xml:space="preserve"> requirement is needed which can provide guidance on the minimum small frequency shift</w:t>
      </w:r>
      <w:r>
        <w:rPr>
          <w:rFonts w:hint="eastAsia" w:ascii="Times New Roman" w:hAnsi="Times New Roman" w:cs="Times New Roman"/>
          <w:lang w:val="en-US" w:eastAsia="zh-CN"/>
        </w:rPr>
        <w:t>. But RAN4 will only define the worst not the typical phase noise. Only the typical phase noise would provide guidance on the minimum small frequency shift rather than the worst. So no need for explicitly definition for phase noise of CW.</w:t>
      </w:r>
    </w:p>
    <w:p w14:paraId="1998109D">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 no need for explicit definition of phase noise at CW side but using real CW signal into final reader REFSENSE testing.</w:t>
      </w:r>
    </w:p>
    <w:p w14:paraId="19278657">
      <w:pPr>
        <w:numPr>
          <w:ilvl w:val="0"/>
          <w:numId w:val="7"/>
        </w:numPr>
        <w:spacing w:after="180"/>
        <w:jc w:val="left"/>
        <w:rPr>
          <w:rFonts w:ascii="Times New Roman" w:hAnsi="Times New Roman"/>
          <w:sz w:val="20"/>
          <w:szCs w:val="20"/>
        </w:rPr>
      </w:pPr>
      <w:r>
        <w:rPr>
          <w:rFonts w:hint="eastAsia" w:ascii="Times New Roman" w:hAnsi="Times New Roman"/>
          <w:sz w:val="20"/>
          <w:szCs w:val="20"/>
        </w:rPr>
        <w:t>Unwanted emission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B640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7D77BD77">
            <w:pPr>
              <w:spacing w:before="120" w:after="180" w:line="280" w:lineRule="atLeast"/>
              <w:jc w:val="lef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FFS on unwanted emission boundary and corresponding values</w:t>
            </w:r>
          </w:p>
        </w:tc>
      </w:tr>
    </w:tbl>
    <w:p w14:paraId="23CADF2A">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the doundary of unwanted emisison requirements, we suggestet to use D2R channel bandwidth edge as boundary. Usually the CW node and reader node would belongs to the same vendor to help cancel CW interference at reader side. No need for explicit unwanted emission inside the D2R bandwidth which will be implicitly reflected into reader REFSENS</w:t>
      </w:r>
      <w:r>
        <w:rPr>
          <w:rFonts w:hint="eastAsia" w:ascii="Times New Roman" w:hAnsi="Times New Roman"/>
          <w:b w:val="0"/>
          <w:bCs w:val="0"/>
          <w:sz w:val="20"/>
          <w:szCs w:val="20"/>
          <w:highlight w:val="none"/>
          <w:lang w:val="en-US" w:eastAsia="zh-CN"/>
        </w:rPr>
        <w:t>E definition. Based on the discussion of device CBW, there may be many candidate CBW values due to defferent combinations of device date rate, R factor.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no need to defing such complex CW requirements depending on variable device CBW. To avoid interference to other system, we can only consider device</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minimum CBW case.</w:t>
      </w:r>
    </w:p>
    <w:p w14:paraId="186CA884">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use minimum D2R CBW as the boundary for CW unwanted emission requirements.</w:t>
      </w:r>
    </w:p>
    <w:p w14:paraId="503B9748">
      <w:pPr>
        <w:spacing w:after="18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As for the value of unwanted emisison requirements, CW has narrow signal bandwidth. In theory, it could have better unwanted emission requirements. NR BS unwanted emission requirement could be referred as baseline. </w:t>
      </w:r>
    </w:p>
    <w:p w14:paraId="7DB0A7DC">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use NR BS unwanted emission requirements as baseline for CW.</w:t>
      </w:r>
    </w:p>
    <w:p w14:paraId="130C0277">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As for spurious emisison, this requirement is mainly used to aovide interference from other systems, the same value as legacy NR system is suggested. For the boundary,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use the boundary as band n8 NR system.</w:t>
      </w:r>
    </w:p>
    <w:p w14:paraId="21CF29BE">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5: the same spurious boundary and value as NR BS applies for A-IoT CW.</w:t>
      </w:r>
    </w:p>
    <w:p w14:paraId="620113F3">
      <w:pPr>
        <w:numPr>
          <w:ilvl w:val="0"/>
          <w:numId w:val="7"/>
        </w:numPr>
        <w:spacing w:after="180"/>
        <w:jc w:val="left"/>
        <w:rPr>
          <w:rFonts w:ascii="Times New Roman" w:hAnsi="Times New Roman"/>
          <w:sz w:val="20"/>
          <w:szCs w:val="20"/>
        </w:rPr>
      </w:pPr>
      <w:r>
        <w:rPr>
          <w:rFonts w:hint="eastAsia" w:ascii="Times New Roman" w:hAnsi="Times New Roman"/>
          <w:sz w:val="20"/>
          <w:szCs w:val="20"/>
          <w:lang w:val="en-US" w:eastAsia="zh-CN"/>
        </w:rPr>
        <w:t>intermodulation</w:t>
      </w:r>
    </w:p>
    <w:p w14:paraId="0AC21FB7">
      <w:pPr>
        <w:spacing w:after="18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In last meeting, some companies suggest to discuss the co-located scenario at first since current Tx intermodulation requirement is defined for co-located case. For the outside topology, to avoid the interference from CW to reader receiver, the common assumption is CW distant from reader. Besides, Currently CW colocated with other indoor reader is also outside of the scope since the scope assume no indoor 900MHz BS and UE. </w:t>
      </w:r>
    </w:p>
    <w:p w14:paraId="6EDF7B5D">
      <w:pPr>
        <w:spacing w:after="180"/>
        <w:jc w:val="left"/>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Observation 1: the CW node will not be co-located with other BS or reader according to current scope. </w:t>
      </w:r>
      <w:r>
        <w:rPr>
          <w:rFonts w:hint="eastAsia" w:ascii="Times New Roman" w:hAnsi="Times New Roman"/>
          <w:b w:val="0"/>
          <w:bCs w:val="0"/>
          <w:sz w:val="20"/>
          <w:szCs w:val="20"/>
          <w:lang w:val="en-US" w:eastAsia="zh-CN"/>
        </w:rPr>
        <w:t xml:space="preserve"> </w:t>
      </w:r>
    </w:p>
    <w:p w14:paraId="1616771D">
      <w:pPr>
        <w:numPr>
          <w:ilvl w:val="0"/>
          <w:numId w:val="7"/>
        </w:numPr>
        <w:spacing w:after="180"/>
        <w:ind w:left="420" w:leftChars="0" w:hanging="420" w:firstLineChars="0"/>
        <w:jc w:val="left"/>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Others</w:t>
      </w:r>
    </w:p>
    <w:p w14:paraId="48AE63FC">
      <w:pPr>
        <w:numPr>
          <w:ilvl w:val="0"/>
          <w:numId w:val="0"/>
        </w:numPr>
        <w:spacing w:after="180"/>
        <w:ind w:leftChars="0"/>
        <w:jc w:val="left"/>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Transient period and synchronization requirements are proposed by some companies in previous meeting since CW and reader transmission are HD-FDD operation. Following list RAN1 agreements about the device transmit-to-receive time duration and device receive-to-transmit time duration. Although there is no agreements but according to common understanding and requirements from RFID, such time duration would be much larger than 10us. Therefore, it seems CW transient period is not necessary. As for synchronization requirement, such requirement seems still necessary to avoid CW start/end too early or late. </w:t>
      </w:r>
    </w:p>
    <w:p w14:paraId="5A9AB615">
      <w:pPr>
        <w:numPr>
          <w:ilvl w:val="0"/>
          <w:numId w:val="0"/>
        </w:numPr>
        <w:spacing w:after="180"/>
        <w:ind w:leftChars="0"/>
        <w:jc w:val="left"/>
        <w:rPr>
          <w:rFonts w:hint="default" w:ascii="Times New Roman" w:hAnsi="Times New Roman"/>
          <w:b w:val="0"/>
          <w:bCs w:val="0"/>
          <w:sz w:val="20"/>
          <w:szCs w:val="20"/>
          <w:lang w:val="en-US" w:eastAsia="zh-CN"/>
        </w:rPr>
      </w:pPr>
      <w:r>
        <w:rPr>
          <w:rFonts w:hint="default" w:ascii="Times New Roman" w:hAnsi="Times New Roman"/>
          <w:b w:val="0"/>
          <w:bCs w:val="0"/>
          <w:sz w:val="20"/>
          <w:szCs w:val="20"/>
          <w:lang w:val="en-US" w:eastAsia="zh-CN"/>
        </w:rPr>
        <w:drawing>
          <wp:inline distT="0" distB="0" distL="114300" distR="114300">
            <wp:extent cx="6185535" cy="3524250"/>
            <wp:effectExtent l="0" t="0" r="12065" b="6350"/>
            <wp:docPr id="1" name="图片 1" descr="1745308347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5308347722"/>
                    <pic:cNvPicPr>
                      <a:picLocks noChangeAspect="1"/>
                    </pic:cNvPicPr>
                  </pic:nvPicPr>
                  <pic:blipFill>
                    <a:blip r:embed="rId5"/>
                    <a:stretch>
                      <a:fillRect/>
                    </a:stretch>
                  </pic:blipFill>
                  <pic:spPr>
                    <a:xfrm>
                      <a:off x="0" y="0"/>
                      <a:ext cx="6185535" cy="3524250"/>
                    </a:xfrm>
                    <a:prstGeom prst="rect">
                      <a:avLst/>
                    </a:prstGeom>
                  </pic:spPr>
                </pic:pic>
              </a:graphicData>
            </a:graphic>
          </wp:inline>
        </w:drawing>
      </w:r>
    </w:p>
    <w:p w14:paraId="21D2FCF4">
      <w:pPr>
        <w:numPr>
          <w:ilvl w:val="0"/>
          <w:numId w:val="0"/>
        </w:numPr>
        <w:spacing w:after="180"/>
        <w:ind w:leftChars="0"/>
        <w:jc w:val="left"/>
        <w:rPr>
          <w:rFonts w:hint="default" w:ascii="Times New Roman" w:hAnsi="Times New Roman"/>
          <w:b w:val="0"/>
          <w:bCs w:val="0"/>
          <w:sz w:val="20"/>
          <w:szCs w:val="20"/>
          <w:lang w:val="en-US" w:eastAsia="zh-CN"/>
        </w:rPr>
      </w:pPr>
      <w:r>
        <w:rPr>
          <w:rFonts w:hint="eastAsia" w:ascii="Times New Roman" w:hAnsi="Times New Roman"/>
          <w:b/>
          <w:bCs/>
          <w:sz w:val="20"/>
          <w:szCs w:val="20"/>
          <w:lang w:val="en-US" w:eastAsia="zh-CN"/>
        </w:rPr>
        <w:t xml:space="preserve">Proposal 6: transient period requirement is not needed but synchronization requirement is needed. </w:t>
      </w:r>
      <w:r>
        <w:rPr>
          <w:rFonts w:hint="eastAsia" w:ascii="Times New Roman" w:hAnsi="Times New Roman"/>
          <w:b w:val="0"/>
          <w:bCs w:val="0"/>
          <w:sz w:val="20"/>
          <w:szCs w:val="20"/>
          <w:lang w:val="en-US" w:eastAsia="zh-CN"/>
        </w:rPr>
        <w:t xml:space="preserve">  </w:t>
      </w:r>
    </w:p>
    <w:p w14:paraId="556E42AC">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14:paraId="0200B560">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RF requirements for gNB like reader are discussed with following observations and proposals.</w:t>
      </w:r>
    </w:p>
    <w:p w14:paraId="7ECCF7AD">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1: OFF power is suggested as -50dBm, the measurement bandwidth could equals to CW bandwidth if it is defined, otherwise, equals to R2D transmission bandwidth. </w:t>
      </w:r>
    </w:p>
    <w:p w14:paraId="472F8217">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 no need for explicit definition of phase noise at CW side but using real CW signal into final reader REFSENSE testing.</w:t>
      </w:r>
    </w:p>
    <w:p w14:paraId="586F8CB5">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3: use minimum D2R CBW as the boundary for CW unwanted emission requirements.</w:t>
      </w:r>
    </w:p>
    <w:p w14:paraId="3C474FA2">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4: use NR BS unwanted emission requirements as baseline for CW.</w:t>
      </w:r>
    </w:p>
    <w:p w14:paraId="0E462CA7">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5: the same spurious boundary and value as NR BS applies for A-IoT CW.</w:t>
      </w:r>
    </w:p>
    <w:p w14:paraId="24A3C1E6">
      <w:pPr>
        <w:spacing w:after="180"/>
        <w:jc w:val="left"/>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1: the CW node will not be co-located with other BS or reader according to current scope.</w:t>
      </w:r>
    </w:p>
    <w:p w14:paraId="60E37823">
      <w:pPr>
        <w:spacing w:after="180"/>
        <w:jc w:val="left"/>
        <w:rPr>
          <w:rFonts w:ascii="Times New Roman" w:hAnsi="Times New Roman"/>
          <w:b/>
          <w:bCs/>
          <w:sz w:val="20"/>
          <w:szCs w:val="20"/>
        </w:rPr>
      </w:pPr>
      <w:r>
        <w:rPr>
          <w:rFonts w:hint="eastAsia" w:ascii="Times New Roman" w:hAnsi="Times New Roman"/>
          <w:b/>
          <w:bCs/>
          <w:sz w:val="20"/>
          <w:szCs w:val="20"/>
          <w:lang w:val="en-US" w:eastAsia="zh-CN"/>
        </w:rPr>
        <w:t xml:space="preserve">Proposal 6: transient period requirement is not needed but synchronization requirement is needed. </w:t>
      </w:r>
      <w:r>
        <w:rPr>
          <w:rFonts w:hint="eastAsia" w:ascii="Times New Roman" w:hAnsi="Times New Roman"/>
          <w:b w:val="0"/>
          <w:bCs w:val="0"/>
          <w:sz w:val="20"/>
          <w:szCs w:val="20"/>
          <w:lang w:val="en-US" w:eastAsia="zh-CN"/>
        </w:rPr>
        <w:t xml:space="preserve"> </w:t>
      </w:r>
    </w:p>
    <w:p w14:paraId="75281A2F">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14:paraId="4C12623B">
      <w:pPr>
        <w:pStyle w:val="65"/>
        <w:numPr>
          <w:ilvl w:val="0"/>
          <w:numId w:val="8"/>
        </w:numPr>
      </w:pPr>
      <w:bookmarkStart w:id="5" w:name="OLE_LINK16"/>
      <w:bookmarkStart w:id="6" w:name="_Ref387394383"/>
      <w:bookmarkStart w:id="7" w:name="_Ref457225889"/>
      <w:bookmarkStart w:id="8" w:name="OLE_LINK1"/>
      <w:bookmarkStart w:id="9" w:name="_Hlk189663556"/>
      <w:r>
        <w:t>RP-2</w:t>
      </w:r>
      <w:r>
        <w:rPr>
          <w:rFonts w:hint="eastAsia" w:eastAsiaTheme="minorEastAsia"/>
          <w:lang w:eastAsia="zh-CN"/>
        </w:rPr>
        <w:t>43326</w:t>
      </w:r>
      <w:bookmarkEnd w:id="5"/>
      <w:r>
        <w:t xml:space="preserve">, “New </w:t>
      </w:r>
      <w:r>
        <w:rPr>
          <w:rFonts w:hint="eastAsia" w:eastAsiaTheme="minorEastAsia"/>
          <w:lang w:eastAsia="zh-CN"/>
        </w:rPr>
        <w:t>Work Item</w:t>
      </w:r>
      <w:r>
        <w:t>:</w:t>
      </w:r>
      <w:r>
        <w:rPr>
          <w:rFonts w:hint="eastAsia" w:eastAsiaTheme="minorEastAsia"/>
          <w:lang w:eastAsia="zh-CN"/>
        </w:rPr>
        <w:t xml:space="preserve"> S</w:t>
      </w:r>
      <w:r>
        <w:t>olutions for Ambient IoT (Internet of Things) in NR”</w:t>
      </w:r>
      <w:bookmarkEnd w:id="6"/>
      <w:r>
        <w:t xml:space="preserve">, RAN1 Vice-chair (Huawei), </w:t>
      </w:r>
      <w:r>
        <w:rPr>
          <w:rFonts w:hint="eastAsia" w:eastAsiaTheme="minorEastAsia"/>
          <w:lang w:eastAsia="zh-CN"/>
        </w:rPr>
        <w:t>3GPP TSG RAN Meeting #</w:t>
      </w:r>
      <w:r>
        <w:t>10</w:t>
      </w:r>
      <w:r>
        <w:rPr>
          <w:rFonts w:hint="eastAsia" w:eastAsiaTheme="minorEastAsia"/>
          <w:lang w:eastAsia="zh-CN"/>
        </w:rPr>
        <w:t>6</w:t>
      </w:r>
      <w:r>
        <w:t>, Dec. 202</w:t>
      </w:r>
      <w:r>
        <w:rPr>
          <w:rFonts w:hint="eastAsia" w:eastAsiaTheme="minorEastAsia"/>
          <w:lang w:eastAsia="zh-CN"/>
        </w:rPr>
        <w:t>4</w:t>
      </w:r>
      <w:r>
        <w:t>.</w:t>
      </w:r>
      <w:bookmarkEnd w:id="7"/>
    </w:p>
    <w:bookmarkEnd w:id="8"/>
    <w:bookmarkEnd w:id="9"/>
    <w:p w14:paraId="1E81699C">
      <w:pPr>
        <w:numPr>
          <w:ilvl w:val="0"/>
          <w:numId w:val="8"/>
        </w:numPr>
        <w:tabs>
          <w:tab w:val="right" w:pos="10440"/>
          <w:tab w:val="right" w:pos="13323"/>
        </w:tabs>
        <w:jc w:val="left"/>
        <w:rPr>
          <w:rFonts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791D">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B62DD"/>
    <w:multiLevelType w:val="multilevel"/>
    <w:tmpl w:val="8CBB62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
    <w:nsid w:val="B2E8570F"/>
    <w:multiLevelType w:val="singleLevel"/>
    <w:tmpl w:val="B2E8570F"/>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0E30B501"/>
    <w:multiLevelType w:val="singleLevel"/>
    <w:tmpl w:val="0E30B501"/>
    <w:lvl w:ilvl="0" w:tentative="0">
      <w:start w:val="1"/>
      <w:numFmt w:val="bullet"/>
      <w:lvlText w:val=""/>
      <w:lvlJc w:val="left"/>
      <w:pPr>
        <w:ind w:left="420" w:hanging="420"/>
      </w:pPr>
      <w:rPr>
        <w:rFonts w:hint="default" w:ascii="Wingdings" w:hAnsi="Wingdings"/>
      </w:rPr>
    </w:lvl>
  </w:abstractNum>
  <w:abstractNum w:abstractNumId="5">
    <w:nsid w:val="52CA544A"/>
    <w:multiLevelType w:val="singleLevel"/>
    <w:tmpl w:val="52CA544A"/>
    <w:lvl w:ilvl="0" w:tentative="0">
      <w:start w:val="1"/>
      <w:numFmt w:val="decimal"/>
      <w:pStyle w:val="6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6">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3"/>
  </w:num>
  <w:num w:numId="4">
    <w:abstractNumId w:val="0"/>
  </w:num>
  <w:num w:numId="5">
    <w:abstractNumId w:val="6"/>
  </w:num>
  <w:num w:numId="6">
    <w:abstractNumId w:val="1"/>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83C62"/>
    <w:rsid w:val="010B6346"/>
    <w:rsid w:val="012F3F7C"/>
    <w:rsid w:val="017932F1"/>
    <w:rsid w:val="018A0E13"/>
    <w:rsid w:val="01A65CE3"/>
    <w:rsid w:val="01BD0368"/>
    <w:rsid w:val="01DE089D"/>
    <w:rsid w:val="020044B1"/>
    <w:rsid w:val="0203408A"/>
    <w:rsid w:val="020970CA"/>
    <w:rsid w:val="0226460D"/>
    <w:rsid w:val="023B43AB"/>
    <w:rsid w:val="02557FE0"/>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1439C"/>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04454"/>
    <w:rsid w:val="06963DDF"/>
    <w:rsid w:val="06CC0A35"/>
    <w:rsid w:val="07031681"/>
    <w:rsid w:val="07071B14"/>
    <w:rsid w:val="070A3CB8"/>
    <w:rsid w:val="072555DC"/>
    <w:rsid w:val="074B2440"/>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6C26E0"/>
    <w:rsid w:val="086D0162"/>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26"/>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0149DC"/>
    <w:rsid w:val="0C2325D0"/>
    <w:rsid w:val="0C296C83"/>
    <w:rsid w:val="0C5C1421"/>
    <w:rsid w:val="0C691E9F"/>
    <w:rsid w:val="0C8D3125"/>
    <w:rsid w:val="0CD50CD6"/>
    <w:rsid w:val="0CDD41A8"/>
    <w:rsid w:val="0D545798"/>
    <w:rsid w:val="0D5D37FD"/>
    <w:rsid w:val="0D624402"/>
    <w:rsid w:val="0D696CE5"/>
    <w:rsid w:val="0D747B9F"/>
    <w:rsid w:val="0D8F41B3"/>
    <w:rsid w:val="0DB615F5"/>
    <w:rsid w:val="0DB94E10"/>
    <w:rsid w:val="0DD237BC"/>
    <w:rsid w:val="0DD87DD7"/>
    <w:rsid w:val="0DE35C55"/>
    <w:rsid w:val="0E037D57"/>
    <w:rsid w:val="0E1D4B35"/>
    <w:rsid w:val="0E241F41"/>
    <w:rsid w:val="0E2E53D6"/>
    <w:rsid w:val="0E413A70"/>
    <w:rsid w:val="0E5E63A7"/>
    <w:rsid w:val="0E5F68A3"/>
    <w:rsid w:val="0E7813A9"/>
    <w:rsid w:val="0EBC441C"/>
    <w:rsid w:val="0EBD33B9"/>
    <w:rsid w:val="0EBE690E"/>
    <w:rsid w:val="0EC74FCE"/>
    <w:rsid w:val="0F064AB2"/>
    <w:rsid w:val="0F1A117A"/>
    <w:rsid w:val="0F1C3F4D"/>
    <w:rsid w:val="0F442399"/>
    <w:rsid w:val="0F5116AE"/>
    <w:rsid w:val="0F550DD0"/>
    <w:rsid w:val="0F596ABB"/>
    <w:rsid w:val="0F5F09C4"/>
    <w:rsid w:val="0F5F4247"/>
    <w:rsid w:val="0F6273CA"/>
    <w:rsid w:val="0F640675"/>
    <w:rsid w:val="0F7D4B34"/>
    <w:rsid w:val="0FA22032"/>
    <w:rsid w:val="0FBA10DE"/>
    <w:rsid w:val="0FC419ED"/>
    <w:rsid w:val="0FCB3577"/>
    <w:rsid w:val="0FD9288C"/>
    <w:rsid w:val="0FED7687"/>
    <w:rsid w:val="0FEE6FAE"/>
    <w:rsid w:val="0FF20B73"/>
    <w:rsid w:val="10003991"/>
    <w:rsid w:val="100565B7"/>
    <w:rsid w:val="101F3001"/>
    <w:rsid w:val="10254F0A"/>
    <w:rsid w:val="102E361B"/>
    <w:rsid w:val="10337AA3"/>
    <w:rsid w:val="103E1CA5"/>
    <w:rsid w:val="10406DB9"/>
    <w:rsid w:val="1056173B"/>
    <w:rsid w:val="105E6369"/>
    <w:rsid w:val="107A5C99"/>
    <w:rsid w:val="107B7E97"/>
    <w:rsid w:val="10991D9E"/>
    <w:rsid w:val="10994EC9"/>
    <w:rsid w:val="109B53FF"/>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1FF7658"/>
    <w:rsid w:val="12106FE1"/>
    <w:rsid w:val="12213A4B"/>
    <w:rsid w:val="122946DB"/>
    <w:rsid w:val="12312BE4"/>
    <w:rsid w:val="12750F57"/>
    <w:rsid w:val="127647DA"/>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986E94"/>
    <w:rsid w:val="15A85596"/>
    <w:rsid w:val="15CD2FCE"/>
    <w:rsid w:val="15CD7D54"/>
    <w:rsid w:val="15D00CD9"/>
    <w:rsid w:val="15E450B5"/>
    <w:rsid w:val="16371982"/>
    <w:rsid w:val="163D388B"/>
    <w:rsid w:val="16456719"/>
    <w:rsid w:val="16715CAB"/>
    <w:rsid w:val="1683077C"/>
    <w:rsid w:val="168B5B89"/>
    <w:rsid w:val="16C005E1"/>
    <w:rsid w:val="16D51FE2"/>
    <w:rsid w:val="16E06917"/>
    <w:rsid w:val="16FD2BCB"/>
    <w:rsid w:val="170035C9"/>
    <w:rsid w:val="173B7F2B"/>
    <w:rsid w:val="175862BF"/>
    <w:rsid w:val="17912EB8"/>
    <w:rsid w:val="179D67CA"/>
    <w:rsid w:val="17B730F8"/>
    <w:rsid w:val="17C4240D"/>
    <w:rsid w:val="17C46B8A"/>
    <w:rsid w:val="17C65910"/>
    <w:rsid w:val="17C80E13"/>
    <w:rsid w:val="17D6077B"/>
    <w:rsid w:val="17E44EC0"/>
    <w:rsid w:val="17F263D4"/>
    <w:rsid w:val="17F52BDC"/>
    <w:rsid w:val="18033154"/>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9FF5BD3"/>
    <w:rsid w:val="1A0A00C9"/>
    <w:rsid w:val="1A2C607F"/>
    <w:rsid w:val="1A6C1067"/>
    <w:rsid w:val="1A7D000B"/>
    <w:rsid w:val="1A8670A6"/>
    <w:rsid w:val="1A97657B"/>
    <w:rsid w:val="1A9E2B3B"/>
    <w:rsid w:val="1AAE167A"/>
    <w:rsid w:val="1AB02A55"/>
    <w:rsid w:val="1AD47792"/>
    <w:rsid w:val="1AF055BB"/>
    <w:rsid w:val="1AF91F50"/>
    <w:rsid w:val="1AFD11C6"/>
    <w:rsid w:val="1B00542F"/>
    <w:rsid w:val="1B2F42F1"/>
    <w:rsid w:val="1B301DA5"/>
    <w:rsid w:val="1B3F3E40"/>
    <w:rsid w:val="1B52243D"/>
    <w:rsid w:val="1B7C00B3"/>
    <w:rsid w:val="1B7C0EA4"/>
    <w:rsid w:val="1B7D18FB"/>
    <w:rsid w:val="1BB42683"/>
    <w:rsid w:val="1BB75806"/>
    <w:rsid w:val="1BC31618"/>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B246D"/>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A93B44"/>
    <w:rsid w:val="1FD10727"/>
    <w:rsid w:val="1FFB17BC"/>
    <w:rsid w:val="20045E15"/>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62B38"/>
    <w:rsid w:val="228B3B2E"/>
    <w:rsid w:val="22A144DF"/>
    <w:rsid w:val="22AE1A04"/>
    <w:rsid w:val="22CE62A8"/>
    <w:rsid w:val="22E55ECD"/>
    <w:rsid w:val="22E84C54"/>
    <w:rsid w:val="22ED23E8"/>
    <w:rsid w:val="23102595"/>
    <w:rsid w:val="23325FCD"/>
    <w:rsid w:val="235E2230"/>
    <w:rsid w:val="2370600B"/>
    <w:rsid w:val="237B1C44"/>
    <w:rsid w:val="2398619C"/>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B1B2B"/>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270E"/>
    <w:rsid w:val="268B3CAF"/>
    <w:rsid w:val="269243D5"/>
    <w:rsid w:val="26A73075"/>
    <w:rsid w:val="26B2270B"/>
    <w:rsid w:val="26E25B17"/>
    <w:rsid w:val="26E61C61"/>
    <w:rsid w:val="26E718E0"/>
    <w:rsid w:val="26F853FE"/>
    <w:rsid w:val="270B1F80"/>
    <w:rsid w:val="272107C1"/>
    <w:rsid w:val="274B1605"/>
    <w:rsid w:val="27706A48"/>
    <w:rsid w:val="277D7855"/>
    <w:rsid w:val="27816C71"/>
    <w:rsid w:val="278B3C06"/>
    <w:rsid w:val="27990C94"/>
    <w:rsid w:val="27C61EE6"/>
    <w:rsid w:val="27E33F9B"/>
    <w:rsid w:val="27E67D93"/>
    <w:rsid w:val="27F23097"/>
    <w:rsid w:val="2805016B"/>
    <w:rsid w:val="281F2C62"/>
    <w:rsid w:val="282647EB"/>
    <w:rsid w:val="282A3BEE"/>
    <w:rsid w:val="28461D1E"/>
    <w:rsid w:val="284A1528"/>
    <w:rsid w:val="286036CB"/>
    <w:rsid w:val="28753671"/>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42A5E"/>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992E4F"/>
    <w:rsid w:val="2AC70C94"/>
    <w:rsid w:val="2AE354DA"/>
    <w:rsid w:val="2AE83C9F"/>
    <w:rsid w:val="2AE9730D"/>
    <w:rsid w:val="2B01299A"/>
    <w:rsid w:val="2B1E47FB"/>
    <w:rsid w:val="2B2A3B5F"/>
    <w:rsid w:val="2B3F5899"/>
    <w:rsid w:val="2B6A6B46"/>
    <w:rsid w:val="2B7042D3"/>
    <w:rsid w:val="2B7A5997"/>
    <w:rsid w:val="2B807A80"/>
    <w:rsid w:val="2B833767"/>
    <w:rsid w:val="2BA647AD"/>
    <w:rsid w:val="2BBE65D0"/>
    <w:rsid w:val="2BCE466D"/>
    <w:rsid w:val="2C0547C6"/>
    <w:rsid w:val="2C380499"/>
    <w:rsid w:val="2C3E1AC5"/>
    <w:rsid w:val="2C401128"/>
    <w:rsid w:val="2C662BC5"/>
    <w:rsid w:val="2C8A2F49"/>
    <w:rsid w:val="2C9F3BCE"/>
    <w:rsid w:val="2CA12446"/>
    <w:rsid w:val="2CA64350"/>
    <w:rsid w:val="2CBE44F7"/>
    <w:rsid w:val="2CDB1327"/>
    <w:rsid w:val="2CF9108B"/>
    <w:rsid w:val="2CFB0BBA"/>
    <w:rsid w:val="2D0B6272"/>
    <w:rsid w:val="2D34475F"/>
    <w:rsid w:val="2D3D007C"/>
    <w:rsid w:val="2D4D51B1"/>
    <w:rsid w:val="2D4D79AC"/>
    <w:rsid w:val="2D593F87"/>
    <w:rsid w:val="2D5F79DA"/>
    <w:rsid w:val="2D6B1A0A"/>
    <w:rsid w:val="2D8E0DCA"/>
    <w:rsid w:val="2D976090"/>
    <w:rsid w:val="2DA04568"/>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047E3"/>
    <w:rsid w:val="2F727CE6"/>
    <w:rsid w:val="2F747966"/>
    <w:rsid w:val="2FA801C0"/>
    <w:rsid w:val="2FCB6344"/>
    <w:rsid w:val="2FD21ECB"/>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0834EC"/>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8F1D24"/>
    <w:rsid w:val="33C133A6"/>
    <w:rsid w:val="33CC276C"/>
    <w:rsid w:val="33E2230D"/>
    <w:rsid w:val="33FB26D9"/>
    <w:rsid w:val="340032DD"/>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6EF0D3E"/>
    <w:rsid w:val="37036DCD"/>
    <w:rsid w:val="372F46A7"/>
    <w:rsid w:val="37726C9D"/>
    <w:rsid w:val="379A1E22"/>
    <w:rsid w:val="37BD6848"/>
    <w:rsid w:val="37CC6816"/>
    <w:rsid w:val="37DE6907"/>
    <w:rsid w:val="37E47740"/>
    <w:rsid w:val="37E810A7"/>
    <w:rsid w:val="380E1C87"/>
    <w:rsid w:val="38994363"/>
    <w:rsid w:val="38A9437C"/>
    <w:rsid w:val="38BF61AA"/>
    <w:rsid w:val="38C2712E"/>
    <w:rsid w:val="38D16127"/>
    <w:rsid w:val="38DD7958"/>
    <w:rsid w:val="390B4FA4"/>
    <w:rsid w:val="391842BA"/>
    <w:rsid w:val="39336168"/>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4E4BA9"/>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EF8725E"/>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071619"/>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AD2792"/>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816D3A"/>
    <w:rsid w:val="469842A4"/>
    <w:rsid w:val="46B86E94"/>
    <w:rsid w:val="46CB2631"/>
    <w:rsid w:val="46E67A01"/>
    <w:rsid w:val="46F87BA3"/>
    <w:rsid w:val="470F78A3"/>
    <w:rsid w:val="47132CA9"/>
    <w:rsid w:val="47262D4B"/>
    <w:rsid w:val="474A246F"/>
    <w:rsid w:val="47524F9F"/>
    <w:rsid w:val="47670737"/>
    <w:rsid w:val="47810CBA"/>
    <w:rsid w:val="479E040B"/>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950546"/>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2EF3"/>
    <w:rsid w:val="4B275459"/>
    <w:rsid w:val="4B2941E0"/>
    <w:rsid w:val="4B2D7363"/>
    <w:rsid w:val="4B595378"/>
    <w:rsid w:val="4B7D2F03"/>
    <w:rsid w:val="4BB32D60"/>
    <w:rsid w:val="4BE504E7"/>
    <w:rsid w:val="4BE90D9B"/>
    <w:rsid w:val="4BEF2CA4"/>
    <w:rsid w:val="4BFF2F3E"/>
    <w:rsid w:val="4C205671"/>
    <w:rsid w:val="4C261BDE"/>
    <w:rsid w:val="4C334692"/>
    <w:rsid w:val="4C5D7D69"/>
    <w:rsid w:val="4C660668"/>
    <w:rsid w:val="4C6F730B"/>
    <w:rsid w:val="4C7E128E"/>
    <w:rsid w:val="4C816990"/>
    <w:rsid w:val="4CB579ED"/>
    <w:rsid w:val="4CB613E8"/>
    <w:rsid w:val="4CCC6E0F"/>
    <w:rsid w:val="4CE51F37"/>
    <w:rsid w:val="4CEA6D66"/>
    <w:rsid w:val="4D1B40EF"/>
    <w:rsid w:val="4D2079EB"/>
    <w:rsid w:val="4D2B4C2A"/>
    <w:rsid w:val="4D2F6526"/>
    <w:rsid w:val="4D3A7443"/>
    <w:rsid w:val="4D547FED"/>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1713A"/>
    <w:rsid w:val="50941CF8"/>
    <w:rsid w:val="509636E2"/>
    <w:rsid w:val="50A84B61"/>
    <w:rsid w:val="50B13272"/>
    <w:rsid w:val="50B6710F"/>
    <w:rsid w:val="50BC2F96"/>
    <w:rsid w:val="50C51F13"/>
    <w:rsid w:val="50CA3E1C"/>
    <w:rsid w:val="50CA639A"/>
    <w:rsid w:val="50DE7239"/>
    <w:rsid w:val="51435EF0"/>
    <w:rsid w:val="51A227FA"/>
    <w:rsid w:val="51A57002"/>
    <w:rsid w:val="51B64D1E"/>
    <w:rsid w:val="51B95CA3"/>
    <w:rsid w:val="51F65583"/>
    <w:rsid w:val="520A0F25"/>
    <w:rsid w:val="521274CB"/>
    <w:rsid w:val="522265CC"/>
    <w:rsid w:val="523D726B"/>
    <w:rsid w:val="52611333"/>
    <w:rsid w:val="528278EA"/>
    <w:rsid w:val="52B5070D"/>
    <w:rsid w:val="52B719B0"/>
    <w:rsid w:val="52C11D9C"/>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96610"/>
    <w:rsid w:val="54BF0519"/>
    <w:rsid w:val="54C32B60"/>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80ECF"/>
    <w:rsid w:val="563F7711"/>
    <w:rsid w:val="56856B80"/>
    <w:rsid w:val="56941399"/>
    <w:rsid w:val="56962361"/>
    <w:rsid w:val="569F71AC"/>
    <w:rsid w:val="56B6018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D961AD"/>
    <w:rsid w:val="57E1103B"/>
    <w:rsid w:val="57E23AB5"/>
    <w:rsid w:val="57F020A7"/>
    <w:rsid w:val="57F05DD2"/>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03026"/>
    <w:rsid w:val="5A770B6E"/>
    <w:rsid w:val="5A7B6781"/>
    <w:rsid w:val="5A8A0BF0"/>
    <w:rsid w:val="5AB246DC"/>
    <w:rsid w:val="5AB3215E"/>
    <w:rsid w:val="5AB61CF5"/>
    <w:rsid w:val="5AD05E8B"/>
    <w:rsid w:val="5AD42692"/>
    <w:rsid w:val="5AE250B9"/>
    <w:rsid w:val="5AE65E30"/>
    <w:rsid w:val="5B076365"/>
    <w:rsid w:val="5B0B677A"/>
    <w:rsid w:val="5B122177"/>
    <w:rsid w:val="5B2F7529"/>
    <w:rsid w:val="5B792E20"/>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363EEC"/>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242AD"/>
    <w:rsid w:val="61EE1B3B"/>
    <w:rsid w:val="61F35FC3"/>
    <w:rsid w:val="61FE0917"/>
    <w:rsid w:val="620152D8"/>
    <w:rsid w:val="621F3A14"/>
    <w:rsid w:val="623B4768"/>
    <w:rsid w:val="623E513D"/>
    <w:rsid w:val="62563CE5"/>
    <w:rsid w:val="62D005C0"/>
    <w:rsid w:val="62E47AC9"/>
    <w:rsid w:val="63097D09"/>
    <w:rsid w:val="63192522"/>
    <w:rsid w:val="634F29FC"/>
    <w:rsid w:val="6350047D"/>
    <w:rsid w:val="63723EB5"/>
    <w:rsid w:val="63852ED6"/>
    <w:rsid w:val="63A84BAA"/>
    <w:rsid w:val="63AC7512"/>
    <w:rsid w:val="63BB0C13"/>
    <w:rsid w:val="6412053C"/>
    <w:rsid w:val="64430D0B"/>
    <w:rsid w:val="648065F1"/>
    <w:rsid w:val="64864BE4"/>
    <w:rsid w:val="64971BDD"/>
    <w:rsid w:val="64B607D2"/>
    <w:rsid w:val="64BA3B41"/>
    <w:rsid w:val="64C151DF"/>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C2339D"/>
    <w:rsid w:val="67D44D17"/>
    <w:rsid w:val="68014F2E"/>
    <w:rsid w:val="680229AF"/>
    <w:rsid w:val="6802310C"/>
    <w:rsid w:val="68033CB4"/>
    <w:rsid w:val="680B32BF"/>
    <w:rsid w:val="680C4CB4"/>
    <w:rsid w:val="680E2045"/>
    <w:rsid w:val="68123743"/>
    <w:rsid w:val="68334803"/>
    <w:rsid w:val="68374408"/>
    <w:rsid w:val="68400296"/>
    <w:rsid w:val="684D298B"/>
    <w:rsid w:val="686739D9"/>
    <w:rsid w:val="68706867"/>
    <w:rsid w:val="68976726"/>
    <w:rsid w:val="68A869C0"/>
    <w:rsid w:val="68AE46A4"/>
    <w:rsid w:val="68B43AD8"/>
    <w:rsid w:val="68FD3ECC"/>
    <w:rsid w:val="69156EBB"/>
    <w:rsid w:val="6937148E"/>
    <w:rsid w:val="6946267D"/>
    <w:rsid w:val="69756114"/>
    <w:rsid w:val="69760313"/>
    <w:rsid w:val="698A6FB3"/>
    <w:rsid w:val="69AE3CF0"/>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DB08AC"/>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25405"/>
    <w:rsid w:val="6D63623C"/>
    <w:rsid w:val="6D812437"/>
    <w:rsid w:val="6D853006"/>
    <w:rsid w:val="6D8E77D6"/>
    <w:rsid w:val="6DE82CCD"/>
    <w:rsid w:val="6DEB7F47"/>
    <w:rsid w:val="6DEF3367"/>
    <w:rsid w:val="6E087CA3"/>
    <w:rsid w:val="6E123F24"/>
    <w:rsid w:val="6E3B72E7"/>
    <w:rsid w:val="6E4D5003"/>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614ECB"/>
    <w:rsid w:val="6F7F22C0"/>
    <w:rsid w:val="6F8040FB"/>
    <w:rsid w:val="6F8D3411"/>
    <w:rsid w:val="6FA8783E"/>
    <w:rsid w:val="6FBC2EB1"/>
    <w:rsid w:val="6FCD41FA"/>
    <w:rsid w:val="6FCE1C7C"/>
    <w:rsid w:val="6FDB6D93"/>
    <w:rsid w:val="700346D4"/>
    <w:rsid w:val="70291091"/>
    <w:rsid w:val="70457B4C"/>
    <w:rsid w:val="7046232B"/>
    <w:rsid w:val="70623166"/>
    <w:rsid w:val="70714D08"/>
    <w:rsid w:val="7073020B"/>
    <w:rsid w:val="709C35CE"/>
    <w:rsid w:val="70B30FF5"/>
    <w:rsid w:val="70D127A3"/>
    <w:rsid w:val="70F86AD9"/>
    <w:rsid w:val="71032079"/>
    <w:rsid w:val="71271F60"/>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5C52F0"/>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D1871"/>
    <w:rsid w:val="759F2407"/>
    <w:rsid w:val="75CF5154"/>
    <w:rsid w:val="75D02BD6"/>
    <w:rsid w:val="75E15270"/>
    <w:rsid w:val="76116EC2"/>
    <w:rsid w:val="76325B80"/>
    <w:rsid w:val="76377102"/>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BD6070"/>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6"/>
    <w:unhideWhenUsed/>
    <w:qFormat/>
    <w:uiPriority w:val="9"/>
    <w:pPr>
      <w:keepNext/>
      <w:keepLines/>
      <w:spacing w:before="50" w:beforeLines="50" w:after="50" w:afterLines="50"/>
      <w:outlineLvl w:val="2"/>
    </w:pPr>
    <w:rPr>
      <w:rFonts w:ascii="Arial" w:hAnsi="Arial" w:eastAsia="Arial Unicode M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3"/>
    <w:qFormat/>
    <w:uiPriority w:val="99"/>
    <w:rPr>
      <w:sz w:val="18"/>
      <w:szCs w:val="18"/>
    </w:rPr>
  </w:style>
  <w:style w:type="character" w:customStyle="1" w:styleId="22">
    <w:name w:val="页脚 字符"/>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8"/>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7"/>
    <w:semiHidden/>
    <w:qFormat/>
    <w:uiPriority w:val="99"/>
    <w:rPr>
      <w:rFonts w:ascii="宋体" w:hAnsi="CG Times (WN)" w:eastAsia="宋体" w:cs="Times New Roman"/>
      <w:sz w:val="18"/>
      <w:szCs w:val="18"/>
    </w:rPr>
  </w:style>
  <w:style w:type="character" w:customStyle="1" w:styleId="40">
    <w:name w:val="题注 字符"/>
    <w:link w:val="6"/>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link w:val="70"/>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59">
    <w:name w:val="enumlev2"/>
    <w:basedOn w:val="56"/>
    <w:qFormat/>
    <w:uiPriority w:val="99"/>
    <w:pPr>
      <w:ind w:left="1871" w:hanging="737"/>
    </w:pPr>
  </w:style>
  <w:style w:type="paragraph" w:customStyle="1" w:styleId="60">
    <w:name w:val="enumlev3"/>
    <w:basedOn w:val="59"/>
    <w:qFormat/>
    <w:uiPriority w:val="0"/>
    <w:pPr>
      <w:ind w:left="2268" w:hanging="397"/>
    </w:pPr>
  </w:style>
  <w:style w:type="paragraph" w:customStyle="1" w:styleId="61">
    <w:name w:val="修订1"/>
    <w:hidden/>
    <w:unhideWhenUsed/>
    <w:qFormat/>
    <w:uiPriority w:val="99"/>
    <w:rPr>
      <w:rFonts w:ascii="CG Times (WN)" w:hAnsi="CG Times (WN)" w:eastAsia="宋体" w:cs="Times New Roman"/>
      <w:kern w:val="2"/>
      <w:sz w:val="21"/>
      <w:szCs w:val="22"/>
      <w:lang w:val="en-US" w:eastAsia="zh-CN" w:bidi="ar-SA"/>
    </w:rPr>
  </w:style>
  <w:style w:type="table" w:customStyle="1" w:styleId="62">
    <w:name w:val="SGS Table Basic 11"/>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SGS Table Basic 12"/>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SGS Table Basic 13"/>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5">
    <w:name w:val="references"/>
    <w:qFormat/>
    <w:uiPriority w:val="99"/>
    <w:pPr>
      <w:numPr>
        <w:ilvl w:val="0"/>
        <w:numId w:val="1"/>
      </w:numPr>
      <w:spacing w:after="50" w:line="180" w:lineRule="exact"/>
      <w:jc w:val="both"/>
    </w:pPr>
    <w:rPr>
      <w:rFonts w:ascii="Times New Roman" w:hAnsi="Times New Roman" w:eastAsia="MS Mincho" w:cs="Times New Roman"/>
      <w:szCs w:val="16"/>
      <w:lang w:val="en-US" w:eastAsia="en-US" w:bidi="ar-SA"/>
    </w:rPr>
  </w:style>
  <w:style w:type="table" w:customStyle="1" w:styleId="66">
    <w:name w:val="SGS Table Basic 14"/>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SGS Table Basic 15"/>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SGS Table Basic 16"/>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SGS Table Basic 17"/>
    <w:basedOn w:val="16"/>
    <w:qFormat/>
    <w:uiPriority w:val="0"/>
    <w:pPr>
      <w:overflowPunct w:val="0"/>
      <w:autoSpaceDE w:val="0"/>
      <w:autoSpaceDN w:val="0"/>
      <w:adjustRightInd w:val="0"/>
      <w:spacing w:after="180" w:line="259" w:lineRule="auto"/>
      <w:textAlignment w:val="baseline"/>
    </w:pPr>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
    <w:name w:val="EQ Char"/>
    <w:link w:val="52"/>
    <w:qFormat/>
    <w:locked/>
    <w:uiPriority w:val="0"/>
    <w:rPr>
      <w:rFonts w:ascii="CG Times (WN)" w:hAnsi="CG Times (WN)"/>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5</Pages>
  <Words>1578</Words>
  <Characters>9001</Characters>
  <Lines>75</Lines>
  <Paragraphs>21</Paragraphs>
  <TotalTime>2</TotalTime>
  <ScaleCrop>false</ScaleCrop>
  <LinksUpToDate>false</LinksUpToDate>
  <CharactersWithSpaces>10558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2025-02-07T09:12:00Z</dcterms:created>
  <dc:creator>cmcc</dc:creator>
  <cp:lastModifiedBy>cmcc-chunxia Guo</cp:lastModifiedBy>
  <dcterms:modified xsi:type="dcterms:W3CDTF">2025-05-09T02:42:42Z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499EC903079A4441A4305556AC4D5E41_13</vt:lpwstr>
  </property>
</Properties>
</file>