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79B4D">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r>
        <w:rPr>
          <w:rFonts w:ascii="Arial" w:hAnsi="Arial" w:eastAsia="宋体" w:cs="Arial"/>
          <w:b/>
          <w:kern w:val="0"/>
          <w:sz w:val="24"/>
          <w:szCs w:val="24"/>
          <w:lang w:val="en-US" w:eastAsia="zh-CN" w:bidi="ar-SA"/>
        </w:rPr>
        <w:t>3GPP TSG-RAN WG4 Meeting #115</w:t>
      </w:r>
      <w:r>
        <w:rPr>
          <w:rFonts w:ascii="Arial" w:hAnsi="Arial" w:eastAsia="宋体" w:cs="Arial"/>
          <w:b/>
          <w:kern w:val="0"/>
          <w:sz w:val="24"/>
          <w:szCs w:val="24"/>
          <w:lang w:val="en-US" w:eastAsia="zh-CN" w:bidi="ar-SA"/>
        </w:rPr>
        <w:tab/>
      </w:r>
      <w:bookmarkStart w:id="200" w:name="_GoBack"/>
      <w:r>
        <w:rPr>
          <w:rFonts w:hint="eastAsia" w:ascii="Arial" w:hAnsi="Arial" w:eastAsia="宋体" w:cs="Arial"/>
          <w:b/>
          <w:kern w:val="0"/>
          <w:sz w:val="24"/>
          <w:szCs w:val="24"/>
          <w:lang w:val="en-US" w:eastAsia="zh-CN" w:bidi="ar-SA"/>
        </w:rPr>
        <w:t>R4-2505616</w:t>
      </w:r>
      <w:bookmarkEnd w:id="200"/>
    </w:p>
    <w:p w14:paraId="778F508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4DE3E59A">
      <w:pPr>
        <w:rPr>
          <w:rFonts w:ascii="Arial" w:hAnsi="Arial" w:cs="Arial"/>
          <w:b/>
          <w:bCs/>
          <w:sz w:val="24"/>
          <w:szCs w:val="28"/>
          <w:highlight w:val="none"/>
        </w:rPr>
      </w:pPr>
    </w:p>
    <w:p w14:paraId="39DA5E39">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w:t>
      </w:r>
      <w:r>
        <w:rPr>
          <w:rFonts w:hint="eastAsia" w:ascii="Arial" w:hAnsi="Arial" w:cs="Arial"/>
          <w:b/>
          <w:sz w:val="24"/>
          <w:szCs w:val="24"/>
          <w:highlight w:val="none"/>
          <w:lang w:val="en-US" w:eastAsia="zh-CN"/>
        </w:rPr>
        <w:t>26</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r>
        <w:rPr>
          <w:rFonts w:hint="eastAsia" w:ascii="Arial" w:hAnsi="Arial" w:cs="Arial"/>
          <w:b/>
          <w:sz w:val="24"/>
          <w:szCs w:val="24"/>
          <w:highlight w:val="none"/>
        </w:rPr>
        <w:t>.1</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BS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In this contribution, we discuss the RF requirements for Type 1-C Ambient-IOT BS.</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59A4D80">
      <w:pPr>
        <w:pStyle w:val="4"/>
        <w:spacing w:before="156" w:after="156"/>
      </w:pPr>
      <w:r>
        <w:rPr>
          <w:rFonts w:hint="eastAsia"/>
        </w:rPr>
        <w:t>2.1 A-IoT BS Tx requirement</w:t>
      </w:r>
    </w:p>
    <w:p w14:paraId="45CC7B85">
      <w:pPr>
        <w:spacing w:after="180"/>
        <w:jc w:val="left"/>
        <w:rPr>
          <w:rFonts w:ascii="Times New Roman" w:hAnsi="Times New Roman"/>
          <w:sz w:val="20"/>
          <w:szCs w:val="20"/>
        </w:rPr>
      </w:pPr>
      <w:bookmarkStart w:id="4" w:name="OLE_LINK24"/>
      <w:r>
        <w:rPr>
          <w:rFonts w:hint="eastAsia" w:ascii="Times New Roman" w:hAnsi="Times New Roman"/>
          <w:sz w:val="20"/>
          <w:szCs w:val="20"/>
        </w:rPr>
        <w:t>T</w:t>
      </w:r>
      <w:r>
        <w:rPr>
          <w:rFonts w:ascii="Times New Roman" w:hAnsi="Times New Roman"/>
          <w:sz w:val="20"/>
          <w:szCs w:val="20"/>
        </w:rPr>
        <w:t>h</w:t>
      </w:r>
      <w:r>
        <w:rPr>
          <w:rFonts w:hint="eastAsia" w:ascii="Times New Roman" w:hAnsi="Times New Roman"/>
          <w:sz w:val="20"/>
          <w:szCs w:val="20"/>
        </w:rPr>
        <w:t>e conclusion on BS Tx requirements in study item are captured in following table</w:t>
      </w:r>
    </w:p>
    <w:bookmarkEnd w:id="4"/>
    <w:tbl>
      <w:tblPr>
        <w:tblStyle w:val="69"/>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1"/>
        <w:gridCol w:w="2918"/>
        <w:gridCol w:w="2884"/>
      </w:tblGrid>
      <w:tr w14:paraId="3C26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vAlign w:val="center"/>
          </w:tcPr>
          <w:p w14:paraId="4BF79E8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b/>
                <w:bCs/>
                <w:kern w:val="0"/>
                <w:sz w:val="20"/>
                <w:szCs w:val="20"/>
                <w:lang w:val="en-GB" w:eastAsia="en-GB"/>
              </w:rPr>
              <w:t xml:space="preserve">RF Requirement for A-IoT BS- </w:t>
            </w:r>
            <w:r>
              <w:rPr>
                <w:rFonts w:hint="eastAsia" w:ascii="Times New Roman" w:hAnsi="Times New Roman" w:eastAsia="Yu Mincho"/>
                <w:b/>
                <w:bCs/>
                <w:kern w:val="0"/>
                <w:sz w:val="20"/>
                <w:szCs w:val="20"/>
                <w:lang w:val="en-GB" w:eastAsia="en-GB"/>
              </w:rPr>
              <w:t>T</w:t>
            </w:r>
            <w:r>
              <w:rPr>
                <w:rFonts w:ascii="Times New Roman" w:hAnsi="Times New Roman" w:eastAsia="Yu Mincho"/>
                <w:b/>
                <w:bCs/>
                <w:kern w:val="0"/>
                <w:sz w:val="20"/>
                <w:szCs w:val="20"/>
                <w:lang w:val="en-GB" w:eastAsia="en-GB"/>
              </w:rPr>
              <w:t xml:space="preserve">X </w:t>
            </w:r>
            <w:r>
              <w:rPr>
                <w:rFonts w:hint="eastAsia" w:ascii="Times New Roman" w:hAnsi="Times New Roman" w:eastAsia="Yu Mincho"/>
                <w:b/>
                <w:bCs/>
                <w:kern w:val="0"/>
                <w:sz w:val="20"/>
                <w:szCs w:val="20"/>
                <w:lang w:val="en-GB" w:eastAsia="en-GB"/>
              </w:rPr>
              <w:t>requirements</w:t>
            </w:r>
          </w:p>
        </w:tc>
        <w:tc>
          <w:tcPr>
            <w:tcW w:w="2884" w:type="dxa"/>
            <w:tcBorders>
              <w:top w:val="single" w:color="auto" w:sz="4" w:space="0"/>
              <w:left w:val="single" w:color="auto" w:sz="4" w:space="0"/>
              <w:bottom w:val="single" w:color="auto" w:sz="4" w:space="0"/>
              <w:right w:val="single" w:color="auto" w:sz="4" w:space="0"/>
            </w:tcBorders>
          </w:tcPr>
          <w:p w14:paraId="7589A25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76A4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vAlign w:val="center"/>
          </w:tcPr>
          <w:p w14:paraId="3A10DEC6">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bookmarkStart w:id="5" w:name="OLE_LINK10"/>
            <w:r>
              <w:rPr>
                <w:rFonts w:ascii="Times New Roman" w:hAnsi="Times New Roman" w:eastAsia="Yu Mincho"/>
                <w:kern w:val="0"/>
                <w:sz w:val="20"/>
                <w:szCs w:val="20"/>
                <w:lang w:val="en-GB" w:eastAsia="en-GB"/>
              </w:rPr>
              <w:t>Base station output power</w:t>
            </w:r>
            <w:bookmarkEnd w:id="5"/>
          </w:p>
        </w:tc>
        <w:tc>
          <w:tcPr>
            <w:tcW w:w="2884" w:type="dxa"/>
            <w:tcBorders>
              <w:top w:val="single" w:color="auto" w:sz="4" w:space="0"/>
              <w:left w:val="single" w:color="auto" w:sz="4" w:space="0"/>
              <w:bottom w:val="single" w:color="auto" w:sz="4" w:space="0"/>
              <w:right w:val="single" w:color="auto" w:sz="4" w:space="0"/>
            </w:tcBorders>
          </w:tcPr>
          <w:p w14:paraId="343F2CB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6EA0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691" w:type="dxa"/>
            <w:vMerge w:val="restart"/>
            <w:tcBorders>
              <w:top w:val="single" w:color="auto" w:sz="4" w:space="0"/>
              <w:left w:val="single" w:color="auto" w:sz="4" w:space="0"/>
              <w:right w:val="single" w:color="auto" w:sz="4" w:space="0"/>
            </w:tcBorders>
            <w:vAlign w:val="center"/>
          </w:tcPr>
          <w:p w14:paraId="194CBC2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Output power dynamic</w:t>
            </w:r>
          </w:p>
        </w:tc>
        <w:tc>
          <w:tcPr>
            <w:tcW w:w="2918" w:type="dxa"/>
            <w:tcBorders>
              <w:top w:val="single" w:color="auto" w:sz="4" w:space="0"/>
              <w:left w:val="single" w:color="auto" w:sz="4" w:space="0"/>
              <w:bottom w:val="single" w:color="auto" w:sz="4" w:space="0"/>
              <w:right w:val="single" w:color="auto" w:sz="4" w:space="0"/>
            </w:tcBorders>
            <w:vAlign w:val="center"/>
          </w:tcPr>
          <w:p w14:paraId="2FDA113C">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RE power control dynamic range</w:t>
            </w:r>
          </w:p>
        </w:tc>
        <w:tc>
          <w:tcPr>
            <w:tcW w:w="2884" w:type="dxa"/>
            <w:tcBorders>
              <w:top w:val="single" w:color="auto" w:sz="4" w:space="0"/>
              <w:left w:val="single" w:color="auto" w:sz="4" w:space="0"/>
              <w:bottom w:val="single" w:color="auto" w:sz="4" w:space="0"/>
              <w:right w:val="single" w:color="auto" w:sz="4" w:space="0"/>
            </w:tcBorders>
          </w:tcPr>
          <w:p w14:paraId="5BD3FD1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D7D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691" w:type="dxa"/>
            <w:vMerge w:val="continue"/>
            <w:tcBorders>
              <w:left w:val="single" w:color="auto" w:sz="4" w:space="0"/>
              <w:right w:val="single" w:color="auto" w:sz="4" w:space="0"/>
            </w:tcBorders>
            <w:vAlign w:val="center"/>
          </w:tcPr>
          <w:p w14:paraId="198DC0E6">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6E2E064D">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Total power dynamic range</w:t>
            </w:r>
          </w:p>
        </w:tc>
        <w:tc>
          <w:tcPr>
            <w:tcW w:w="2884" w:type="dxa"/>
            <w:tcBorders>
              <w:top w:val="single" w:color="auto" w:sz="4" w:space="0"/>
              <w:left w:val="single" w:color="auto" w:sz="4" w:space="0"/>
              <w:bottom w:val="single" w:color="auto" w:sz="4" w:space="0"/>
              <w:right w:val="single" w:color="auto" w:sz="4" w:space="0"/>
            </w:tcBorders>
          </w:tcPr>
          <w:p w14:paraId="76B4B48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4A7CB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691" w:type="dxa"/>
            <w:vMerge w:val="continue"/>
            <w:tcBorders>
              <w:left w:val="single" w:color="auto" w:sz="4" w:space="0"/>
              <w:bottom w:val="single" w:color="auto" w:sz="4" w:space="0"/>
              <w:right w:val="single" w:color="auto" w:sz="4" w:space="0"/>
            </w:tcBorders>
            <w:vAlign w:val="center"/>
          </w:tcPr>
          <w:p w14:paraId="24D0DC6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7BA3563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等线"/>
                <w:kern w:val="0"/>
                <w:sz w:val="20"/>
                <w:szCs w:val="20"/>
                <w:lang w:val="en-GB" w:eastAsia="en-GB"/>
              </w:rPr>
              <w:t>P</w:t>
            </w:r>
            <w:r>
              <w:rPr>
                <w:rFonts w:ascii="Times New Roman" w:hAnsi="Times New Roman" w:eastAsia="等线"/>
                <w:kern w:val="0"/>
                <w:sz w:val="20"/>
                <w:szCs w:val="20"/>
                <w:lang w:val="en-GB" w:eastAsia="en-GB"/>
              </w:rPr>
              <w:t>ower boosting</w:t>
            </w:r>
          </w:p>
        </w:tc>
        <w:tc>
          <w:tcPr>
            <w:tcW w:w="2884" w:type="dxa"/>
            <w:tcBorders>
              <w:top w:val="single" w:color="auto" w:sz="4" w:space="0"/>
              <w:left w:val="single" w:color="auto" w:sz="4" w:space="0"/>
              <w:bottom w:val="single" w:color="auto" w:sz="4" w:space="0"/>
              <w:right w:val="single" w:color="auto" w:sz="4" w:space="0"/>
            </w:tcBorders>
          </w:tcPr>
          <w:p w14:paraId="442E97A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等线"/>
                <w:kern w:val="0"/>
                <w:sz w:val="20"/>
                <w:szCs w:val="20"/>
                <w:lang w:val="en-GB" w:eastAsia="en-GB"/>
              </w:rPr>
              <w:t>NO</w:t>
            </w:r>
          </w:p>
        </w:tc>
      </w:tr>
      <w:tr w14:paraId="27BE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right w:val="single" w:color="auto" w:sz="4" w:space="0"/>
            </w:tcBorders>
            <w:vAlign w:val="center"/>
          </w:tcPr>
          <w:p w14:paraId="2CF60A2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Some requirements like Transmit ON/OFF power</w:t>
            </w:r>
          </w:p>
        </w:tc>
        <w:tc>
          <w:tcPr>
            <w:tcW w:w="2918" w:type="dxa"/>
            <w:tcBorders>
              <w:top w:val="single" w:color="auto" w:sz="4" w:space="0"/>
              <w:left w:val="single" w:color="auto" w:sz="4" w:space="0"/>
              <w:bottom w:val="single" w:color="auto" w:sz="4" w:space="0"/>
              <w:right w:val="single" w:color="auto" w:sz="4" w:space="0"/>
            </w:tcBorders>
            <w:vAlign w:val="center"/>
          </w:tcPr>
          <w:p w14:paraId="75EF3FF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US"/>
              </w:rPr>
              <w:t>Transmitter OFF power</w:t>
            </w:r>
          </w:p>
        </w:tc>
        <w:tc>
          <w:tcPr>
            <w:tcW w:w="2884" w:type="dxa"/>
            <w:tcBorders>
              <w:top w:val="single" w:color="auto" w:sz="4" w:space="0"/>
              <w:left w:val="single" w:color="auto" w:sz="4" w:space="0"/>
              <w:bottom w:val="single" w:color="auto" w:sz="4" w:space="0"/>
              <w:right w:val="single" w:color="auto" w:sz="4" w:space="0"/>
            </w:tcBorders>
          </w:tcPr>
          <w:p w14:paraId="7675FED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B87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left w:val="single" w:color="auto" w:sz="4" w:space="0"/>
              <w:bottom w:val="single" w:color="auto" w:sz="4" w:space="0"/>
              <w:right w:val="single" w:color="auto" w:sz="4" w:space="0"/>
            </w:tcBorders>
            <w:vAlign w:val="center"/>
          </w:tcPr>
          <w:p w14:paraId="44FA047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vAlign w:val="center"/>
          </w:tcPr>
          <w:p w14:paraId="468A1A9A">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transient period</w:t>
            </w:r>
          </w:p>
        </w:tc>
        <w:tc>
          <w:tcPr>
            <w:tcW w:w="2884" w:type="dxa"/>
            <w:tcBorders>
              <w:top w:val="single" w:color="auto" w:sz="4" w:space="0"/>
              <w:left w:val="single" w:color="auto" w:sz="4" w:space="0"/>
              <w:bottom w:val="single" w:color="auto" w:sz="4" w:space="0"/>
              <w:right w:val="single" w:color="auto" w:sz="4" w:space="0"/>
            </w:tcBorders>
          </w:tcPr>
          <w:p w14:paraId="3B2B69D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r w14:paraId="0806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bottom w:val="single" w:color="auto" w:sz="4" w:space="0"/>
              <w:right w:val="single" w:color="auto" w:sz="4" w:space="0"/>
            </w:tcBorders>
            <w:vAlign w:val="center"/>
          </w:tcPr>
          <w:p w14:paraId="6D6C940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 signal quality</w:t>
            </w:r>
          </w:p>
        </w:tc>
        <w:tc>
          <w:tcPr>
            <w:tcW w:w="2918" w:type="dxa"/>
            <w:tcBorders>
              <w:top w:val="single" w:color="auto" w:sz="4" w:space="0"/>
              <w:left w:val="single" w:color="auto" w:sz="4" w:space="0"/>
              <w:bottom w:val="single" w:color="auto" w:sz="4" w:space="0"/>
              <w:right w:val="single" w:color="auto" w:sz="4" w:space="0"/>
            </w:tcBorders>
          </w:tcPr>
          <w:p w14:paraId="79781DB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Frequency error</w:t>
            </w:r>
          </w:p>
        </w:tc>
        <w:tc>
          <w:tcPr>
            <w:tcW w:w="2884" w:type="dxa"/>
            <w:tcBorders>
              <w:top w:val="single" w:color="auto" w:sz="4" w:space="0"/>
              <w:left w:val="single" w:color="auto" w:sz="4" w:space="0"/>
              <w:bottom w:val="single" w:color="auto" w:sz="4" w:space="0"/>
              <w:right w:val="single" w:color="auto" w:sz="4" w:space="0"/>
            </w:tcBorders>
          </w:tcPr>
          <w:p w14:paraId="10181C6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6508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69BBFB3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6BA19DE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Some requirements like EVM (Modulation quality)</w:t>
            </w:r>
          </w:p>
        </w:tc>
        <w:tc>
          <w:tcPr>
            <w:tcW w:w="2884" w:type="dxa"/>
            <w:tcBorders>
              <w:top w:val="single" w:color="auto" w:sz="4" w:space="0"/>
              <w:left w:val="single" w:color="auto" w:sz="4" w:space="0"/>
              <w:bottom w:val="single" w:color="auto" w:sz="4" w:space="0"/>
              <w:right w:val="single" w:color="auto" w:sz="4" w:space="0"/>
            </w:tcBorders>
          </w:tcPr>
          <w:p w14:paraId="3232E1AF">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0767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1F21B95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6BCF30EA">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TAE</w:t>
            </w:r>
          </w:p>
        </w:tc>
        <w:tc>
          <w:tcPr>
            <w:tcW w:w="2884" w:type="dxa"/>
            <w:tcBorders>
              <w:top w:val="single" w:color="auto" w:sz="4" w:space="0"/>
              <w:left w:val="single" w:color="auto" w:sz="4" w:space="0"/>
              <w:bottom w:val="single" w:color="auto" w:sz="4" w:space="0"/>
              <w:right w:val="single" w:color="auto" w:sz="4" w:space="0"/>
            </w:tcBorders>
          </w:tcPr>
          <w:p w14:paraId="06946EB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NA</w:t>
            </w:r>
          </w:p>
        </w:tc>
      </w:tr>
      <w:tr w14:paraId="31C4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restart"/>
            <w:tcBorders>
              <w:top w:val="single" w:color="auto" w:sz="4" w:space="0"/>
              <w:left w:val="single" w:color="auto" w:sz="4" w:space="0"/>
              <w:bottom w:val="single" w:color="auto" w:sz="4" w:space="0"/>
              <w:right w:val="single" w:color="auto" w:sz="4" w:space="0"/>
            </w:tcBorders>
            <w:vAlign w:val="center"/>
          </w:tcPr>
          <w:p w14:paraId="332CB348">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bookmarkStart w:id="6" w:name="_Hlk189658955"/>
            <w:r>
              <w:rPr>
                <w:rFonts w:ascii="Times New Roman" w:hAnsi="Times New Roman" w:eastAsia="Yu Mincho"/>
                <w:kern w:val="0"/>
                <w:sz w:val="20"/>
                <w:szCs w:val="20"/>
                <w:lang w:val="en-GB" w:eastAsia="en-GB"/>
              </w:rPr>
              <w:t>Unwanted emissions</w:t>
            </w:r>
          </w:p>
        </w:tc>
        <w:tc>
          <w:tcPr>
            <w:tcW w:w="2918" w:type="dxa"/>
            <w:tcBorders>
              <w:top w:val="single" w:color="auto" w:sz="4" w:space="0"/>
              <w:left w:val="single" w:color="auto" w:sz="4" w:space="0"/>
              <w:bottom w:val="single" w:color="auto" w:sz="4" w:space="0"/>
              <w:right w:val="single" w:color="auto" w:sz="4" w:space="0"/>
            </w:tcBorders>
          </w:tcPr>
          <w:p w14:paraId="54E68F9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Occupied bandwidth</w:t>
            </w:r>
          </w:p>
        </w:tc>
        <w:tc>
          <w:tcPr>
            <w:tcW w:w="2884" w:type="dxa"/>
            <w:tcBorders>
              <w:top w:val="single" w:color="auto" w:sz="4" w:space="0"/>
              <w:left w:val="single" w:color="auto" w:sz="4" w:space="0"/>
              <w:bottom w:val="single" w:color="auto" w:sz="4" w:space="0"/>
              <w:right w:val="single" w:color="auto" w:sz="4" w:space="0"/>
            </w:tcBorders>
          </w:tcPr>
          <w:p w14:paraId="2C1EB9A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7419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6158205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0CDE98D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ACLR</w:t>
            </w:r>
          </w:p>
        </w:tc>
        <w:tc>
          <w:tcPr>
            <w:tcW w:w="2884" w:type="dxa"/>
            <w:tcBorders>
              <w:top w:val="single" w:color="auto" w:sz="4" w:space="0"/>
              <w:left w:val="single" w:color="auto" w:sz="4" w:space="0"/>
              <w:bottom w:val="single" w:color="auto" w:sz="4" w:space="0"/>
              <w:right w:val="single" w:color="auto" w:sz="4" w:space="0"/>
            </w:tcBorders>
          </w:tcPr>
          <w:p w14:paraId="5299DF52">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451B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05B7AB79">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7239ECF0">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IBE</w:t>
            </w:r>
          </w:p>
        </w:tc>
        <w:tc>
          <w:tcPr>
            <w:tcW w:w="2884" w:type="dxa"/>
            <w:tcBorders>
              <w:top w:val="single" w:color="auto" w:sz="4" w:space="0"/>
              <w:left w:val="single" w:color="auto" w:sz="4" w:space="0"/>
              <w:bottom w:val="single" w:color="auto" w:sz="4" w:space="0"/>
              <w:right w:val="single" w:color="auto" w:sz="4" w:space="0"/>
            </w:tcBorders>
          </w:tcPr>
          <w:p w14:paraId="3343A4EE">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hint="eastAsia" w:ascii="Times New Roman" w:hAnsi="Times New Roman" w:eastAsia="Yu Mincho"/>
                <w:kern w:val="0"/>
                <w:sz w:val="20"/>
                <w:szCs w:val="20"/>
                <w:lang w:val="en-GB" w:eastAsia="en-GB"/>
              </w:rPr>
              <w:t>NO</w:t>
            </w:r>
          </w:p>
        </w:tc>
      </w:tr>
      <w:tr w14:paraId="54E7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39F9253C">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26163934">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Operating band unwanted emissions</w:t>
            </w:r>
          </w:p>
        </w:tc>
        <w:tc>
          <w:tcPr>
            <w:tcW w:w="2884" w:type="dxa"/>
            <w:tcBorders>
              <w:top w:val="single" w:color="auto" w:sz="4" w:space="0"/>
              <w:left w:val="single" w:color="auto" w:sz="4" w:space="0"/>
              <w:bottom w:val="single" w:color="auto" w:sz="4" w:space="0"/>
              <w:right w:val="single" w:color="auto" w:sz="4" w:space="0"/>
            </w:tcBorders>
          </w:tcPr>
          <w:p w14:paraId="3D9D4187">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1500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3691" w:type="dxa"/>
            <w:vMerge w:val="continue"/>
            <w:tcBorders>
              <w:top w:val="single" w:color="auto" w:sz="4" w:space="0"/>
              <w:left w:val="single" w:color="auto" w:sz="4" w:space="0"/>
              <w:bottom w:val="single" w:color="auto" w:sz="4" w:space="0"/>
              <w:right w:val="single" w:color="auto" w:sz="4" w:space="0"/>
            </w:tcBorders>
            <w:vAlign w:val="center"/>
          </w:tcPr>
          <w:p w14:paraId="584C750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p>
        </w:tc>
        <w:tc>
          <w:tcPr>
            <w:tcW w:w="2918" w:type="dxa"/>
            <w:tcBorders>
              <w:top w:val="single" w:color="auto" w:sz="4" w:space="0"/>
              <w:left w:val="single" w:color="auto" w:sz="4" w:space="0"/>
              <w:bottom w:val="single" w:color="auto" w:sz="4" w:space="0"/>
              <w:right w:val="single" w:color="auto" w:sz="4" w:space="0"/>
            </w:tcBorders>
          </w:tcPr>
          <w:p w14:paraId="0831E2C3">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spurious emissions</w:t>
            </w:r>
          </w:p>
        </w:tc>
        <w:tc>
          <w:tcPr>
            <w:tcW w:w="2884" w:type="dxa"/>
            <w:tcBorders>
              <w:top w:val="single" w:color="auto" w:sz="4" w:space="0"/>
              <w:left w:val="single" w:color="auto" w:sz="4" w:space="0"/>
              <w:bottom w:val="single" w:color="auto" w:sz="4" w:space="0"/>
              <w:right w:val="single" w:color="auto" w:sz="4" w:space="0"/>
            </w:tcBorders>
          </w:tcPr>
          <w:p w14:paraId="7CD5112D">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bookmarkEnd w:id="6"/>
      <w:tr w14:paraId="79C9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609" w:type="dxa"/>
            <w:gridSpan w:val="2"/>
            <w:tcBorders>
              <w:top w:val="single" w:color="auto" w:sz="4" w:space="0"/>
              <w:left w:val="single" w:color="auto" w:sz="4" w:space="0"/>
              <w:bottom w:val="single" w:color="auto" w:sz="4" w:space="0"/>
              <w:right w:val="single" w:color="auto" w:sz="4" w:space="0"/>
            </w:tcBorders>
          </w:tcPr>
          <w:p w14:paraId="601149B1">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Transmitter intermodulation</w:t>
            </w:r>
          </w:p>
        </w:tc>
        <w:tc>
          <w:tcPr>
            <w:tcW w:w="2884" w:type="dxa"/>
            <w:tcBorders>
              <w:top w:val="single" w:color="auto" w:sz="4" w:space="0"/>
              <w:left w:val="single" w:color="auto" w:sz="4" w:space="0"/>
              <w:bottom w:val="single" w:color="auto" w:sz="4" w:space="0"/>
              <w:right w:val="single" w:color="auto" w:sz="4" w:space="0"/>
            </w:tcBorders>
          </w:tcPr>
          <w:p w14:paraId="1244F075">
            <w:pPr>
              <w:widowControl/>
              <w:tabs>
                <w:tab w:val="left" w:pos="-420"/>
              </w:tabs>
              <w:overflowPunct w:val="0"/>
              <w:autoSpaceDE w:val="0"/>
              <w:autoSpaceDN w:val="0"/>
              <w:adjustRightInd w:val="0"/>
              <w:spacing w:after="156" w:afterLines="5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 xml:space="preserve">TBD </w:t>
            </w:r>
            <w:r>
              <w:rPr>
                <w:rFonts w:ascii="Times New Roman" w:hAnsi="Times New Roman" w:eastAsia="等线"/>
                <w:kern w:val="0"/>
                <w:sz w:val="20"/>
                <w:szCs w:val="20"/>
                <w:lang w:val="en-GB" w:eastAsia="en-GB"/>
              </w:rPr>
              <w:t>in WI phase</w:t>
            </w:r>
          </w:p>
        </w:tc>
      </w:tr>
    </w:tbl>
    <w:p w14:paraId="5B876D9B"/>
    <w:p w14:paraId="173F40C3">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MCL definition</w:t>
      </w:r>
      <w:r>
        <w:rPr>
          <w:rFonts w:hint="eastAsia" w:ascii="Times New Roman" w:hAnsi="Times New Roman"/>
          <w:sz w:val="20"/>
          <w:szCs w:val="20"/>
        </w:rPr>
        <w:t xml:space="preserve"> </w:t>
      </w:r>
    </w:p>
    <w:p w14:paraId="51CCA7AC">
      <w:pPr>
        <w:spacing w:after="180"/>
        <w:jc w:val="left"/>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Legacy medium range BS use 53dB MCL assumption with minimum 5m horizontal distance between BS and UE. But during the simulation, the minimum distance is assumed as 1m. this MCL will impact max input power level definition of device and is deployment related.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take care of the definition of this MCL for micro cell scenario and taken the device allowed max input power level and deployment scenario into consideration.</w:t>
      </w:r>
    </w:p>
    <w:p w14:paraId="0CC45D1B">
      <w:pPr>
        <w:spacing w:after="180"/>
        <w:jc w:val="left"/>
        <w:rPr>
          <w:rFonts w:hint="default" w:ascii="Times New Roman" w:hAnsi="Times New Roman" w:eastAsia="宋体"/>
          <w:b/>
          <w:bCs/>
          <w:sz w:val="20"/>
          <w:szCs w:val="20"/>
          <w:lang w:val="en-US" w:eastAsia="zh-CN"/>
        </w:rPr>
      </w:pPr>
      <w:bookmarkStart w:id="7" w:name="OLE_LINK28"/>
      <w:r>
        <w:rPr>
          <w:rFonts w:hint="eastAsia" w:ascii="Times New Roman" w:hAnsi="Times New Roman"/>
          <w:b/>
          <w:bCs/>
          <w:sz w:val="20"/>
          <w:szCs w:val="20"/>
          <w:lang w:val="en-US" w:eastAsia="zh-CN"/>
        </w:rPr>
        <w:t>Observation 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Take care of the definition of MCL for micro cell scenario if we finally use less than 5m horizontal distance for device max input power definition.</w:t>
      </w:r>
    </w:p>
    <w:bookmarkEnd w:id="7"/>
    <w:p w14:paraId="44C7454E">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OFF power</w:t>
      </w:r>
      <w:r>
        <w:rPr>
          <w:rFonts w:hint="eastAsia" w:ascii="Times New Roman" w:hAnsi="Times New Roman"/>
          <w:sz w:val="20"/>
          <w:szCs w:val="20"/>
        </w:rPr>
        <w:t xml:space="preserve"> requirements</w:t>
      </w:r>
    </w:p>
    <w:p w14:paraId="4A0A4905">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Last meeting approve to define OFF power requirements. One motivation of OFF power is to avoid the interference from closed reader transmitter to reader receiver, especially when the received SNR is much lower. From coverage point of view, the R2D is bottleneck compared with D2R, so there is still margin at D2R receiver and the impact of OFF power interference could be negligible. Therefore, there is no need to define more strict requirements than legacy BS requirements. </w:t>
      </w:r>
    </w:p>
    <w:p w14:paraId="6BBCB565">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OFF power, no need to define more strict requirements than legacy BS.</w:t>
      </w:r>
    </w:p>
    <w:p w14:paraId="16E4BE53">
      <w:pPr>
        <w:numPr>
          <w:ilvl w:val="0"/>
          <w:numId w:val="5"/>
        </w:numPr>
        <w:spacing w:after="180"/>
        <w:jc w:val="left"/>
        <w:rPr>
          <w:rFonts w:ascii="Times New Roman" w:hAnsi="Times New Roman"/>
          <w:sz w:val="20"/>
          <w:szCs w:val="20"/>
        </w:rPr>
      </w:pPr>
      <w:r>
        <w:rPr>
          <w:rFonts w:hint="eastAsia" w:ascii="Times New Roman" w:hAnsi="Times New Roman"/>
          <w:sz w:val="20"/>
          <w:szCs w:val="20"/>
        </w:rPr>
        <w:t>Tx signal quality related requirement</w:t>
      </w:r>
    </w:p>
    <w:p w14:paraId="53454975">
      <w:pPr>
        <w:spacing w:after="180"/>
        <w:jc w:val="left"/>
        <w:rPr>
          <w:rFonts w:ascii="Times New Roman" w:hAnsi="Times New Roman"/>
          <w:sz w:val="20"/>
          <w:szCs w:val="20"/>
        </w:rPr>
      </w:pPr>
      <w:r>
        <w:rPr>
          <w:rFonts w:hint="eastAsia" w:ascii="Times New Roman" w:hAnsi="Times New Roman"/>
          <w:sz w:val="20"/>
          <w:szCs w:val="20"/>
        </w:rPr>
        <w:t>For signal quality related requirements, gNB spec define EVM requirement which is used to evaluate phase distance. A-IOT reader only supports OOK-4 modulation. So current gNB quality related requirement is not applicable anymore. RFID[1] use three types ASK modulation types, i.e. DSB-ASK, SSB-ASK or PR-ASK and define RF envelop requirement including modulation depth, RF envelop ripple, RF pluswidth etc which can be referred for OOK modulation. Details illustration of RFID RF envelop requirement is listed as below for information.</w:t>
      </w:r>
    </w:p>
    <w:p w14:paraId="241FF4D5">
      <w:pPr>
        <w:spacing w:after="180"/>
        <w:jc w:val="center"/>
        <w:rPr>
          <w:rFonts w:ascii="Times New Roman" w:hAnsi="Times New Roman"/>
          <w:sz w:val="20"/>
          <w:szCs w:val="20"/>
        </w:rPr>
      </w:pPr>
      <w:r>
        <w:rPr>
          <w:rFonts w:hint="eastAsia" w:ascii="Times New Roman" w:hAnsi="Times New Roman"/>
          <w:sz w:val="20"/>
          <w:szCs w:val="20"/>
        </w:rPr>
        <w:drawing>
          <wp:inline distT="0" distB="0" distL="114300" distR="114300">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7"/>
                    <a:stretch>
                      <a:fillRect/>
                    </a:stretch>
                  </pic:blipFill>
                  <pic:spPr>
                    <a:xfrm>
                      <a:off x="0" y="0"/>
                      <a:ext cx="4746625" cy="2604135"/>
                    </a:xfrm>
                    <a:prstGeom prst="rect">
                      <a:avLst/>
                    </a:prstGeom>
                  </pic:spPr>
                </pic:pic>
              </a:graphicData>
            </a:graphic>
          </wp:inline>
        </w:drawing>
      </w:r>
    </w:p>
    <w:p w14:paraId="7900555C">
      <w:pPr>
        <w:spacing w:after="180"/>
        <w:jc w:val="center"/>
      </w:pPr>
      <w:r>
        <w:drawing>
          <wp:inline distT="0" distB="0" distL="114300" distR="11430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391150" cy="1525270"/>
                    </a:xfrm>
                    <a:prstGeom prst="rect">
                      <a:avLst/>
                    </a:prstGeom>
                    <a:noFill/>
                    <a:ln>
                      <a:noFill/>
                    </a:ln>
                  </pic:spPr>
                </pic:pic>
              </a:graphicData>
            </a:graphic>
          </wp:inline>
        </w:drawing>
      </w:r>
    </w:p>
    <w:p w14:paraId="3DEF04F7">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theory, The baseband signal for OOK-4 is much like that of the ASK signal. But now RAN1 has introduce</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 xml:space="preserve"> the CP for OOK-4 </w:t>
      </w:r>
      <w:r>
        <w:rPr>
          <w:rFonts w:hint="eastAsia" w:ascii="Times New Roman" w:hAnsi="Times New Roman" w:cs="Times New Roman"/>
          <w:sz w:val="20"/>
          <w:szCs w:val="20"/>
          <w:lang w:val="en-US" w:eastAsia="zh-CN"/>
        </w:rPr>
        <w:t xml:space="preserve">to achieve orthogonal with NR sub-carrier </w:t>
      </w:r>
      <w:r>
        <w:rPr>
          <w:rFonts w:hint="default" w:ascii="Times New Roman" w:hAnsi="Times New Roman" w:cs="Times New Roman"/>
          <w:sz w:val="20"/>
          <w:szCs w:val="20"/>
          <w:lang w:val="en-US" w:eastAsia="zh-CN"/>
        </w:rPr>
        <w:t>which will impact the modulation signal quality.</w:t>
      </w:r>
      <w:r>
        <w:rPr>
          <w:rFonts w:hint="eastAsia" w:ascii="Times New Roman" w:hAnsi="Times New Roman" w:cs="Times New Roman"/>
          <w:sz w:val="20"/>
          <w:szCs w:val="20"/>
          <w:lang w:val="en-US" w:eastAsia="zh-CN"/>
        </w:rPr>
        <w:t xml:space="preserve"> So relaxation is required for ripple requirements. Besides, we should consider the tradeoff between ripple and ACLR. So, it seems reasonable to allow certain relaxation based on RFID requirements. </w:t>
      </w:r>
    </w:p>
    <w:p w14:paraId="2E72B996">
      <w:pPr>
        <w:bidi w:val="0"/>
        <w:rPr>
          <w:rFonts w:hint="default" w:ascii="Times New Roman" w:hAnsi="Times New Roman" w:cs="Times New Roman"/>
          <w:sz w:val="20"/>
          <w:szCs w:val="20"/>
          <w:lang w:val="en-US" w:eastAsia="zh-CN"/>
        </w:rPr>
      </w:pPr>
    </w:p>
    <w:p w14:paraId="6C567B17">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certain relaxation should be allowed compared with RFID ripple requirements when considering following factors:</w:t>
      </w:r>
    </w:p>
    <w:p w14:paraId="4BBC271B">
      <w:pPr>
        <w:numPr>
          <w:ilvl w:val="0"/>
          <w:numId w:val="6"/>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the tradoff between ACLR and ripple</w:t>
      </w:r>
    </w:p>
    <w:p w14:paraId="16B9E4E5">
      <w:pPr>
        <w:numPr>
          <w:ilvl w:val="0"/>
          <w:numId w:val="6"/>
        </w:num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CP at reader signal.</w:t>
      </w:r>
    </w:p>
    <w:p w14:paraId="19278657">
      <w:pPr>
        <w:numPr>
          <w:ilvl w:val="0"/>
          <w:numId w:val="5"/>
        </w:numPr>
        <w:spacing w:after="180"/>
        <w:jc w:val="left"/>
        <w:rPr>
          <w:rFonts w:ascii="Times New Roman" w:hAnsi="Times New Roman"/>
          <w:sz w:val="20"/>
          <w:szCs w:val="20"/>
        </w:rPr>
      </w:pPr>
      <w:r>
        <w:rPr>
          <w:rFonts w:hint="eastAsia" w:ascii="Times New Roman" w:hAnsi="Times New Roman"/>
          <w:sz w:val="20"/>
          <w:szCs w:val="20"/>
        </w:rPr>
        <w:t>Unwanted emission requirements</w:t>
      </w:r>
    </w:p>
    <w:p w14:paraId="264F3043">
      <w:pPr>
        <w:spacing w:after="180"/>
        <w:jc w:val="left"/>
        <w:rPr>
          <w:rFonts w:hint="eastAsia" w:ascii="Times New Roman" w:hAnsi="Times New Roman"/>
          <w:sz w:val="20"/>
          <w:szCs w:val="20"/>
        </w:rPr>
      </w:pPr>
      <w:r>
        <w:rPr>
          <w:rFonts w:hint="eastAsia" w:ascii="Times New Roman" w:hAnsi="Times New Roman"/>
          <w:sz w:val="20"/>
          <w:szCs w:val="20"/>
        </w:rPr>
        <w:t xml:space="preserve">For unwanted emission requirements, legacy NB-IOT requirements are used for co-existence evaluation in SI. The conclusion of evaluation shows that legacy requirements can fulfil the co-existence when NR macro BS is outdoor and A-IOT reader is indoor. One scenario that causes severe interference is when legacy NR UE is indoor, which require some existing scheduling mechanism to avoid adjacent </w:t>
      </w:r>
      <w:r>
        <w:rPr>
          <w:rFonts w:ascii="Times New Roman" w:hAnsi="Times New Roman"/>
          <w:sz w:val="20"/>
          <w:szCs w:val="20"/>
        </w:rPr>
        <w:t>interference</w:t>
      </w:r>
      <w:r>
        <w:rPr>
          <w:rFonts w:hint="eastAsia" w:ascii="Times New Roman" w:hAnsi="Times New Roman"/>
          <w:sz w:val="20"/>
          <w:szCs w:val="20"/>
        </w:rPr>
        <w:t xml:space="preserve"> or enhanced </w:t>
      </w:r>
      <w:r>
        <w:rPr>
          <w:rFonts w:ascii="Times New Roman" w:hAnsi="Times New Roman"/>
          <w:sz w:val="20"/>
          <w:szCs w:val="20"/>
        </w:rPr>
        <w:t>mechanism</w:t>
      </w:r>
      <w:r>
        <w:rPr>
          <w:rFonts w:hint="eastAsia" w:ascii="Times New Roman" w:hAnsi="Times New Roman"/>
          <w:sz w:val="20"/>
          <w:szCs w:val="20"/>
        </w:rPr>
        <w:t xml:space="preserve"> to mitigate </w:t>
      </w:r>
      <w:r>
        <w:rPr>
          <w:rFonts w:ascii="Times New Roman" w:hAnsi="Times New Roman"/>
          <w:sz w:val="20"/>
          <w:szCs w:val="20"/>
        </w:rPr>
        <w:t>interference</w:t>
      </w:r>
      <w:r>
        <w:rPr>
          <w:rFonts w:hint="eastAsia" w:ascii="Times New Roman" w:hAnsi="Times New Roman"/>
          <w:sz w:val="20"/>
          <w:szCs w:val="20"/>
        </w:rPr>
        <w:t xml:space="preserve"> (as captured in TR 38.769 clause 6.6.5.10). Consider enhanced mechanism to </w:t>
      </w:r>
      <w:r>
        <w:rPr>
          <w:rFonts w:ascii="Times New Roman" w:hAnsi="Times New Roman"/>
          <w:sz w:val="20"/>
          <w:szCs w:val="20"/>
        </w:rPr>
        <w:t>mitigate</w:t>
      </w:r>
      <w:r>
        <w:rPr>
          <w:rFonts w:hint="eastAsia" w:ascii="Times New Roman" w:hAnsi="Times New Roman"/>
          <w:sz w:val="20"/>
          <w:szCs w:val="20"/>
        </w:rPr>
        <w:t xml:space="preserve"> interference is not within Rel-19 WI scope, then legacy NB-IOT requirements can be reused for A-IOT reader.</w:t>
      </w:r>
    </w:p>
    <w:p w14:paraId="74B8E95F">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NB-IoT, 100kHz offset is defined. OOK4 modulation scheme has worse out of band spectrum characteristics. In theory, reader will require larger offset for the same requirements. In last meeting, some companies propose to allow relaxation based on NB requirements with the same 100kHz offset. For future, reader FDM operation may be supported for other devices, e.g. 2a, 2b or 2c. for forward compatible,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still suggested to use the same NB-IoT requriements and wider offset is allowed. </w:t>
      </w:r>
    </w:p>
    <w:p w14:paraId="503B9748">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2</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 xml:space="preserve">s suggested to reuse </w:t>
      </w:r>
      <w:r>
        <w:rPr>
          <w:rFonts w:hint="eastAsia" w:ascii="Times New Roman" w:hAnsi="Times New Roman"/>
          <w:b/>
          <w:bCs/>
          <w:sz w:val="20"/>
          <w:szCs w:val="20"/>
          <w:highlight w:val="none"/>
        </w:rPr>
        <w:t>legacy NB-I</w:t>
      </w:r>
      <w:r>
        <w:rPr>
          <w:rFonts w:hint="eastAsia" w:ascii="Times New Roman" w:hAnsi="Times New Roman"/>
          <w:b/>
          <w:bCs/>
          <w:sz w:val="20"/>
          <w:szCs w:val="20"/>
          <w:highlight w:val="none"/>
          <w:lang w:val="en-US" w:eastAsia="zh-CN"/>
        </w:rPr>
        <w:t>o</w:t>
      </w:r>
      <w:r>
        <w:rPr>
          <w:rFonts w:hint="eastAsia" w:ascii="Times New Roman" w:hAnsi="Times New Roman"/>
          <w:b/>
          <w:bCs/>
          <w:sz w:val="20"/>
          <w:szCs w:val="20"/>
          <w:highlight w:val="none"/>
        </w:rPr>
        <w:t>T ACLR unwanted emission</w:t>
      </w:r>
      <w:r>
        <w:rPr>
          <w:rFonts w:hint="eastAsia" w:ascii="Times New Roman" w:hAnsi="Times New Roman"/>
          <w:b/>
          <w:bCs/>
          <w:sz w:val="20"/>
          <w:szCs w:val="20"/>
          <w:highlight w:val="none"/>
          <w:lang w:val="en-US" w:eastAsia="zh-CN"/>
        </w:rPr>
        <w:t xml:space="preserve"> requirements with wider offset to consider forward compatible.</w:t>
      </w:r>
    </w:p>
    <w:p w14:paraId="452232E2">
      <w:pPr>
        <w:numPr>
          <w:ilvl w:val="0"/>
          <w:numId w:val="5"/>
        </w:numPr>
        <w:spacing w:after="180"/>
        <w:jc w:val="left"/>
        <w:rPr>
          <w:rFonts w:ascii="Times New Roman" w:hAnsi="Times New Roman"/>
          <w:sz w:val="20"/>
          <w:szCs w:val="20"/>
        </w:rPr>
      </w:pPr>
      <w:r>
        <w:rPr>
          <w:rFonts w:hint="eastAsia" w:ascii="Times New Roman" w:hAnsi="Times New Roman"/>
          <w:sz w:val="20"/>
          <w:szCs w:val="20"/>
          <w:lang w:val="en-US" w:eastAsia="zh-CN"/>
        </w:rPr>
        <w:t>Tx intermodulation</w:t>
      </w:r>
      <w:r>
        <w:rPr>
          <w:rFonts w:hint="eastAsia" w:ascii="Times New Roman" w:hAnsi="Times New Roman"/>
          <w:sz w:val="20"/>
          <w:szCs w:val="20"/>
        </w:rPr>
        <w:t xml:space="preserve"> requirements</w:t>
      </w:r>
    </w:p>
    <w:p w14:paraId="68B1FB29">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According to the assumption, there is no co-located indoor 900MHz BS, therefore, no need for Tx intermodulation requirements.</w:t>
      </w:r>
    </w:p>
    <w:p w14:paraId="559EECD2">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need for Tx intermodulation requirements.</w:t>
      </w:r>
    </w:p>
    <w:p w14:paraId="2AD92FE8">
      <w:pPr>
        <w:pStyle w:val="4"/>
        <w:spacing w:before="156" w:after="156"/>
        <w:rPr>
          <w:rFonts w:eastAsiaTheme="minorEastAsia"/>
        </w:rPr>
      </w:pPr>
      <w:bookmarkStart w:id="8" w:name="OLE_LINK29"/>
      <w:r>
        <w:rPr>
          <w:rFonts w:hint="eastAsia"/>
        </w:rPr>
        <w:t>2.</w:t>
      </w:r>
      <w:r>
        <w:rPr>
          <w:rFonts w:hint="eastAsia" w:eastAsiaTheme="minorEastAsia"/>
        </w:rPr>
        <w:t>2</w:t>
      </w:r>
      <w:r>
        <w:rPr>
          <w:rFonts w:hint="eastAsia"/>
        </w:rPr>
        <w:t xml:space="preserve"> A-IoT </w:t>
      </w:r>
      <w:r>
        <w:rPr>
          <w:rFonts w:hint="eastAsia" w:eastAsiaTheme="minorEastAsia"/>
        </w:rPr>
        <w:t>BS Rx requirement</w:t>
      </w:r>
    </w:p>
    <w:bookmarkEnd w:id="8"/>
    <w:p w14:paraId="130ED7F9">
      <w:pPr>
        <w:spacing w:after="180"/>
        <w:jc w:val="left"/>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h</w:t>
      </w:r>
      <w:r>
        <w:rPr>
          <w:rFonts w:hint="eastAsia" w:ascii="Times New Roman" w:hAnsi="Times New Roman"/>
          <w:sz w:val="20"/>
          <w:szCs w:val="20"/>
        </w:rPr>
        <w:t>e conclusion on BS Rx requirements in study item are captured in following table</w:t>
      </w:r>
    </w:p>
    <w:tbl>
      <w:tblPr>
        <w:tblStyle w:val="70"/>
        <w:tblW w:w="6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2502"/>
        <w:gridCol w:w="2742"/>
      </w:tblGrid>
      <w:tr w14:paraId="59A3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033" w:type="dxa"/>
            <w:gridSpan w:val="2"/>
          </w:tcPr>
          <w:p w14:paraId="4F8A279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b/>
                <w:bCs/>
                <w:kern w:val="0"/>
                <w:sz w:val="20"/>
                <w:szCs w:val="20"/>
                <w:lang w:val="en-GB" w:eastAsia="en-US"/>
              </w:rPr>
              <w:t xml:space="preserve">A-IoT BS- RX </w:t>
            </w:r>
            <w:r>
              <w:rPr>
                <w:rFonts w:hint="eastAsia" w:ascii="Times New Roman" w:hAnsi="Times New Roman" w:eastAsia="Yu Mincho"/>
                <w:b/>
                <w:bCs/>
                <w:kern w:val="0"/>
                <w:sz w:val="20"/>
                <w:szCs w:val="20"/>
                <w:lang w:val="en-GB" w:eastAsia="en-US"/>
              </w:rPr>
              <w:t>RF</w:t>
            </w:r>
            <w:r>
              <w:rPr>
                <w:rFonts w:ascii="Times New Roman" w:hAnsi="Times New Roman" w:eastAsia="Yu Mincho"/>
                <w:b/>
                <w:bCs/>
                <w:kern w:val="0"/>
                <w:sz w:val="20"/>
                <w:szCs w:val="20"/>
                <w:lang w:val="en-GB" w:eastAsia="en-US"/>
              </w:rPr>
              <w:t xml:space="preserve"> Requirement </w:t>
            </w:r>
          </w:p>
        </w:tc>
        <w:tc>
          <w:tcPr>
            <w:tcW w:w="2742" w:type="dxa"/>
          </w:tcPr>
          <w:p w14:paraId="021E25F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b/>
                <w:bCs/>
                <w:kern w:val="0"/>
                <w:sz w:val="20"/>
                <w:szCs w:val="20"/>
                <w:lang w:val="en-GB" w:eastAsia="en-GB"/>
              </w:rPr>
              <w:t>Potentially</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needed</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or</w:t>
            </w:r>
            <w:r>
              <w:rPr>
                <w:rFonts w:ascii="Times New Roman" w:hAnsi="Times New Roman" w:eastAsia="Yu Mincho"/>
                <w:b/>
                <w:bCs/>
                <w:kern w:val="0"/>
                <w:sz w:val="20"/>
                <w:szCs w:val="20"/>
                <w:lang w:val="en-GB" w:eastAsia="en-GB"/>
              </w:rPr>
              <w:t xml:space="preserve"> </w:t>
            </w:r>
            <w:r>
              <w:rPr>
                <w:rFonts w:hint="eastAsia" w:ascii="Times New Roman" w:hAnsi="Times New Roman" w:eastAsia="Yu Mincho"/>
                <w:b/>
                <w:bCs/>
                <w:kern w:val="0"/>
                <w:sz w:val="20"/>
                <w:szCs w:val="20"/>
                <w:lang w:val="en-GB" w:eastAsia="en-GB"/>
              </w:rPr>
              <w:t>not</w:t>
            </w:r>
          </w:p>
        </w:tc>
      </w:tr>
      <w:tr w14:paraId="5E85F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033" w:type="dxa"/>
            <w:gridSpan w:val="2"/>
          </w:tcPr>
          <w:p w14:paraId="7322347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Reference sensitivity level</w:t>
            </w:r>
          </w:p>
        </w:tc>
        <w:tc>
          <w:tcPr>
            <w:tcW w:w="2742" w:type="dxa"/>
          </w:tcPr>
          <w:p w14:paraId="0242FA38">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79F6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033" w:type="dxa"/>
            <w:gridSpan w:val="2"/>
          </w:tcPr>
          <w:p w14:paraId="53CC5EED">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hint="eastAsia" w:ascii="Times New Roman" w:hAnsi="Times New Roman" w:eastAsia="Yu Mincho"/>
                <w:kern w:val="0"/>
                <w:sz w:val="20"/>
                <w:szCs w:val="20"/>
                <w:lang w:val="en-GB" w:eastAsia="en-US"/>
              </w:rPr>
              <w:t xml:space="preserve">Dynamic range </w:t>
            </w:r>
          </w:p>
        </w:tc>
        <w:tc>
          <w:tcPr>
            <w:tcW w:w="2742" w:type="dxa"/>
          </w:tcPr>
          <w:p w14:paraId="62628E33">
            <w:pPr>
              <w:widowControl/>
              <w:overflowPunct w:val="0"/>
              <w:autoSpaceDE w:val="0"/>
              <w:autoSpaceDN w:val="0"/>
              <w:adjustRightInd w:val="0"/>
              <w:spacing w:after="18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TBD</w:t>
            </w:r>
            <w:r>
              <w:rPr>
                <w:rFonts w:hint="eastAsia" w:ascii="Times New Roman" w:hAnsi="Times New Roman" w:eastAsia="Yu Mincho"/>
                <w:kern w:val="0"/>
                <w:sz w:val="20"/>
                <w:szCs w:val="20"/>
                <w:lang w:val="en-GB" w:eastAsia="en-US"/>
              </w:rPr>
              <w:t xml:space="preserve"> in WI phase</w:t>
            </w:r>
          </w:p>
        </w:tc>
      </w:tr>
      <w:tr w14:paraId="17F0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033" w:type="dxa"/>
            <w:gridSpan w:val="2"/>
          </w:tcPr>
          <w:p w14:paraId="7454FF54">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Adjacent Channel Selectivity</w:t>
            </w:r>
          </w:p>
        </w:tc>
        <w:tc>
          <w:tcPr>
            <w:tcW w:w="2742" w:type="dxa"/>
          </w:tcPr>
          <w:p w14:paraId="7BD43B3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0032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531" w:type="dxa"/>
            <w:vMerge w:val="restart"/>
            <w:vAlign w:val="center"/>
          </w:tcPr>
          <w:p w14:paraId="03DDDC1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1"/>
                <w:lang w:val="en-GB" w:eastAsia="en-US"/>
              </w:rPr>
              <w:t>In-band blocking</w:t>
            </w:r>
          </w:p>
        </w:tc>
        <w:tc>
          <w:tcPr>
            <w:tcW w:w="2502" w:type="dxa"/>
          </w:tcPr>
          <w:p w14:paraId="7151AA0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general blocking</w:t>
            </w:r>
          </w:p>
        </w:tc>
        <w:tc>
          <w:tcPr>
            <w:tcW w:w="2742" w:type="dxa"/>
          </w:tcPr>
          <w:p w14:paraId="64F40363">
            <w:pPr>
              <w:widowControl/>
              <w:overflowPunct w:val="0"/>
              <w:autoSpaceDE w:val="0"/>
              <w:autoSpaceDN w:val="0"/>
              <w:adjustRightInd w:val="0"/>
              <w:spacing w:after="180" w:line="259" w:lineRule="auto"/>
              <w:jc w:val="left"/>
              <w:textAlignment w:val="baseline"/>
              <w:rPr>
                <w:rFonts w:ascii="Times New Roman" w:hAnsi="Times New Roman" w:eastAsia="等线"/>
                <w:kern w:val="0"/>
                <w:sz w:val="20"/>
                <w:szCs w:val="20"/>
                <w:lang w:val="en-GB" w:eastAsia="en-GB"/>
              </w:rPr>
            </w:pPr>
            <w:r>
              <w:rPr>
                <w:rFonts w:ascii="Times New Roman" w:hAnsi="Times New Roman" w:eastAsia="Yu Mincho"/>
                <w:kern w:val="0"/>
                <w:sz w:val="20"/>
                <w:szCs w:val="20"/>
                <w:lang w:val="en-GB" w:eastAsia="en-GB"/>
              </w:rPr>
              <w:t>YES</w:t>
            </w:r>
          </w:p>
        </w:tc>
      </w:tr>
      <w:tr w14:paraId="1D4D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531" w:type="dxa"/>
            <w:vMerge w:val="continue"/>
            <w:vAlign w:val="center"/>
          </w:tcPr>
          <w:p w14:paraId="3BB3287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1"/>
                <w:lang w:val="en-GB" w:eastAsia="en-US"/>
              </w:rPr>
            </w:pPr>
          </w:p>
        </w:tc>
        <w:tc>
          <w:tcPr>
            <w:tcW w:w="2502" w:type="dxa"/>
          </w:tcPr>
          <w:p w14:paraId="6323A0EA">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US"/>
              </w:rPr>
              <w:t>narrowband blocking</w:t>
            </w:r>
          </w:p>
        </w:tc>
        <w:tc>
          <w:tcPr>
            <w:tcW w:w="2742" w:type="dxa"/>
          </w:tcPr>
          <w:p w14:paraId="68E110C4">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76AD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4033" w:type="dxa"/>
            <w:gridSpan w:val="2"/>
            <w:vAlign w:val="center"/>
          </w:tcPr>
          <w:p w14:paraId="3029F39E">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1"/>
                <w:lang w:val="en-GB" w:eastAsia="en-US"/>
              </w:rPr>
              <w:t>Out-of-band blocking</w:t>
            </w:r>
          </w:p>
        </w:tc>
        <w:tc>
          <w:tcPr>
            <w:tcW w:w="2742" w:type="dxa"/>
          </w:tcPr>
          <w:p w14:paraId="5473B9DB">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ascii="Times New Roman" w:hAnsi="Times New Roman" w:eastAsia="Yu Mincho"/>
                <w:kern w:val="0"/>
                <w:sz w:val="20"/>
                <w:szCs w:val="20"/>
                <w:lang w:val="en-GB" w:eastAsia="en-GB"/>
              </w:rPr>
              <w:t>YES</w:t>
            </w:r>
          </w:p>
        </w:tc>
      </w:tr>
      <w:tr w14:paraId="3E18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4033" w:type="dxa"/>
            <w:gridSpan w:val="2"/>
          </w:tcPr>
          <w:p w14:paraId="09B70183">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1"/>
                <w:lang w:val="en-GB" w:eastAsia="en-US"/>
              </w:rPr>
            </w:pPr>
            <w:r>
              <w:rPr>
                <w:rFonts w:hint="eastAsia" w:ascii="Times New Roman" w:hAnsi="Times New Roman" w:eastAsia="Yu Mincho"/>
                <w:kern w:val="0"/>
                <w:sz w:val="20"/>
                <w:szCs w:val="20"/>
                <w:lang w:val="en-GB" w:eastAsia="en-US"/>
              </w:rPr>
              <w:t>R</w:t>
            </w:r>
            <w:r>
              <w:rPr>
                <w:rFonts w:ascii="Times New Roman" w:hAnsi="Times New Roman" w:eastAsia="Yu Mincho"/>
                <w:kern w:val="0"/>
                <w:sz w:val="20"/>
                <w:szCs w:val="20"/>
                <w:lang w:val="en-GB" w:eastAsia="en-US"/>
              </w:rPr>
              <w:t>eceiver</w:t>
            </w:r>
            <w:r>
              <w:rPr>
                <w:rFonts w:hint="eastAsia" w:ascii="Times New Roman" w:hAnsi="Times New Roman" w:eastAsia="Yu Mincho"/>
                <w:kern w:val="0"/>
                <w:sz w:val="20"/>
                <w:szCs w:val="20"/>
                <w:lang w:val="en-GB" w:eastAsia="en-US"/>
              </w:rPr>
              <w:t xml:space="preserve"> spurious emission</w:t>
            </w:r>
          </w:p>
        </w:tc>
        <w:tc>
          <w:tcPr>
            <w:tcW w:w="2742" w:type="dxa"/>
          </w:tcPr>
          <w:p w14:paraId="4CC1B3B7">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GB"/>
              </w:rPr>
            </w:pPr>
            <w:r>
              <w:rPr>
                <w:rFonts w:hint="eastAsia" w:ascii="Times New Roman" w:hAnsi="Times New Roman" w:eastAsia="Yu Mincho"/>
                <w:kern w:val="0"/>
                <w:sz w:val="20"/>
                <w:szCs w:val="20"/>
                <w:lang w:val="en-GB" w:eastAsia="en-GB"/>
              </w:rPr>
              <w:t>YES</w:t>
            </w:r>
          </w:p>
        </w:tc>
      </w:tr>
      <w:tr w14:paraId="3CCA0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31" w:type="dxa"/>
            <w:vMerge w:val="restart"/>
          </w:tcPr>
          <w:p w14:paraId="441C02D1">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Receiver</w:t>
            </w:r>
            <w:r>
              <w:rPr>
                <w:rFonts w:hint="eastAsia" w:ascii="Times New Roman" w:hAnsi="Times New Roman" w:eastAsia="Yu Mincho"/>
                <w:kern w:val="0"/>
                <w:sz w:val="20"/>
                <w:szCs w:val="20"/>
                <w:lang w:val="en-GB" w:eastAsia="en-US"/>
              </w:rPr>
              <w:t xml:space="preserve"> </w:t>
            </w:r>
            <w:r>
              <w:rPr>
                <w:rFonts w:ascii="Times New Roman" w:hAnsi="Times New Roman" w:eastAsia="Yu Mincho"/>
                <w:kern w:val="0"/>
                <w:sz w:val="20"/>
                <w:szCs w:val="20"/>
                <w:lang w:val="en-GB" w:eastAsia="en-US"/>
              </w:rPr>
              <w:t>intermodulation</w:t>
            </w:r>
          </w:p>
        </w:tc>
        <w:tc>
          <w:tcPr>
            <w:tcW w:w="2502" w:type="dxa"/>
          </w:tcPr>
          <w:p w14:paraId="01A4E266">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General intermodulation</w:t>
            </w:r>
          </w:p>
        </w:tc>
        <w:tc>
          <w:tcPr>
            <w:tcW w:w="2742" w:type="dxa"/>
          </w:tcPr>
          <w:p w14:paraId="2D8E07B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Wait for RAN1 conclusion.</w:t>
            </w:r>
          </w:p>
        </w:tc>
      </w:tr>
      <w:tr w14:paraId="2D30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531" w:type="dxa"/>
            <w:vMerge w:val="continue"/>
          </w:tcPr>
          <w:p w14:paraId="2E08CACF">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p>
        </w:tc>
        <w:tc>
          <w:tcPr>
            <w:tcW w:w="2502" w:type="dxa"/>
          </w:tcPr>
          <w:p w14:paraId="2259204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Narrowband intermodulation</w:t>
            </w:r>
          </w:p>
        </w:tc>
        <w:tc>
          <w:tcPr>
            <w:tcW w:w="2742" w:type="dxa"/>
          </w:tcPr>
          <w:p w14:paraId="5038C6D2">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GB"/>
              </w:rPr>
              <w:t>YES</w:t>
            </w:r>
          </w:p>
        </w:tc>
      </w:tr>
      <w:tr w14:paraId="5DFC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4033" w:type="dxa"/>
            <w:gridSpan w:val="2"/>
          </w:tcPr>
          <w:p w14:paraId="2EB46830">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ascii="Times New Roman" w:hAnsi="Times New Roman" w:eastAsia="Yu Mincho"/>
                <w:kern w:val="0"/>
                <w:sz w:val="20"/>
                <w:szCs w:val="20"/>
                <w:lang w:val="en-GB" w:eastAsia="en-US"/>
              </w:rPr>
              <w:t xml:space="preserve">In-channel selectivity </w:t>
            </w:r>
          </w:p>
        </w:tc>
        <w:tc>
          <w:tcPr>
            <w:tcW w:w="2742" w:type="dxa"/>
          </w:tcPr>
          <w:p w14:paraId="5A0DC99C">
            <w:pPr>
              <w:widowControl/>
              <w:overflowPunct w:val="0"/>
              <w:autoSpaceDE w:val="0"/>
              <w:autoSpaceDN w:val="0"/>
              <w:adjustRightInd w:val="0"/>
              <w:spacing w:after="180" w:line="259" w:lineRule="auto"/>
              <w:jc w:val="left"/>
              <w:textAlignment w:val="baseline"/>
              <w:rPr>
                <w:rFonts w:ascii="Times New Roman" w:hAnsi="Times New Roman" w:eastAsia="Yu Mincho"/>
                <w:kern w:val="0"/>
                <w:sz w:val="20"/>
                <w:szCs w:val="20"/>
                <w:lang w:val="en-GB" w:eastAsia="en-US"/>
              </w:rPr>
            </w:pPr>
            <w:r>
              <w:rPr>
                <w:rFonts w:hint="eastAsia" w:ascii="Times New Roman" w:hAnsi="Times New Roman" w:eastAsia="Yu Mincho"/>
                <w:kern w:val="0"/>
                <w:sz w:val="20"/>
                <w:szCs w:val="20"/>
                <w:lang w:val="en-GB" w:eastAsia="en-GB"/>
              </w:rPr>
              <w:t>TBD</w:t>
            </w:r>
            <w:r>
              <w:rPr>
                <w:rFonts w:ascii="Times New Roman" w:hAnsi="Times New Roman" w:eastAsia="Yu Mincho"/>
                <w:kern w:val="0"/>
                <w:sz w:val="20"/>
                <w:szCs w:val="20"/>
                <w:lang w:val="en-GB" w:eastAsia="en-GB"/>
              </w:rPr>
              <w:t xml:space="preserve"> </w:t>
            </w:r>
            <w:r>
              <w:rPr>
                <w:rFonts w:ascii="Times New Roman" w:hAnsi="Times New Roman" w:eastAsia="等线"/>
                <w:kern w:val="0"/>
                <w:sz w:val="20"/>
                <w:szCs w:val="20"/>
                <w:lang w:val="en-GB" w:eastAsia="en-GB"/>
              </w:rPr>
              <w:t>in WI phase</w:t>
            </w:r>
          </w:p>
        </w:tc>
      </w:tr>
    </w:tbl>
    <w:p w14:paraId="53A2D99A">
      <w:pPr>
        <w:widowControl/>
        <w:spacing w:after="156" w:afterLines="50"/>
        <w:rPr>
          <w:rFonts w:ascii="Times New Roman" w:hAnsi="Times New Roman"/>
          <w:kern w:val="0"/>
          <w:sz w:val="20"/>
          <w:szCs w:val="20"/>
          <w:lang w:val="en-GB"/>
        </w:rPr>
      </w:pPr>
    </w:p>
    <w:p w14:paraId="24966F7E">
      <w:pPr>
        <w:numPr>
          <w:ilvl w:val="0"/>
          <w:numId w:val="5"/>
        </w:numPr>
        <w:spacing w:after="180"/>
        <w:jc w:val="left"/>
        <w:rPr>
          <w:rFonts w:ascii="Times New Roman" w:hAnsi="Times New Roman"/>
          <w:sz w:val="20"/>
          <w:szCs w:val="20"/>
        </w:rPr>
      </w:pPr>
      <w:bookmarkStart w:id="9" w:name="OLE_LINK26"/>
      <w:r>
        <w:rPr>
          <w:rFonts w:hint="eastAsia" w:ascii="Times New Roman" w:hAnsi="Times New Roman"/>
          <w:sz w:val="20"/>
          <w:szCs w:val="20"/>
        </w:rPr>
        <w:t>Reference Sensitivity</w:t>
      </w:r>
    </w:p>
    <w:bookmarkEnd w:id="9"/>
    <w:p w14:paraId="5DEBDE1D">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Based on RAN1 link budget analysis as below, R2D link is bottleneck for D1T1-B. </w:t>
      </w:r>
    </w:p>
    <w:p w14:paraId="547B5CE7">
      <w:pPr>
        <w:pStyle w:val="15"/>
        <w:snapToGrid w:val="0"/>
        <w:spacing w:before="120" w:beforeAutospacing="0" w:afterAutospacing="0"/>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Table D1T1-96bit-10%BLER-6kbps-BPSK-6dBi BS antenna gain</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57"/>
        <w:gridCol w:w="1660"/>
        <w:gridCol w:w="1660"/>
        <w:gridCol w:w="1660"/>
        <w:gridCol w:w="1674"/>
      </w:tblGrid>
      <w:tr w14:paraId="4907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1BA7FAD6">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bCs/>
                <w:sz w:val="20"/>
                <w:szCs w:val="20"/>
                <w:lang w:bidi="ar"/>
              </w:rPr>
              <w:t>Scenario</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164EB352">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CW case</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4420084">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R2D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31ABCD7">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D2R pathloss (dB)</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3CB6BBB">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min pathloss (dB)</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6DF0C6CA">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eastAsia="等线" w:cs="Times New Roman"/>
                <w:b/>
                <w:bCs/>
                <w:sz w:val="20"/>
                <w:szCs w:val="20"/>
                <w:lang w:bidi="ar"/>
              </w:rPr>
              <w:t>coverage(m)</w:t>
            </w:r>
          </w:p>
        </w:tc>
      </w:tr>
      <w:tr w14:paraId="7706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14:paraId="2FDAC6B6">
            <w:pPr>
              <w:pStyle w:val="15"/>
              <w:snapToGrid w:val="0"/>
              <w:spacing w:line="280" w:lineRule="atLeast"/>
              <w:jc w:val="center"/>
              <w:rPr>
                <w:rFonts w:hint="default" w:ascii="Times New Roman" w:hAnsi="Times New Roman" w:cs="Times New Roman"/>
                <w:b/>
                <w:sz w:val="20"/>
                <w:szCs w:val="20"/>
                <w:lang w:bidi="ar"/>
              </w:rPr>
            </w:pPr>
            <w:r>
              <w:rPr>
                <w:rFonts w:hint="default" w:ascii="Times New Roman" w:hAnsi="Times New Roman" w:cs="Times New Roman"/>
                <w:b/>
                <w:sz w:val="20"/>
                <w:szCs w:val="20"/>
                <w:lang w:bidi="ar"/>
              </w:rPr>
              <w:t>Device 1</w:t>
            </w:r>
          </w:p>
        </w:tc>
      </w:tr>
      <w:tr w14:paraId="39A6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5258C2D">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b/>
                <w:bCs/>
                <w:sz w:val="20"/>
                <w:szCs w:val="20"/>
                <w:highlight w:val="none"/>
                <w:lang w:bidi="ar"/>
              </w:rPr>
              <w:t>D1T1-B</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7C7F7412">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cs="Times New Roman"/>
                <w:sz w:val="20"/>
                <w:szCs w:val="20"/>
                <w:highlight w:val="none"/>
                <w:lang w:bidi="ar"/>
              </w:rPr>
              <w:t>1-4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094D74E">
            <w:pPr>
              <w:pStyle w:val="15"/>
              <w:snapToGrid w:val="0"/>
              <w:spacing w:line="280" w:lineRule="atLeast"/>
              <w:jc w:val="center"/>
              <w:rPr>
                <w:rFonts w:hint="default" w:ascii="Times New Roman" w:hAnsi="Times New Roman" w:cs="Times New Roman"/>
                <w:b/>
                <w:bCs/>
                <w:sz w:val="20"/>
                <w:szCs w:val="20"/>
                <w:highlight w:val="none"/>
                <w:lang w:bidi="ar"/>
              </w:rPr>
            </w:pPr>
            <w:r>
              <w:rPr>
                <w:rFonts w:hint="default" w:ascii="Times New Roman" w:hAnsi="Times New Roman" w:eastAsia="等线" w:cs="Times New Roman"/>
                <w:b/>
                <w:bCs/>
                <w:color w:val="000000"/>
                <w:sz w:val="20"/>
                <w:szCs w:val="20"/>
                <w:highlight w:val="none"/>
              </w:rPr>
              <w:t>67.1</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291497D7">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84.54 </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1611D80B">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 xml:space="preserve">67.10 </w:t>
            </w:r>
          </w:p>
        </w:tc>
        <w:tc>
          <w:tcPr>
            <w:tcW w:w="838" w:type="pct"/>
            <w:tcBorders>
              <w:top w:val="single" w:color="auto" w:sz="4" w:space="0"/>
              <w:left w:val="single" w:color="auto" w:sz="4" w:space="0"/>
              <w:bottom w:val="single" w:color="auto" w:sz="4" w:space="0"/>
              <w:right w:val="single" w:color="auto" w:sz="4" w:space="0"/>
            </w:tcBorders>
            <w:shd w:val="clear" w:color="auto" w:fill="auto"/>
            <w:vAlign w:val="center"/>
          </w:tcPr>
          <w:p w14:paraId="4599D5AB">
            <w:pPr>
              <w:pStyle w:val="15"/>
              <w:snapToGrid w:val="0"/>
              <w:spacing w:line="280" w:lineRule="atLeast"/>
              <w:jc w:val="center"/>
              <w:rPr>
                <w:rFonts w:hint="default" w:ascii="Times New Roman" w:hAnsi="Times New Roman" w:cs="Times New Roman"/>
                <w:b/>
                <w:sz w:val="20"/>
                <w:szCs w:val="20"/>
                <w:highlight w:val="none"/>
                <w:lang w:bidi="ar"/>
              </w:rPr>
            </w:pPr>
            <w:r>
              <w:rPr>
                <w:rFonts w:hint="default" w:ascii="Times New Roman" w:hAnsi="Times New Roman" w:eastAsia="等线" w:cs="Times New Roman"/>
                <w:color w:val="000000"/>
                <w:sz w:val="20"/>
                <w:szCs w:val="20"/>
                <w:highlight w:val="none"/>
              </w:rPr>
              <w:t>36.59</w:t>
            </w:r>
          </w:p>
        </w:tc>
      </w:tr>
    </w:tbl>
    <w:p w14:paraId="6FFD14F2">
      <w:pPr>
        <w:spacing w:after="180"/>
        <w:jc w:val="left"/>
        <w:rPr>
          <w:rFonts w:hint="default" w:ascii="Times New Roman" w:hAnsi="Times New Roman" w:cs="Times New Roman"/>
          <w:sz w:val="20"/>
          <w:szCs w:val="20"/>
          <w:lang w:val="en-US" w:eastAsia="zh-CN"/>
        </w:rPr>
      </w:pPr>
    </w:p>
    <w:p w14:paraId="2D2271D1">
      <w:pPr>
        <w:spacing w:after="180"/>
        <w:jc w:val="lef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But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noted, RAN1 use 33dBm as reader max output power, but based on RAN4 latest agreements, reader output power could be increased to 38dBm per antenna connector. If the assume 2Tx of reader, then the coverage margin between R2D and D2R link could be negligible (from 7.44 to -0.56dB). besides, if CW is distant from device, then the D2R link will be the coverage bottleneck. Therefore, REFSENSE is significant. </w:t>
      </w:r>
    </w:p>
    <w:p w14:paraId="13092581">
      <w:pPr>
        <w:spacing w:after="180"/>
        <w:jc w:val="left"/>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Following list our simulation results and related parameters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14:paraId="4430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467845F">
            <w:pPr>
              <w:spacing w:before="120" w:after="180" w:line="280" w:lineRule="atLeast"/>
              <w:jc w:val="left"/>
              <w:rPr>
                <w:rFonts w:hint="eastAsia" w:ascii="Times New Roman" w:hAnsi="Times New Roman" w:cs="Times New Roman"/>
                <w:b w:val="0"/>
                <w:bCs w:val="0"/>
                <w:sz w:val="20"/>
                <w:szCs w:val="20"/>
                <w:vertAlign w:val="baseline"/>
                <w:lang w:val="en-US" w:eastAsia="zh-CN"/>
              </w:rPr>
            </w:pPr>
          </w:p>
        </w:tc>
        <w:tc>
          <w:tcPr>
            <w:tcW w:w="6640" w:type="dxa"/>
            <w:gridSpan w:val="2"/>
          </w:tcPr>
          <w:p w14:paraId="6A338928">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BLER</w:t>
            </w:r>
          </w:p>
        </w:tc>
      </w:tr>
      <w:tr w14:paraId="0510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FE91612">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SNR</w:t>
            </w:r>
          </w:p>
        </w:tc>
        <w:tc>
          <w:tcPr>
            <w:tcW w:w="3320" w:type="dxa"/>
            <w:vAlign w:val="top"/>
          </w:tcPr>
          <w:p w14:paraId="3293D38B">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Variable SFO</w:t>
            </w:r>
          </w:p>
        </w:tc>
        <w:tc>
          <w:tcPr>
            <w:tcW w:w="3320" w:type="dxa"/>
            <w:vAlign w:val="top"/>
          </w:tcPr>
          <w:p w14:paraId="0A0C50B6">
            <w:pPr>
              <w:spacing w:before="120" w:after="180" w:line="280" w:lineRule="atLeast"/>
              <w:jc w:val="left"/>
              <w:rPr>
                <w:rFonts w:hint="eastAsia"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Fixed SFO</w:t>
            </w:r>
          </w:p>
        </w:tc>
      </w:tr>
      <w:tr w14:paraId="4722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8B869BF">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-11</w:t>
            </w:r>
          </w:p>
        </w:tc>
        <w:tc>
          <w:tcPr>
            <w:tcW w:w="3320" w:type="dxa"/>
          </w:tcPr>
          <w:p w14:paraId="51D3502A">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13%</w:t>
            </w:r>
          </w:p>
        </w:tc>
        <w:tc>
          <w:tcPr>
            <w:tcW w:w="3320" w:type="dxa"/>
          </w:tcPr>
          <w:p w14:paraId="44A26EDF">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23%</w:t>
            </w:r>
          </w:p>
        </w:tc>
      </w:tr>
      <w:tr w14:paraId="2DC2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40EDBC9D">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-10.8</w:t>
            </w:r>
          </w:p>
        </w:tc>
        <w:tc>
          <w:tcPr>
            <w:tcW w:w="3320" w:type="dxa"/>
          </w:tcPr>
          <w:p w14:paraId="0954731A">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w:t>
            </w:r>
          </w:p>
        </w:tc>
        <w:tc>
          <w:tcPr>
            <w:tcW w:w="3320" w:type="dxa"/>
          </w:tcPr>
          <w:p w14:paraId="20411D78">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19%</w:t>
            </w:r>
          </w:p>
        </w:tc>
      </w:tr>
      <w:tr w14:paraId="1983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E0082B3">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-10.6</w:t>
            </w:r>
          </w:p>
        </w:tc>
        <w:tc>
          <w:tcPr>
            <w:tcW w:w="3320" w:type="dxa"/>
          </w:tcPr>
          <w:p w14:paraId="285DF310">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w:t>
            </w:r>
          </w:p>
        </w:tc>
        <w:tc>
          <w:tcPr>
            <w:tcW w:w="3320" w:type="dxa"/>
          </w:tcPr>
          <w:p w14:paraId="4EF22257">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17%</w:t>
            </w:r>
          </w:p>
        </w:tc>
      </w:tr>
      <w:tr w14:paraId="3381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50629C2D">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-10.4</w:t>
            </w:r>
          </w:p>
        </w:tc>
        <w:tc>
          <w:tcPr>
            <w:tcW w:w="3320" w:type="dxa"/>
          </w:tcPr>
          <w:p w14:paraId="51287080">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c>
          <w:tcPr>
            <w:tcW w:w="3320" w:type="dxa"/>
          </w:tcPr>
          <w:p w14:paraId="3681232A">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r>
      <w:tr w14:paraId="0A39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CAEC01E">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-10.2</w:t>
            </w:r>
          </w:p>
        </w:tc>
        <w:tc>
          <w:tcPr>
            <w:tcW w:w="3320" w:type="dxa"/>
          </w:tcPr>
          <w:p w14:paraId="2E8FAA9F">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7%</w:t>
            </w:r>
          </w:p>
        </w:tc>
        <w:tc>
          <w:tcPr>
            <w:tcW w:w="3320" w:type="dxa"/>
          </w:tcPr>
          <w:p w14:paraId="75262079">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9%</w:t>
            </w:r>
          </w:p>
        </w:tc>
      </w:tr>
      <w:tr w14:paraId="6866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5498C35">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-10</w:t>
            </w:r>
          </w:p>
        </w:tc>
        <w:tc>
          <w:tcPr>
            <w:tcW w:w="3320" w:type="dxa"/>
          </w:tcPr>
          <w:p w14:paraId="34AB0426">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w:t>
            </w:r>
          </w:p>
        </w:tc>
        <w:tc>
          <w:tcPr>
            <w:tcW w:w="3320" w:type="dxa"/>
          </w:tcPr>
          <w:p w14:paraId="4166570C">
            <w:pPr>
              <w:spacing w:before="120" w:after="180" w:line="280" w:lineRule="atLeast"/>
              <w:jc w:val="left"/>
              <w:rPr>
                <w:rFonts w:hint="default" w:ascii="Times New Roman" w:hAnsi="Times New Roman" w:cs="Times New Roman"/>
                <w:b w:val="0"/>
                <w:bCs w:val="0"/>
                <w:sz w:val="20"/>
                <w:szCs w:val="20"/>
                <w:vertAlign w:val="baseline"/>
                <w:lang w:val="en-US" w:eastAsia="zh-CN"/>
              </w:rPr>
            </w:pPr>
            <w:r>
              <w:rPr>
                <w:rFonts w:hint="eastAsia" w:ascii="Times New Roman" w:hAnsi="Times New Roman" w:cs="Times New Roman"/>
                <w:b w:val="0"/>
                <w:bCs w:val="0"/>
                <w:sz w:val="20"/>
                <w:szCs w:val="20"/>
                <w:vertAlign w:val="baseline"/>
                <w:lang w:val="en-US" w:eastAsia="zh-CN"/>
              </w:rPr>
              <w:t>6%</w:t>
            </w:r>
          </w:p>
        </w:tc>
      </w:tr>
    </w:tbl>
    <w:p w14:paraId="1CDC74D0">
      <w:pPr>
        <w:spacing w:after="180"/>
        <w:jc w:val="left"/>
        <w:rPr>
          <w:rFonts w:hint="eastAsia" w:ascii="Times New Roman" w:hAnsi="Times New Roman" w:cs="Times New Roman"/>
          <w:b w:val="0"/>
          <w:bCs w:val="0"/>
          <w:sz w:val="20"/>
          <w:szCs w:val="20"/>
          <w:lang w:val="en-US" w:eastAsia="zh-CN"/>
        </w:rPr>
      </w:pPr>
    </w:p>
    <w:tbl>
      <w:tblPr>
        <w:tblStyle w:val="17"/>
        <w:tblW w:w="3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707"/>
        <w:gridCol w:w="5002"/>
      </w:tblGrid>
      <w:tr w14:paraId="43D2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shd w:val="clear" w:color="auto" w:fill="D0CECE"/>
            <w:tcMar>
              <w:top w:w="0" w:type="dxa"/>
              <w:left w:w="108" w:type="dxa"/>
              <w:bottom w:w="0" w:type="dxa"/>
              <w:right w:w="108" w:type="dxa"/>
            </w:tcMar>
          </w:tcPr>
          <w:p w14:paraId="5ACBD9D3">
            <w:pPr>
              <w:spacing w:after="0"/>
              <w:jc w:val="center"/>
              <w:rPr>
                <w:rFonts w:eastAsia="等线"/>
                <w:b/>
                <w:color w:val="000000"/>
                <w:sz w:val="22"/>
                <w:szCs w:val="22"/>
                <w:lang w:val="en-US"/>
              </w:rPr>
            </w:pPr>
            <w:r>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tcPr>
          <w:p w14:paraId="597049F8">
            <w:pPr>
              <w:spacing w:after="0"/>
              <w:jc w:val="center"/>
              <w:rPr>
                <w:rFonts w:eastAsia="等线"/>
                <w:b/>
                <w:color w:val="000000"/>
                <w:sz w:val="22"/>
                <w:szCs w:val="22"/>
                <w:lang w:val="en-US"/>
              </w:rPr>
            </w:pPr>
            <w:r>
              <w:rPr>
                <w:rFonts w:eastAsia="等线"/>
                <w:b/>
                <w:color w:val="000000"/>
                <w:sz w:val="22"/>
                <w:szCs w:val="22"/>
                <w:lang w:val="en-US"/>
              </w:rPr>
              <w:t>Assumptions</w:t>
            </w:r>
          </w:p>
        </w:tc>
      </w:tr>
      <w:tr w14:paraId="5B69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04BF9F2">
            <w:pPr>
              <w:rPr>
                <w:rFonts w:eastAsia="等线" w:cs="Arial"/>
                <w:sz w:val="18"/>
                <w:szCs w:val="18"/>
              </w:rPr>
            </w:pPr>
            <w:r>
              <w:rPr>
                <w:rFonts w:eastAsia="等线" w:cs="Arial"/>
                <w:sz w:val="18"/>
                <w:szCs w:val="18"/>
              </w:rPr>
              <w:t>Carrier frequency</w:t>
            </w:r>
          </w:p>
        </w:tc>
        <w:tc>
          <w:tcPr>
            <w:tcW w:w="3244" w:type="pct"/>
            <w:tcMar>
              <w:top w:w="0" w:type="dxa"/>
              <w:left w:w="108" w:type="dxa"/>
              <w:bottom w:w="0" w:type="dxa"/>
              <w:right w:w="108" w:type="dxa"/>
            </w:tcMar>
          </w:tcPr>
          <w:p w14:paraId="7DC07587">
            <w:pPr>
              <w:rPr>
                <w:rFonts w:eastAsia="等线" w:cs="Arial"/>
                <w:sz w:val="18"/>
                <w:szCs w:val="18"/>
              </w:rPr>
            </w:pPr>
            <w:r>
              <w:rPr>
                <w:rFonts w:hint="eastAsia" w:eastAsia="等线" w:cs="Arial"/>
                <w:sz w:val="18"/>
                <w:szCs w:val="18"/>
              </w:rPr>
              <w:t>900 MHz</w:t>
            </w:r>
          </w:p>
        </w:tc>
      </w:tr>
      <w:tr w14:paraId="31FF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21A0071">
            <w:pPr>
              <w:rPr>
                <w:rFonts w:eastAsia="等线" w:cs="Arial"/>
                <w:sz w:val="18"/>
                <w:szCs w:val="18"/>
              </w:rPr>
            </w:pPr>
            <w:r>
              <w:rPr>
                <w:rFonts w:eastAsia="等线" w:cs="Arial"/>
                <w:sz w:val="18"/>
                <w:szCs w:val="18"/>
              </w:rPr>
              <w:t>SCS</w:t>
            </w:r>
          </w:p>
        </w:tc>
        <w:tc>
          <w:tcPr>
            <w:tcW w:w="3244" w:type="pct"/>
            <w:tcMar>
              <w:top w:w="0" w:type="dxa"/>
              <w:left w:w="108" w:type="dxa"/>
              <w:bottom w:w="0" w:type="dxa"/>
              <w:right w:w="108" w:type="dxa"/>
            </w:tcMar>
          </w:tcPr>
          <w:p w14:paraId="3A8F9976">
            <w:pPr>
              <w:rPr>
                <w:rFonts w:eastAsia="等线" w:cs="Arial"/>
                <w:sz w:val="18"/>
                <w:szCs w:val="18"/>
              </w:rPr>
            </w:pPr>
            <w:r>
              <w:rPr>
                <w:rFonts w:eastAsia="等线" w:cs="Arial"/>
                <w:sz w:val="18"/>
                <w:szCs w:val="18"/>
              </w:rPr>
              <w:t>15 kHz as baseline</w:t>
            </w:r>
          </w:p>
        </w:tc>
      </w:tr>
      <w:tr w14:paraId="12C7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209DE1B">
            <w:pPr>
              <w:rPr>
                <w:rFonts w:eastAsia="等线" w:cs="Arial"/>
                <w:sz w:val="18"/>
                <w:szCs w:val="18"/>
              </w:rPr>
            </w:pPr>
            <w:r>
              <w:rPr>
                <w:rFonts w:eastAsia="等线" w:cs="Arial"/>
                <w:sz w:val="18"/>
                <w:szCs w:val="18"/>
              </w:rPr>
              <w:t>Block structure</w:t>
            </w:r>
          </w:p>
        </w:tc>
        <w:tc>
          <w:tcPr>
            <w:tcW w:w="3244" w:type="pct"/>
            <w:tcMar>
              <w:top w:w="0" w:type="dxa"/>
              <w:left w:w="108" w:type="dxa"/>
              <w:bottom w:w="0" w:type="dxa"/>
              <w:right w:w="108" w:type="dxa"/>
            </w:tcMar>
          </w:tcPr>
          <w:p w14:paraId="6F9A6FFF">
            <w:pPr>
              <w:rPr>
                <w:rFonts w:eastAsia="等线" w:cs="Arial"/>
                <w:sz w:val="18"/>
                <w:szCs w:val="18"/>
              </w:rPr>
            </w:pPr>
            <w:r>
              <w:rPr>
                <w:rFonts w:hint="eastAsia" w:eastAsia="等线" w:cs="Arial"/>
                <w:sz w:val="18"/>
                <w:szCs w:val="18"/>
              </w:rPr>
              <w:t>Depend on RAN1</w:t>
            </w:r>
          </w:p>
        </w:tc>
      </w:tr>
      <w:tr w14:paraId="23E0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AA11EA2">
            <w:pPr>
              <w:rPr>
                <w:rFonts w:eastAsia="等线" w:cs="Arial"/>
                <w:sz w:val="18"/>
                <w:szCs w:val="18"/>
              </w:rPr>
            </w:pPr>
            <w:r>
              <w:rPr>
                <w:rFonts w:eastAsia="等线" w:cs="Arial"/>
                <w:sz w:val="18"/>
                <w:szCs w:val="18"/>
              </w:rPr>
              <w:t>Channel model</w:t>
            </w:r>
          </w:p>
        </w:tc>
        <w:tc>
          <w:tcPr>
            <w:tcW w:w="3244" w:type="pct"/>
            <w:tcMar>
              <w:top w:w="0" w:type="dxa"/>
              <w:left w:w="108" w:type="dxa"/>
              <w:bottom w:w="0" w:type="dxa"/>
              <w:right w:w="108" w:type="dxa"/>
            </w:tcMar>
          </w:tcPr>
          <w:p w14:paraId="6220EAE4">
            <w:pPr>
              <w:rPr>
                <w:rFonts w:eastAsia="等线" w:cs="Arial"/>
                <w:sz w:val="18"/>
                <w:szCs w:val="18"/>
              </w:rPr>
            </w:pPr>
            <w:r>
              <w:rPr>
                <w:rFonts w:hint="eastAsia" w:eastAsia="等线" w:cs="Arial"/>
                <w:sz w:val="18"/>
                <w:szCs w:val="18"/>
              </w:rPr>
              <w:t>AWGN</w:t>
            </w:r>
          </w:p>
        </w:tc>
      </w:tr>
      <w:tr w14:paraId="3283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6B70569">
            <w:pPr>
              <w:rPr>
                <w:rFonts w:eastAsia="等线" w:cs="Arial"/>
                <w:sz w:val="18"/>
                <w:szCs w:val="18"/>
              </w:rPr>
            </w:pPr>
            <w:r>
              <w:rPr>
                <w:rFonts w:eastAsia="等线" w:cs="Arial"/>
                <w:sz w:val="18"/>
                <w:szCs w:val="18"/>
              </w:rPr>
              <w:t>Number of Tx/Rx chains for Ambient IoT device</w:t>
            </w:r>
          </w:p>
        </w:tc>
        <w:tc>
          <w:tcPr>
            <w:tcW w:w="3244" w:type="pct"/>
            <w:tcMar>
              <w:top w:w="0" w:type="dxa"/>
              <w:left w:w="108" w:type="dxa"/>
              <w:bottom w:w="0" w:type="dxa"/>
              <w:right w:w="108" w:type="dxa"/>
            </w:tcMar>
          </w:tcPr>
          <w:p w14:paraId="165769D5">
            <w:pPr>
              <w:rPr>
                <w:rFonts w:eastAsia="等线" w:cs="Arial"/>
                <w:sz w:val="18"/>
                <w:szCs w:val="18"/>
              </w:rPr>
            </w:pPr>
            <w:r>
              <w:rPr>
                <w:rFonts w:eastAsia="等线" w:cs="Arial"/>
                <w:sz w:val="18"/>
                <w:szCs w:val="18"/>
              </w:rPr>
              <w:t>1</w:t>
            </w:r>
          </w:p>
        </w:tc>
      </w:tr>
      <w:tr w14:paraId="017E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7F42C95">
            <w:pPr>
              <w:rPr>
                <w:rFonts w:eastAsia="等线" w:cs="Arial"/>
                <w:sz w:val="18"/>
                <w:szCs w:val="18"/>
              </w:rPr>
            </w:pPr>
            <w:r>
              <w:rPr>
                <w:rFonts w:eastAsia="等线" w:cs="Arial"/>
                <w:sz w:val="18"/>
                <w:szCs w:val="18"/>
              </w:rPr>
              <w:t xml:space="preserve">Number of BS antenna elements </w:t>
            </w:r>
          </w:p>
        </w:tc>
        <w:tc>
          <w:tcPr>
            <w:tcW w:w="3244" w:type="pct"/>
            <w:tcMar>
              <w:top w:w="0" w:type="dxa"/>
              <w:left w:w="108" w:type="dxa"/>
              <w:bottom w:w="0" w:type="dxa"/>
              <w:right w:w="108" w:type="dxa"/>
            </w:tcMar>
          </w:tcPr>
          <w:p w14:paraId="3D5F063A">
            <w:pPr>
              <w:rPr>
                <w:rFonts w:hint="eastAsia" w:eastAsia="等线" w:cs="Arial"/>
                <w:sz w:val="18"/>
                <w:szCs w:val="18"/>
                <w:lang w:eastAsia="zh-CN"/>
              </w:rPr>
            </w:pPr>
            <w:r>
              <w:rPr>
                <w:rFonts w:hint="eastAsia" w:eastAsia="等线" w:cs="Arial"/>
                <w:sz w:val="18"/>
                <w:szCs w:val="18"/>
                <w:lang w:val="en-US" w:eastAsia="zh-CN"/>
              </w:rPr>
              <w:t>2</w:t>
            </w:r>
          </w:p>
        </w:tc>
      </w:tr>
      <w:tr w14:paraId="2B0A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765D4ABE">
            <w:pPr>
              <w:rPr>
                <w:rFonts w:eastAsia="等线" w:cs="Arial"/>
                <w:sz w:val="18"/>
                <w:szCs w:val="18"/>
              </w:rPr>
            </w:pPr>
            <w:r>
              <w:rPr>
                <w:rFonts w:eastAsia="等线" w:cs="Arial"/>
                <w:sz w:val="18"/>
                <w:szCs w:val="18"/>
              </w:rPr>
              <w:t>Reference data rate</w:t>
            </w:r>
          </w:p>
        </w:tc>
        <w:tc>
          <w:tcPr>
            <w:tcW w:w="3244" w:type="pct"/>
            <w:tcMar>
              <w:top w:w="0" w:type="dxa"/>
              <w:left w:w="108" w:type="dxa"/>
              <w:bottom w:w="0" w:type="dxa"/>
              <w:right w:w="108" w:type="dxa"/>
            </w:tcMar>
          </w:tcPr>
          <w:p w14:paraId="26371AC5">
            <w:pPr>
              <w:rPr>
                <w:rFonts w:eastAsia="等线" w:cs="Arial"/>
                <w:sz w:val="18"/>
                <w:szCs w:val="18"/>
              </w:rPr>
            </w:pPr>
            <w:r>
              <w:rPr>
                <w:rFonts w:eastAsia="等线" w:cs="Arial"/>
                <w:sz w:val="18"/>
                <w:szCs w:val="18"/>
              </w:rPr>
              <w:t>1 kbps (M)</w:t>
            </w:r>
          </w:p>
        </w:tc>
      </w:tr>
      <w:tr w14:paraId="54F6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590A94B6">
            <w:pPr>
              <w:rPr>
                <w:rFonts w:eastAsia="等线" w:cs="Arial"/>
                <w:sz w:val="18"/>
                <w:szCs w:val="18"/>
              </w:rPr>
            </w:pPr>
            <w:r>
              <w:rPr>
                <w:rFonts w:eastAsia="等线" w:cs="Arial"/>
                <w:sz w:val="18"/>
                <w:szCs w:val="18"/>
              </w:rPr>
              <w:t>Message size</w:t>
            </w:r>
          </w:p>
        </w:tc>
        <w:tc>
          <w:tcPr>
            <w:tcW w:w="3244" w:type="pct"/>
            <w:tcMar>
              <w:top w:w="0" w:type="dxa"/>
              <w:left w:w="108" w:type="dxa"/>
              <w:bottom w:w="0" w:type="dxa"/>
              <w:right w:w="108" w:type="dxa"/>
            </w:tcMar>
          </w:tcPr>
          <w:p w14:paraId="7E531916">
            <w:pPr>
              <w:rPr>
                <w:rFonts w:eastAsia="等线" w:cs="Arial"/>
                <w:sz w:val="18"/>
                <w:szCs w:val="18"/>
                <w:lang w:eastAsia="zh-CN"/>
              </w:rPr>
            </w:pPr>
            <w:r>
              <w:rPr>
                <w:rFonts w:hint="eastAsia" w:eastAsia="等线" w:cs="Arial"/>
                <w:sz w:val="18"/>
                <w:szCs w:val="18"/>
                <w:lang w:eastAsia="zh-CN"/>
              </w:rPr>
              <w:t>9</w:t>
            </w:r>
            <w:r>
              <w:rPr>
                <w:rFonts w:eastAsia="等线" w:cs="Arial"/>
                <w:sz w:val="18"/>
                <w:szCs w:val="18"/>
                <w:lang w:eastAsia="zh-CN"/>
              </w:rPr>
              <w:t xml:space="preserve">6 </w:t>
            </w:r>
            <w:r>
              <w:rPr>
                <w:rFonts w:hint="eastAsia" w:eastAsia="等线" w:cs="Arial"/>
                <w:sz w:val="18"/>
                <w:szCs w:val="18"/>
                <w:lang w:eastAsia="zh-CN"/>
              </w:rPr>
              <w:t>bits</w:t>
            </w:r>
          </w:p>
        </w:tc>
      </w:tr>
      <w:tr w14:paraId="175A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C7CBB96">
            <w:pPr>
              <w:rPr>
                <w:rFonts w:eastAsia="等线" w:cs="Arial"/>
                <w:sz w:val="18"/>
                <w:szCs w:val="18"/>
              </w:rPr>
            </w:pPr>
            <w:r>
              <w:rPr>
                <w:rFonts w:eastAsia="等线" w:cs="Arial"/>
                <w:sz w:val="18"/>
                <w:szCs w:val="18"/>
              </w:rPr>
              <w:t>BLER target</w:t>
            </w:r>
          </w:p>
        </w:tc>
        <w:tc>
          <w:tcPr>
            <w:tcW w:w="3244" w:type="pct"/>
            <w:tcMar>
              <w:top w:w="0" w:type="dxa"/>
              <w:left w:w="108" w:type="dxa"/>
              <w:bottom w:w="0" w:type="dxa"/>
              <w:right w:w="108" w:type="dxa"/>
            </w:tcMar>
          </w:tcPr>
          <w:p w14:paraId="2835145A">
            <w:pPr>
              <w:rPr>
                <w:rFonts w:eastAsia="等线" w:cs="Arial"/>
                <w:sz w:val="18"/>
                <w:szCs w:val="18"/>
              </w:rPr>
            </w:pPr>
            <w:r>
              <w:rPr>
                <w:rFonts w:eastAsia="等线" w:cs="Arial"/>
                <w:sz w:val="18"/>
                <w:szCs w:val="18"/>
              </w:rPr>
              <w:t>10%</w:t>
            </w:r>
          </w:p>
        </w:tc>
      </w:tr>
      <w:tr w14:paraId="3317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0951D22C">
            <w:pPr>
              <w:rPr>
                <w:rFonts w:eastAsia="等线" w:cs="Arial"/>
                <w:sz w:val="18"/>
                <w:szCs w:val="18"/>
              </w:rPr>
            </w:pPr>
            <w:r>
              <w:rPr>
                <w:rFonts w:eastAsia="等线" w:cs="Arial"/>
                <w:sz w:val="18"/>
                <w:szCs w:val="18"/>
              </w:rPr>
              <w:t>Sampling frequency</w:t>
            </w:r>
            <w:r>
              <w:rPr>
                <w:rFonts w:hint="eastAsia" w:eastAsia="等线" w:cs="Arial"/>
                <w:sz w:val="18"/>
                <w:szCs w:val="18"/>
                <w:lang w:eastAsia="zh-CN"/>
              </w:rPr>
              <w:t>（</w:t>
            </w:r>
            <w:r>
              <w:rPr>
                <w:rFonts w:hint="eastAsia" w:eastAsia="等线" w:cs="Arial"/>
                <w:sz w:val="18"/>
                <w:szCs w:val="18"/>
              </w:rPr>
              <w:t>S</w:t>
            </w:r>
            <w:r>
              <w:rPr>
                <w:rFonts w:eastAsia="等线" w:cs="Arial"/>
                <w:sz w:val="18"/>
                <w:szCs w:val="18"/>
              </w:rPr>
              <w:t>FO</w:t>
            </w:r>
            <w:r>
              <w:rPr>
                <w:rFonts w:hint="eastAsia" w:eastAsia="等线" w:cs="Arial"/>
                <w:sz w:val="18"/>
                <w:szCs w:val="18"/>
                <w:lang w:eastAsia="zh-CN"/>
              </w:rPr>
              <w:t>）</w:t>
            </w:r>
          </w:p>
        </w:tc>
        <w:tc>
          <w:tcPr>
            <w:tcW w:w="3244" w:type="pct"/>
            <w:tcMar>
              <w:top w:w="0" w:type="dxa"/>
              <w:left w:w="108" w:type="dxa"/>
              <w:bottom w:w="0" w:type="dxa"/>
              <w:right w:w="108" w:type="dxa"/>
            </w:tcMar>
          </w:tcPr>
          <w:p w14:paraId="22F88521">
            <w:pPr>
              <w:rPr>
                <w:rFonts w:eastAsia="Batang" w:cs="Arial"/>
                <w:sz w:val="18"/>
                <w:szCs w:val="18"/>
              </w:rPr>
            </w:pPr>
            <w:r>
              <w:rPr>
                <w:rFonts w:eastAsia="Batang" w:cs="Arial"/>
                <w:sz w:val="18"/>
                <w:szCs w:val="18"/>
              </w:rPr>
              <w:t xml:space="preserve">Randomly select a value from the range of </w:t>
            </w:r>
            <w:r>
              <w:rPr>
                <w:rFonts w:hint="eastAsia" w:eastAsia="等线" w:cs="Arial"/>
                <w:sz w:val="18"/>
                <w:szCs w:val="18"/>
              </w:rPr>
              <w:t>[</w:t>
            </w:r>
            <w:r>
              <w:rPr>
                <w:rFonts w:eastAsia="等线" w:cs="Arial"/>
                <w:sz w:val="18"/>
                <w:szCs w:val="18"/>
              </w:rPr>
              <w:t>10</w:t>
            </w:r>
            <w:r>
              <w:rPr>
                <w:rFonts w:eastAsia="等线" w:cs="Arial"/>
                <w:sz w:val="18"/>
                <w:szCs w:val="18"/>
                <w:vertAlign w:val="superscript"/>
              </w:rPr>
              <w:t>4</w:t>
            </w:r>
            <w:r>
              <w:rPr>
                <w:rFonts w:eastAsia="等线" w:cs="Arial"/>
                <w:sz w:val="18"/>
                <w:szCs w:val="18"/>
              </w:rPr>
              <w:t xml:space="preserve"> ppm~10</w:t>
            </w:r>
            <w:r>
              <w:rPr>
                <w:rFonts w:eastAsia="等线" w:cs="Arial"/>
                <w:sz w:val="18"/>
                <w:szCs w:val="18"/>
                <w:vertAlign w:val="superscript"/>
              </w:rPr>
              <w:t>5</w:t>
            </w:r>
            <w:r>
              <w:rPr>
                <w:rFonts w:eastAsia="等线" w:cs="Arial"/>
                <w:sz w:val="18"/>
                <w:szCs w:val="18"/>
              </w:rPr>
              <w:t xml:space="preserve"> ppm]</w:t>
            </w:r>
            <w:r>
              <w:rPr>
                <w:rFonts w:eastAsia="Batang" w:cs="Arial"/>
                <w:sz w:val="18"/>
                <w:szCs w:val="18"/>
              </w:rPr>
              <w:t xml:space="preserve"> for device 1</w:t>
            </w:r>
          </w:p>
        </w:tc>
      </w:tr>
      <w:tr w14:paraId="241A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06001A5">
            <w:pPr>
              <w:rPr>
                <w:rFonts w:eastAsia="等线" w:cs="Arial"/>
                <w:sz w:val="18"/>
                <w:szCs w:val="18"/>
              </w:rPr>
            </w:pPr>
            <w:r>
              <w:rPr>
                <w:rFonts w:eastAsia="等线" w:cs="Arial"/>
                <w:sz w:val="18"/>
                <w:szCs w:val="18"/>
              </w:rPr>
              <w:t xml:space="preserve">[OOK/BPSK chip rate] </w:t>
            </w:r>
          </w:p>
        </w:tc>
        <w:tc>
          <w:tcPr>
            <w:tcW w:w="3244" w:type="pct"/>
            <w:tcMar>
              <w:top w:w="0" w:type="dxa"/>
              <w:left w:w="108" w:type="dxa"/>
              <w:bottom w:w="0" w:type="dxa"/>
              <w:right w:w="108" w:type="dxa"/>
            </w:tcMar>
          </w:tcPr>
          <w:p w14:paraId="6E2BDF18">
            <w:pPr>
              <w:rPr>
                <w:rFonts w:eastAsia="等线"/>
              </w:rPr>
            </w:pPr>
            <w:r>
              <w:rPr>
                <w:lang w:eastAsia="zh-CN"/>
              </w:rPr>
              <w:t xml:space="preserve">7.5 kcps for </w:t>
            </w:r>
            <w:r>
              <w:t>2SB 15 kHz Transmission bandwidth</w:t>
            </w:r>
          </w:p>
        </w:tc>
      </w:tr>
      <w:tr w14:paraId="2FC8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B66A3DC">
            <w:pPr>
              <w:rPr>
                <w:rFonts w:eastAsia="等线" w:cs="Arial"/>
                <w:sz w:val="18"/>
                <w:szCs w:val="18"/>
              </w:rPr>
            </w:pPr>
            <w:r>
              <w:rPr>
                <w:rFonts w:eastAsia="等线" w:cs="Arial"/>
                <w:sz w:val="18"/>
                <w:szCs w:val="18"/>
              </w:rPr>
              <w:t>Receiver bandwidth</w:t>
            </w:r>
          </w:p>
        </w:tc>
        <w:tc>
          <w:tcPr>
            <w:tcW w:w="3244" w:type="pct"/>
            <w:tcMar>
              <w:top w:w="0" w:type="dxa"/>
              <w:left w:w="108" w:type="dxa"/>
              <w:bottom w:w="0" w:type="dxa"/>
              <w:right w:w="108" w:type="dxa"/>
            </w:tcMar>
          </w:tcPr>
          <w:p w14:paraId="591FB0A5">
            <w:pPr>
              <w:rPr>
                <w:lang w:eastAsia="zh-CN"/>
              </w:rPr>
            </w:pPr>
            <w:r>
              <w:rPr>
                <w:rFonts w:hint="eastAsia" w:eastAsia="等线"/>
                <w:lang w:val="en-US" w:eastAsia="zh-CN"/>
              </w:rPr>
              <w:t>the same as transmission bandwidth.</w:t>
            </w:r>
          </w:p>
        </w:tc>
      </w:tr>
      <w:tr w14:paraId="0EA0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D31C1C6">
            <w:pPr>
              <w:rPr>
                <w:rFonts w:eastAsia="等线" w:cs="Arial"/>
                <w:sz w:val="18"/>
                <w:szCs w:val="18"/>
              </w:rPr>
            </w:pPr>
            <w:r>
              <w:rPr>
                <w:rFonts w:eastAsia="等线" w:cs="Arial"/>
                <w:sz w:val="18"/>
                <w:szCs w:val="18"/>
              </w:rPr>
              <w:t>Waveform (CW)</w:t>
            </w:r>
          </w:p>
        </w:tc>
        <w:tc>
          <w:tcPr>
            <w:tcW w:w="3244" w:type="pct"/>
            <w:tcMar>
              <w:top w:w="0" w:type="dxa"/>
              <w:left w:w="108" w:type="dxa"/>
              <w:bottom w:w="0" w:type="dxa"/>
              <w:right w:w="108" w:type="dxa"/>
            </w:tcMar>
          </w:tcPr>
          <w:p w14:paraId="38E39A3A">
            <w:pPr>
              <w:rPr>
                <w:rFonts w:eastAsia="等线" w:cs="Arial"/>
                <w:sz w:val="18"/>
                <w:szCs w:val="18"/>
              </w:rPr>
            </w:pPr>
            <w:r>
              <w:rPr>
                <w:rFonts w:eastAsia="等线" w:cs="Arial"/>
                <w:sz w:val="18"/>
                <w:szCs w:val="18"/>
              </w:rPr>
              <w:t>unmodulated single tone</w:t>
            </w:r>
          </w:p>
        </w:tc>
      </w:tr>
      <w:tr w14:paraId="1CFE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3E5AA304">
            <w:pPr>
              <w:rPr>
                <w:rFonts w:eastAsia="等线" w:cs="Arial"/>
                <w:sz w:val="18"/>
                <w:szCs w:val="18"/>
              </w:rPr>
            </w:pPr>
            <w:r>
              <w:rPr>
                <w:rFonts w:eastAsia="等线" w:cs="Arial"/>
                <w:sz w:val="18"/>
                <w:szCs w:val="18"/>
              </w:rPr>
              <w:t>Modulation</w:t>
            </w:r>
          </w:p>
        </w:tc>
        <w:tc>
          <w:tcPr>
            <w:tcW w:w="3244" w:type="pct"/>
            <w:tcMar>
              <w:top w:w="0" w:type="dxa"/>
              <w:left w:w="108" w:type="dxa"/>
              <w:bottom w:w="0" w:type="dxa"/>
              <w:right w:w="108" w:type="dxa"/>
            </w:tcMar>
          </w:tcPr>
          <w:p w14:paraId="68298C76">
            <w:pPr>
              <w:rPr>
                <w:rFonts w:eastAsia="等线" w:cs="Arial"/>
                <w:sz w:val="18"/>
                <w:szCs w:val="18"/>
              </w:rPr>
            </w:pPr>
            <w:r>
              <w:rPr>
                <w:rFonts w:eastAsia="等线" w:cs="Arial"/>
                <w:sz w:val="18"/>
                <w:szCs w:val="18"/>
              </w:rPr>
              <w:t>OOK</w:t>
            </w:r>
          </w:p>
        </w:tc>
      </w:tr>
      <w:tr w14:paraId="5EA9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6B696BE0">
            <w:pPr>
              <w:rPr>
                <w:rFonts w:eastAsia="等线" w:cs="Arial"/>
                <w:sz w:val="18"/>
                <w:szCs w:val="18"/>
              </w:rPr>
            </w:pPr>
            <w:r>
              <w:rPr>
                <w:rFonts w:eastAsia="等线" w:cs="Arial"/>
                <w:sz w:val="18"/>
                <w:szCs w:val="18"/>
              </w:rPr>
              <w:t>Line code</w:t>
            </w:r>
          </w:p>
        </w:tc>
        <w:tc>
          <w:tcPr>
            <w:tcW w:w="3244" w:type="pct"/>
            <w:tcMar>
              <w:top w:w="0" w:type="dxa"/>
              <w:left w:w="108" w:type="dxa"/>
              <w:bottom w:w="0" w:type="dxa"/>
              <w:right w:w="108" w:type="dxa"/>
            </w:tcMar>
          </w:tcPr>
          <w:p w14:paraId="465C5155">
            <w:pPr>
              <w:rPr>
                <w:rFonts w:eastAsia="等线" w:cs="Arial"/>
                <w:sz w:val="18"/>
                <w:szCs w:val="18"/>
              </w:rPr>
            </w:pPr>
            <w:r>
              <w:rPr>
                <w:rFonts w:eastAsia="等线" w:cs="Arial"/>
                <w:sz w:val="18"/>
                <w:szCs w:val="18"/>
              </w:rPr>
              <w:t>Manchester encoding</w:t>
            </w:r>
          </w:p>
        </w:tc>
      </w:tr>
      <w:tr w14:paraId="3A31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545786A">
            <w:pPr>
              <w:rPr>
                <w:rFonts w:eastAsia="等线" w:cs="Arial"/>
                <w:sz w:val="18"/>
                <w:szCs w:val="18"/>
              </w:rPr>
            </w:pPr>
            <w:r>
              <w:rPr>
                <w:rFonts w:eastAsia="等线" w:cs="Arial"/>
                <w:sz w:val="18"/>
                <w:szCs w:val="18"/>
              </w:rPr>
              <w:t>FEC</w:t>
            </w:r>
          </w:p>
        </w:tc>
        <w:tc>
          <w:tcPr>
            <w:tcW w:w="3244" w:type="pct"/>
            <w:tcMar>
              <w:top w:w="0" w:type="dxa"/>
              <w:left w:w="108" w:type="dxa"/>
              <w:bottom w:w="0" w:type="dxa"/>
              <w:right w:w="108" w:type="dxa"/>
            </w:tcMar>
          </w:tcPr>
          <w:p w14:paraId="25293DB8">
            <w:pPr>
              <w:rPr>
                <w:rFonts w:eastAsia="等线" w:cs="Arial"/>
                <w:sz w:val="18"/>
                <w:szCs w:val="18"/>
              </w:rPr>
            </w:pPr>
            <w:r>
              <w:rPr>
                <w:rFonts w:eastAsia="等线" w:cs="Arial"/>
                <w:sz w:val="18"/>
                <w:szCs w:val="18"/>
              </w:rPr>
              <w:t>1/3 Convolutional Code</w:t>
            </w:r>
          </w:p>
        </w:tc>
      </w:tr>
      <w:tr w14:paraId="55E3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1AE390C6">
            <w:pPr>
              <w:rPr>
                <w:rFonts w:eastAsia="等线" w:cs="Arial"/>
                <w:sz w:val="18"/>
                <w:szCs w:val="18"/>
              </w:rPr>
            </w:pPr>
            <w:r>
              <w:rPr>
                <w:rFonts w:eastAsia="等线" w:cs="Arial"/>
                <w:sz w:val="18"/>
                <w:szCs w:val="18"/>
              </w:rPr>
              <w:t>ADC bit width</w:t>
            </w:r>
          </w:p>
        </w:tc>
        <w:tc>
          <w:tcPr>
            <w:tcW w:w="3244" w:type="pct"/>
            <w:tcMar>
              <w:top w:w="0" w:type="dxa"/>
              <w:left w:w="108" w:type="dxa"/>
              <w:bottom w:w="0" w:type="dxa"/>
              <w:right w:w="108" w:type="dxa"/>
            </w:tcMar>
          </w:tcPr>
          <w:p w14:paraId="2735CC1B">
            <w:pPr>
              <w:rPr>
                <w:rFonts w:eastAsia="等线" w:cs="Arial"/>
                <w:sz w:val="18"/>
                <w:szCs w:val="18"/>
              </w:rPr>
            </w:pPr>
            <w:r>
              <w:rPr>
                <w:rFonts w:hint="eastAsia" w:eastAsia="等线" w:cs="Arial"/>
                <w:sz w:val="18"/>
                <w:szCs w:val="18"/>
              </w:rPr>
              <w:t>Ideal</w:t>
            </w:r>
          </w:p>
        </w:tc>
      </w:tr>
      <w:tr w14:paraId="085D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tcPr>
          <w:p w14:paraId="236B79A8">
            <w:pPr>
              <w:rPr>
                <w:rFonts w:eastAsia="等线" w:cs="Arial"/>
                <w:sz w:val="18"/>
                <w:szCs w:val="18"/>
              </w:rPr>
            </w:pPr>
            <w:r>
              <w:rPr>
                <w:rFonts w:eastAsia="等线" w:cs="Arial"/>
                <w:sz w:val="18"/>
                <w:szCs w:val="18"/>
              </w:rPr>
              <w:t>D2R receiver </w:t>
            </w:r>
          </w:p>
        </w:tc>
        <w:tc>
          <w:tcPr>
            <w:tcW w:w="3244" w:type="pct"/>
            <w:tcMar>
              <w:top w:w="0" w:type="dxa"/>
              <w:left w:w="108" w:type="dxa"/>
              <w:bottom w:w="0" w:type="dxa"/>
              <w:right w:w="108" w:type="dxa"/>
            </w:tcMar>
          </w:tcPr>
          <w:p w14:paraId="6D26E64A">
            <w:pPr>
              <w:rPr>
                <w:rFonts w:eastAsia="等线" w:cs="Arial"/>
                <w:sz w:val="18"/>
                <w:szCs w:val="18"/>
              </w:rPr>
            </w:pPr>
            <w:r>
              <w:rPr>
                <w:rFonts w:eastAsia="等线" w:cs="Arial"/>
                <w:sz w:val="18"/>
                <w:szCs w:val="18"/>
              </w:rPr>
              <w:t>coherent receiver</w:t>
            </w:r>
          </w:p>
        </w:tc>
      </w:tr>
      <w:tr w14:paraId="2779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088DD19B">
            <w:pPr>
              <w:rPr>
                <w:rFonts w:eastAsia="等线" w:cs="Arial"/>
                <w:sz w:val="18"/>
                <w:szCs w:val="18"/>
              </w:rPr>
            </w:pPr>
            <w:r>
              <w:rPr>
                <w:rFonts w:hint="eastAsia" w:eastAsia="等线" w:cs="Arial"/>
                <w:sz w:val="18"/>
                <w:szCs w:val="18"/>
              </w:rPr>
              <w:t>R</w:t>
            </w:r>
            <w:r>
              <w:rPr>
                <w:rFonts w:eastAsia="等线" w:cs="Arial"/>
                <w:sz w:val="18"/>
                <w:szCs w:val="18"/>
              </w:rPr>
              <w:t>epetition</w:t>
            </w:r>
          </w:p>
        </w:tc>
        <w:tc>
          <w:tcPr>
            <w:tcW w:w="3244" w:type="pct"/>
            <w:tcMar>
              <w:top w:w="0" w:type="dxa"/>
              <w:left w:w="108" w:type="dxa"/>
              <w:bottom w:w="0" w:type="dxa"/>
              <w:right w:w="108" w:type="dxa"/>
            </w:tcMar>
            <w:vAlign w:val="center"/>
          </w:tcPr>
          <w:p w14:paraId="43AEE44D">
            <w:pPr>
              <w:rPr>
                <w:rFonts w:eastAsia="等线" w:cs="Arial"/>
                <w:sz w:val="18"/>
                <w:szCs w:val="18"/>
              </w:rPr>
            </w:pPr>
            <w:r>
              <w:rPr>
                <w:rFonts w:hint="eastAsia" w:eastAsia="等线" w:cs="Arial"/>
                <w:sz w:val="18"/>
                <w:szCs w:val="18"/>
              </w:rPr>
              <w:t>N</w:t>
            </w:r>
            <w:r>
              <w:rPr>
                <w:rFonts w:eastAsia="等线" w:cs="Arial"/>
                <w:sz w:val="18"/>
                <w:szCs w:val="18"/>
              </w:rPr>
              <w:t>one</w:t>
            </w:r>
          </w:p>
        </w:tc>
      </w:tr>
      <w:tr w14:paraId="1B86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6F8A41CD">
            <w:pPr>
              <w:rPr>
                <w:rFonts w:eastAsia="等线" w:cs="Arial"/>
                <w:sz w:val="18"/>
                <w:szCs w:val="18"/>
                <w:lang w:eastAsia="zh-CN"/>
              </w:rPr>
            </w:pPr>
            <w:r>
              <w:rPr>
                <w:rFonts w:hint="eastAsia" w:eastAsia="等线" w:cs="Arial"/>
                <w:sz w:val="18"/>
                <w:szCs w:val="18"/>
                <w:lang w:eastAsia="zh-CN"/>
              </w:rPr>
              <w:t>P</w:t>
            </w:r>
            <w:r>
              <w:rPr>
                <w:rFonts w:eastAsia="等线" w:cs="Arial"/>
                <w:sz w:val="18"/>
                <w:szCs w:val="18"/>
                <w:lang w:eastAsia="zh-CN"/>
              </w:rPr>
              <w:t>reamble configuration</w:t>
            </w:r>
          </w:p>
        </w:tc>
        <w:tc>
          <w:tcPr>
            <w:tcW w:w="3244" w:type="pct"/>
            <w:tcMar>
              <w:top w:w="0" w:type="dxa"/>
              <w:left w:w="108" w:type="dxa"/>
              <w:bottom w:w="0" w:type="dxa"/>
              <w:right w:w="108" w:type="dxa"/>
            </w:tcMar>
            <w:vAlign w:val="center"/>
          </w:tcPr>
          <w:p w14:paraId="260B5347">
            <w:pPr>
              <w:keepNext w:val="0"/>
              <w:keepLines w:val="0"/>
              <w:widowControl/>
              <w:suppressLineNumbers w:val="0"/>
              <w:pBdr>
                <w:top w:val="none" w:color="auto" w:sz="0" w:space="0"/>
                <w:left w:val="none" w:color="auto" w:sz="0" w:space="0"/>
                <w:bottom w:val="none" w:color="auto" w:sz="0" w:space="0"/>
                <w:right w:val="none" w:color="auto" w:sz="0" w:space="0"/>
              </w:pBdr>
              <w:jc w:val="left"/>
              <w:rPr>
                <w:rFonts w:eastAsia="等线" w:cs="Arial"/>
                <w:sz w:val="18"/>
                <w:szCs w:val="18"/>
              </w:rPr>
            </w:pPr>
            <w:r>
              <w:rPr>
                <w:rFonts w:hint="default" w:ascii="Consolas" w:hAnsi="Consolas" w:eastAsia="Consolas" w:cs="Consolas"/>
                <w:b w:val="0"/>
                <w:bCs w:val="0"/>
                <w:i w:val="0"/>
                <w:iCs w:val="0"/>
                <w:kern w:val="0"/>
                <w:sz w:val="20"/>
                <w:szCs w:val="20"/>
                <w:lang w:val="en-US" w:eastAsia="zh-CN" w:bidi="ar"/>
              </w:rPr>
              <w:t>len131=[-1 -1 -1 -1 -1 -1 1 1 1 -1 -1 -1 -1 -1 -1 1 1 1 -1 -1 -1 -1 -1 -1 -1 -1 -1 -1 -1 1 1 1 -1 -1 1 1 1 -1 1 1 1 -1 -1 1 1 1 -1 -1 -1 1 1 1 1 -1 -1 1 1 1 -1 -1 -1 1 -1 -1 1 -1 -1 -1 1 1 1 -1 1 1 -1 1 1 -1 -1 1 -1 1 1 -1 1 1 -1 1 1 -1 -1 1 -1 -1 -1 1 -1 -1 1 1 -1 1 1 -1 1 -1 1 -1 1 -1 1 -1 1 1 -1 1 1 -1 1 -1 1 -1 -1 1 -1 -1 1 -1 1 -1 1];</w:t>
            </w:r>
          </w:p>
        </w:tc>
      </w:tr>
      <w:tr w14:paraId="325F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756" w:type="pct"/>
            <w:tcMar>
              <w:top w:w="0" w:type="dxa"/>
              <w:left w:w="108" w:type="dxa"/>
              <w:bottom w:w="0" w:type="dxa"/>
              <w:right w:w="108" w:type="dxa"/>
            </w:tcMar>
            <w:vAlign w:val="center"/>
          </w:tcPr>
          <w:p w14:paraId="17442E14">
            <w:pPr>
              <w:rPr>
                <w:rFonts w:eastAsia="等线" w:cs="Arial"/>
                <w:sz w:val="18"/>
                <w:szCs w:val="18"/>
                <w:lang w:eastAsia="zh-CN"/>
              </w:rPr>
            </w:pPr>
            <w:r>
              <w:rPr>
                <w:rFonts w:hint="eastAsia" w:eastAsia="等线" w:cs="Arial"/>
                <w:sz w:val="18"/>
                <w:szCs w:val="18"/>
                <w:lang w:eastAsia="zh-CN"/>
              </w:rPr>
              <w:t>M</w:t>
            </w:r>
            <w:r>
              <w:rPr>
                <w:rFonts w:eastAsia="等线" w:cs="Arial"/>
                <w:sz w:val="18"/>
                <w:szCs w:val="18"/>
                <w:lang w:eastAsia="zh-CN"/>
              </w:rPr>
              <w:t>idamble configuration</w:t>
            </w:r>
          </w:p>
        </w:tc>
        <w:tc>
          <w:tcPr>
            <w:tcW w:w="3244" w:type="pct"/>
            <w:tcMar>
              <w:top w:w="0" w:type="dxa"/>
              <w:left w:w="108" w:type="dxa"/>
              <w:bottom w:w="0" w:type="dxa"/>
              <w:right w:w="108" w:type="dxa"/>
            </w:tcMar>
            <w:vAlign w:val="center"/>
          </w:tcPr>
          <w:p w14:paraId="2DA87362">
            <w:pPr>
              <w:rPr>
                <w:rFonts w:eastAsia="等线" w:cs="Arial"/>
                <w:sz w:val="18"/>
                <w:szCs w:val="18"/>
              </w:rPr>
            </w:pPr>
            <w:r>
              <w:rPr>
                <w:rFonts w:hint="default" w:ascii="Consolas" w:hAnsi="Consolas" w:eastAsia="Consolas" w:cs="Consolas"/>
                <w:b w:val="0"/>
                <w:bCs w:val="0"/>
                <w:i w:val="0"/>
                <w:iCs w:val="0"/>
                <w:kern w:val="0"/>
                <w:sz w:val="20"/>
                <w:szCs w:val="20"/>
                <w:lang w:val="en-US" w:eastAsia="zh-CN" w:bidi="ar"/>
              </w:rPr>
              <w:t>len131=[-1 -1 -1 -1 -1 -1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5478CBAD">
      <w:pPr>
        <w:spacing w:after="180"/>
        <w:jc w:val="left"/>
        <w:rPr>
          <w:rFonts w:hint="default" w:ascii="Times New Roman" w:hAnsi="Times New Roman" w:cs="Times New Roman"/>
          <w:b/>
          <w:bCs/>
          <w:sz w:val="20"/>
          <w:szCs w:val="20"/>
          <w:lang w:val="en-US" w:eastAsia="zh-CN"/>
        </w:rPr>
      </w:pPr>
    </w:p>
    <w:p w14:paraId="36BFE754">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3: the SNR that meet 10% BLER is -10.8 ~-10.6dB with corresponding assumptions as in above table. Note above 131 bit preamble is used and we will update final simulation results based on final RAN1 conclusion.</w:t>
      </w:r>
    </w:p>
    <w:p w14:paraId="025285EC">
      <w:pPr>
        <w:spacing w:after="180"/>
        <w:jc w:val="left"/>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Now there is no RAN1 requirements about detailed preamble and midable configuration, we will update simulation results in next meeting based on final RAN1 conclusion.</w:t>
      </w:r>
    </w:p>
    <w:p w14:paraId="567AE03F">
      <w:pPr>
        <w:numPr>
          <w:ilvl w:val="0"/>
          <w:numId w:val="5"/>
        </w:numPr>
        <w:spacing w:after="180"/>
        <w:jc w:val="left"/>
        <w:rPr>
          <w:rFonts w:ascii="Times New Roman" w:hAnsi="Times New Roman"/>
          <w:sz w:val="20"/>
          <w:szCs w:val="20"/>
        </w:rPr>
      </w:pPr>
      <w:r>
        <w:rPr>
          <w:rFonts w:hint="eastAsia" w:ascii="Times New Roman" w:hAnsi="Times New Roman"/>
          <w:sz w:val="20"/>
          <w:szCs w:val="20"/>
        </w:rPr>
        <w:t>ACS and blocking related requirements</w:t>
      </w:r>
    </w:p>
    <w:p w14:paraId="1227D886">
      <w:pPr>
        <w:spacing w:after="180"/>
        <w:jc w:val="left"/>
        <w:rPr>
          <w:rFonts w:ascii="Times New Roman" w:hAnsi="Times New Roman"/>
          <w:sz w:val="20"/>
          <w:szCs w:val="20"/>
        </w:rPr>
      </w:pPr>
      <w:r>
        <w:rPr>
          <w:rFonts w:hint="eastAsia" w:ascii="Times New Roman" w:hAnsi="Times New Roman"/>
          <w:sz w:val="20"/>
          <w:szCs w:val="20"/>
          <w:lang w:val="en-US" w:eastAsia="zh-CN"/>
        </w:rPr>
        <w:t>If there is no indoor UE, then the ACS and blocking seems not that significant. But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relatively easier for BS to achieve ACS requirements using digital filter. There is no need to define much relaxed requirements since BS could easily achieve it</w:t>
      </w:r>
      <w:r>
        <w:rPr>
          <w:rFonts w:hint="eastAsia" w:ascii="Times New Roman" w:hAnsi="Times New Roman"/>
          <w:sz w:val="20"/>
          <w:szCs w:val="20"/>
        </w:rPr>
        <w:t>.</w:t>
      </w:r>
    </w:p>
    <w:p w14:paraId="4910CD07">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For ACS requirements, reuse legacy NB-IOT requirements</w:t>
      </w:r>
      <w:r>
        <w:rPr>
          <w:rFonts w:hint="eastAsia" w:ascii="Times New Roman" w:hAnsi="Times New Roman"/>
          <w:b/>
          <w:bCs/>
          <w:sz w:val="20"/>
          <w:szCs w:val="20"/>
          <w:lang w:val="en-US" w:eastAsia="zh-CN"/>
        </w:rPr>
        <w:t>.</w:t>
      </w:r>
    </w:p>
    <w:p w14:paraId="329BD530">
      <w:pPr>
        <w:numPr>
          <w:ilvl w:val="0"/>
          <w:numId w:val="5"/>
        </w:numPr>
        <w:spacing w:after="180"/>
        <w:jc w:val="left"/>
        <w:rPr>
          <w:rFonts w:ascii="Times New Roman" w:hAnsi="Times New Roman"/>
          <w:sz w:val="20"/>
          <w:szCs w:val="20"/>
        </w:rPr>
      </w:pPr>
      <w:r>
        <w:rPr>
          <w:rFonts w:hint="eastAsia" w:ascii="Times New Roman" w:hAnsi="Times New Roman"/>
          <w:sz w:val="20"/>
          <w:szCs w:val="20"/>
          <w:lang w:val="en-US" w:eastAsia="zh-CN"/>
        </w:rPr>
        <w:t>Inter-modulation</w:t>
      </w:r>
      <w:r>
        <w:rPr>
          <w:rFonts w:hint="eastAsia" w:ascii="Times New Roman" w:hAnsi="Times New Roman"/>
          <w:sz w:val="20"/>
          <w:szCs w:val="20"/>
        </w:rPr>
        <w:t xml:space="preserve"> related requirements</w:t>
      </w:r>
    </w:p>
    <w:p w14:paraId="70D0D709">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Inter-modulation requirements is used to evaluate receiver non-linearity requirements. Besides, there is NB devices using band n8,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define the narrow-band inter-modulation requirements and reuse FR1 NB-IoT medium range BS Rx narrowband intermodulation requirement.</w:t>
      </w:r>
    </w:p>
    <w:p w14:paraId="44766CC4">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reuse FR1 NB-IoT medium range BS Rx narrowband intermodulation requirement.  </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428D8841">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Observation 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Take care of the definition of MCL for micro cell scenario if we finally use less than 5m horizontal distance for device max input power definition.</w:t>
      </w:r>
    </w:p>
    <w:p w14:paraId="4347008B">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OFF power, no need to define more strict requirements than legacy BS.</w:t>
      </w:r>
    </w:p>
    <w:p w14:paraId="1D91F610">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certain relaxation should be allowed compared with RFID ripple requirements when considering following factors:</w:t>
      </w:r>
    </w:p>
    <w:p w14:paraId="295D5AC9">
      <w:pPr>
        <w:numPr>
          <w:ilvl w:val="0"/>
          <w:numId w:val="7"/>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the tradoff between ACLR and ripple</w:t>
      </w:r>
    </w:p>
    <w:p w14:paraId="56CCA3B4">
      <w:pPr>
        <w:numPr>
          <w:ilvl w:val="0"/>
          <w:numId w:val="7"/>
        </w:num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CP at reader signal.</w:t>
      </w:r>
    </w:p>
    <w:p w14:paraId="3B6C1F46">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2</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 xml:space="preserve">s suggested to reuse </w:t>
      </w:r>
      <w:r>
        <w:rPr>
          <w:rFonts w:hint="eastAsia" w:ascii="Times New Roman" w:hAnsi="Times New Roman"/>
          <w:b/>
          <w:bCs/>
          <w:sz w:val="20"/>
          <w:szCs w:val="20"/>
          <w:highlight w:val="none"/>
        </w:rPr>
        <w:t>legacy NB-I</w:t>
      </w:r>
      <w:r>
        <w:rPr>
          <w:rFonts w:hint="eastAsia" w:ascii="Times New Roman" w:hAnsi="Times New Roman"/>
          <w:b/>
          <w:bCs/>
          <w:sz w:val="20"/>
          <w:szCs w:val="20"/>
          <w:highlight w:val="none"/>
          <w:lang w:val="en-US" w:eastAsia="zh-CN"/>
        </w:rPr>
        <w:t>o</w:t>
      </w:r>
      <w:r>
        <w:rPr>
          <w:rFonts w:hint="eastAsia" w:ascii="Times New Roman" w:hAnsi="Times New Roman"/>
          <w:b/>
          <w:bCs/>
          <w:sz w:val="20"/>
          <w:szCs w:val="20"/>
          <w:highlight w:val="none"/>
        </w:rPr>
        <w:t>T ACLR unwanted emission</w:t>
      </w:r>
      <w:r>
        <w:rPr>
          <w:rFonts w:hint="eastAsia" w:ascii="Times New Roman" w:hAnsi="Times New Roman"/>
          <w:b/>
          <w:bCs/>
          <w:sz w:val="20"/>
          <w:szCs w:val="20"/>
          <w:highlight w:val="none"/>
          <w:lang w:val="en-US" w:eastAsia="zh-CN"/>
        </w:rPr>
        <w:t xml:space="preserve"> requirements with wider offset to consider forward compatible.</w:t>
      </w:r>
    </w:p>
    <w:p w14:paraId="0851F104">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no need for Tx intermodulation requirements.</w:t>
      </w:r>
    </w:p>
    <w:p w14:paraId="7CC321FD">
      <w:pPr>
        <w:spacing w:after="180"/>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3: the SNR that meet 10% BLER is -10.8 ~-10.6dB with corresponding assumptions as in above table. Note above 131 bit preamble is used and we will update final simulation results based on final RAN1 conclusion.</w:t>
      </w:r>
    </w:p>
    <w:p w14:paraId="2C115D2B">
      <w:p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4</w:t>
      </w:r>
      <w:r>
        <w:rPr>
          <w:rFonts w:hint="eastAsia" w:ascii="Times New Roman" w:hAnsi="Times New Roman"/>
          <w:b/>
          <w:bCs/>
          <w:sz w:val="20"/>
          <w:szCs w:val="20"/>
        </w:rPr>
        <w:t>: For ACS requirements, reuse legacy NB-IOT requirements</w:t>
      </w:r>
      <w:r>
        <w:rPr>
          <w:rFonts w:hint="eastAsia" w:ascii="Times New Roman" w:hAnsi="Times New Roman"/>
          <w:b/>
          <w:bCs/>
          <w:sz w:val="20"/>
          <w:szCs w:val="20"/>
          <w:lang w:val="en-US" w:eastAsia="zh-CN"/>
        </w:rPr>
        <w:t>.</w:t>
      </w:r>
    </w:p>
    <w:p w14:paraId="037F5EE1">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reuse FR1 NB-IoT medium range BS Rx narrowband intermodulation requirement.</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6"/>
        <w:numPr>
          <w:ilvl w:val="0"/>
          <w:numId w:val="8"/>
        </w:numPr>
      </w:pPr>
      <w:bookmarkStart w:id="10" w:name="OLE_LINK16"/>
      <w:bookmarkStart w:id="11" w:name="_Ref387394383"/>
      <w:bookmarkStart w:id="12" w:name="_Ref457225889"/>
      <w:bookmarkStart w:id="13" w:name="_Hlk189663556"/>
      <w:bookmarkStart w:id="14" w:name="OLE_LINK1"/>
      <w:r>
        <w:t>RP-2</w:t>
      </w:r>
      <w:r>
        <w:rPr>
          <w:rFonts w:hint="eastAsia" w:eastAsiaTheme="minorEastAsia"/>
          <w:lang w:eastAsia="zh-CN"/>
        </w:rPr>
        <w:t>43326</w:t>
      </w:r>
      <w:bookmarkEnd w:id="10"/>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1"/>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2"/>
    </w:p>
    <w:p w14:paraId="581BE3BF">
      <w:pPr>
        <w:pStyle w:val="66"/>
        <w:numPr>
          <w:ilvl w:val="0"/>
          <w:numId w:val="8"/>
        </w:numPr>
      </w:pPr>
      <w:r>
        <w:rPr>
          <w:rFonts w:hint="eastAsia"/>
        </w:rPr>
        <w:t>R4-77AH-IoT-0018</w:t>
      </w:r>
      <w:r>
        <w:rPr>
          <w:rFonts w:hint="eastAsia" w:eastAsia="宋体"/>
          <w:lang w:val="en-US" w:eastAsia="zh-CN"/>
        </w:rPr>
        <w:t>, On BS emission requirement in standalone operation for NB-IoT, Huawei</w:t>
      </w:r>
    </w:p>
    <w:p w14:paraId="740C906C">
      <w:pPr>
        <w:pStyle w:val="66"/>
        <w:numPr>
          <w:ilvl w:val="0"/>
          <w:numId w:val="8"/>
        </w:numPr>
      </w:pPr>
      <w:r>
        <w:rPr>
          <w:rFonts w:hint="eastAsia"/>
        </w:rPr>
        <w:t>R4-160610</w:t>
      </w:r>
      <w:r>
        <w:rPr>
          <w:rFonts w:hint="eastAsia" w:eastAsia="宋体"/>
          <w:lang w:val="en-US" w:eastAsia="zh-CN"/>
        </w:rPr>
        <w:t>, On BS emission mask in stand-alone operation for NB-IoT, Huawei</w:t>
      </w:r>
    </w:p>
    <w:p w14:paraId="7624F236">
      <w:pPr>
        <w:pStyle w:val="66"/>
        <w:numPr>
          <w:ilvl w:val="0"/>
          <w:numId w:val="8"/>
        </w:numPr>
      </w:pPr>
      <w:r>
        <w:rPr>
          <w:rFonts w:hint="eastAsia"/>
        </w:rPr>
        <w:t>R4-161289</w:t>
      </w:r>
      <w:r>
        <w:rPr>
          <w:rFonts w:hint="eastAsia" w:eastAsia="宋体"/>
          <w:lang w:val="en-US" w:eastAsia="zh-CN"/>
        </w:rPr>
        <w:t>, Way forward on BS unwanted emission requirement for NB-IoT</w:t>
      </w:r>
    </w:p>
    <w:p w14:paraId="22084492">
      <w:pPr>
        <w:pStyle w:val="66"/>
        <w:numPr>
          <w:ilvl w:val="0"/>
          <w:numId w:val="8"/>
        </w:numPr>
      </w:pPr>
      <w:bookmarkStart w:id="15" w:name="OLE_LINK7"/>
      <w:r>
        <w:rPr>
          <w:rFonts w:eastAsiaTheme="minorEastAsia"/>
          <w:lang w:eastAsia="zh-CN"/>
        </w:rPr>
        <w:t>R</w:t>
      </w:r>
      <w:r>
        <w:rPr>
          <w:rFonts w:hint="eastAsia" w:eastAsiaTheme="minorEastAsia"/>
          <w:lang w:eastAsia="zh-CN"/>
        </w:rPr>
        <w:t>4-2420470</w:t>
      </w:r>
      <w:bookmarkEnd w:id="15"/>
      <w:r>
        <w:rPr>
          <w:rFonts w:hint="eastAsia" w:eastAsiaTheme="minorEastAsia"/>
          <w:lang w:eastAsia="zh-CN"/>
        </w:rPr>
        <w:t>, WF on RF requirements for A-IOT, Moderator (Huawei).</w:t>
      </w:r>
    </w:p>
    <w:bookmarkEnd w:id="13"/>
    <w:p w14:paraId="68275EA7">
      <w:pPr>
        <w:numPr>
          <w:ilvl w:val="0"/>
          <w:numId w:val="8"/>
        </w:numPr>
        <w:tabs>
          <w:tab w:val="right" w:pos="10440"/>
          <w:tab w:val="right" w:pos="13323"/>
        </w:tabs>
        <w:jc w:val="left"/>
        <w:rPr>
          <w:rFonts w:ascii="Times New Roman" w:hAnsi="Times New Roman"/>
          <w:sz w:val="20"/>
          <w:szCs w:val="20"/>
        </w:rPr>
      </w:pPr>
      <w:r>
        <w:rPr>
          <w:rFonts w:ascii="Times New Roman" w:hAnsi="Times New Roman"/>
          <w:sz w:val="20"/>
          <w:szCs w:val="20"/>
        </w:rPr>
        <w:t>R4-2417088</w:t>
      </w:r>
      <w:bookmarkEnd w:id="14"/>
      <w:r>
        <w:rPr>
          <w:rFonts w:hint="eastAsia" w:ascii="Times New Roman" w:hAnsi="Times New Roman"/>
          <w:sz w:val="20"/>
          <w:szCs w:val="20"/>
        </w:rPr>
        <w:t xml:space="preserve">, </w:t>
      </w:r>
      <w:r>
        <w:rPr>
          <w:rFonts w:ascii="Times New Roman" w:hAnsi="Times New Roman"/>
          <w:sz w:val="20"/>
          <w:szCs w:val="20"/>
        </w:rPr>
        <w:t>WF on RF requirement impact of A-IoT</w:t>
      </w:r>
      <w:r>
        <w:rPr>
          <w:rFonts w:hint="eastAsia" w:ascii="Times New Roman" w:hAnsi="Times New Roman"/>
          <w:sz w:val="20"/>
          <w:szCs w:val="20"/>
        </w:rPr>
        <w:t>, Huawei.</w:t>
      </w:r>
    </w:p>
    <w:p w14:paraId="5C20EE61">
      <w:pPr>
        <w:numPr>
          <w:ilvl w:val="0"/>
          <w:numId w:val="8"/>
        </w:numPr>
        <w:tabs>
          <w:tab w:val="right" w:pos="10440"/>
          <w:tab w:val="right" w:pos="13323"/>
        </w:tabs>
        <w:jc w:val="left"/>
        <w:rPr>
          <w:rFonts w:ascii="Times New Roman" w:hAnsi="Times New Roman"/>
          <w:sz w:val="20"/>
          <w:szCs w:val="20"/>
        </w:rPr>
      </w:pPr>
      <w:r>
        <w:rPr>
          <w:rFonts w:ascii="Times New Roman" w:hAnsi="Times New Roman"/>
          <w:sz w:val="20"/>
          <w:szCs w:val="20"/>
        </w:rPr>
        <w:t>R4-2414305</w:t>
      </w:r>
      <w:r>
        <w:rPr>
          <w:rFonts w:hint="eastAsia" w:ascii="Times New Roman" w:hAnsi="Times New Roman"/>
          <w:sz w:val="20"/>
          <w:szCs w:val="20"/>
        </w:rPr>
        <w:t xml:space="preserve">, </w:t>
      </w:r>
      <w:r>
        <w:rPr>
          <w:rFonts w:ascii="Times New Roman" w:hAnsi="Times New Roman"/>
          <w:sz w:val="20"/>
          <w:szCs w:val="20"/>
        </w:rPr>
        <w:t>WF on RF requirements for A-IoT</w:t>
      </w:r>
      <w:r>
        <w:rPr>
          <w:rFonts w:hint="eastAsia" w:ascii="Times New Roman" w:hAnsi="Times New Roman"/>
          <w:sz w:val="20"/>
          <w:szCs w:val="20"/>
        </w:rPr>
        <w:t>, Huawei</w:t>
      </w:r>
    </w:p>
    <w:p w14:paraId="1E81699C">
      <w:pPr>
        <w:numPr>
          <w:ilvl w:val="0"/>
          <w:numId w:val="8"/>
        </w:numPr>
        <w:tabs>
          <w:tab w:val="right" w:pos="10440"/>
          <w:tab w:val="right" w:pos="13323"/>
        </w:tabs>
        <w:jc w:val="left"/>
        <w:rPr>
          <w:rFonts w:ascii="Times New Roman" w:hAnsi="Times New Roman"/>
          <w:sz w:val="20"/>
          <w:szCs w:val="20"/>
        </w:rPr>
      </w:pPr>
      <w:bookmarkStart w:id="16" w:name="OLE_LINK2"/>
      <w:r>
        <w:rPr>
          <w:rFonts w:hint="eastAsia" w:ascii="Times New Roman" w:hAnsi="Times New Roman"/>
          <w:sz w:val="20"/>
          <w:szCs w:val="20"/>
        </w:rPr>
        <w:t>EPC™ Radio-Frequency Identity Protocols Generation-2 UHF RFID, Specification for RFID Air Interface Protocol for Communications at 860 MHz - 960 MHz, Version 2.0.0 Ratified</w:t>
      </w:r>
      <w:bookmarkEnd w:id="16"/>
    </w:p>
    <w:p w14:paraId="08B3EA92">
      <w:pPr>
        <w:widowControl w:val="0"/>
        <w:numPr>
          <w:ilvl w:val="0"/>
          <w:numId w:val="0"/>
        </w:numPr>
        <w:tabs>
          <w:tab w:val="right" w:pos="10440"/>
          <w:tab w:val="right" w:pos="13323"/>
        </w:tabs>
        <w:jc w:val="left"/>
        <w:rPr>
          <w:rFonts w:hint="eastAsia" w:ascii="Times New Roman" w:hAnsi="Times New Roman"/>
          <w:sz w:val="20"/>
          <w:szCs w:val="20"/>
        </w:rPr>
      </w:pPr>
    </w:p>
    <w:p w14:paraId="6501A8EE">
      <w:pPr>
        <w:keepNext/>
        <w:keepLines/>
        <w:pBdr>
          <w:top w:val="single" w:color="auto" w:sz="12" w:space="3"/>
        </w:pBdr>
        <w:spacing w:before="240" w:after="180"/>
        <w:ind w:left="1134" w:hanging="1134"/>
        <w:outlineLvl w:val="0"/>
        <w:rPr>
          <w:rFonts w:ascii="Arial" w:hAnsi="Arial" w:eastAsia="宋体" w:cs="Times New Roman"/>
          <w:sz w:val="36"/>
          <w:lang w:val="en-US" w:eastAsia="zh-CN" w:bidi="ar-SA"/>
        </w:rPr>
      </w:pPr>
      <w:r>
        <w:rPr>
          <w:rFonts w:ascii="Arial" w:hAnsi="Arial" w:eastAsia="宋体" w:cs="Times New Roman"/>
          <w:sz w:val="36"/>
          <w:lang w:val="en-US" w:eastAsia="zh-CN" w:bidi="ar-SA"/>
        </w:rPr>
        <w:t xml:space="preserve">2 </w:t>
      </w:r>
      <w:r>
        <w:rPr>
          <w:rFonts w:hint="eastAsia" w:ascii="Arial" w:hAnsi="Arial" w:eastAsia="宋体" w:cs="Times New Roman"/>
          <w:sz w:val="36"/>
          <w:lang w:val="en-US" w:eastAsia="zh-CN" w:bidi="ar-SA"/>
        </w:rPr>
        <w:t>Text Proposal</w:t>
      </w:r>
    </w:p>
    <w:p w14:paraId="2A0E06E3">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bookmarkStart w:id="17" w:name="_Toc405202255"/>
      <w:r>
        <w:rPr>
          <w:rFonts w:ascii="Arial" w:hAnsi="Arial" w:eastAsia="MS Mincho" w:cs="Times New Roman"/>
          <w:color w:val="0070C0"/>
          <w:sz w:val="32"/>
          <w:szCs w:val="32"/>
          <w:lang w:val="en-US" w:eastAsia="en-US" w:bidi="ar-SA"/>
        </w:rPr>
        <w:t>---Start of changes---</w:t>
      </w:r>
      <w:bookmarkEnd w:id="17"/>
    </w:p>
    <w:p w14:paraId="43975A2F">
      <w:pPr>
        <w:keepNext/>
        <w:keepLines/>
        <w:pBdr>
          <w:top w:val="none" w:color="auto" w:sz="0" w:space="0"/>
        </w:pBdr>
        <w:spacing w:before="180" w:after="180"/>
        <w:ind w:left="1134" w:hanging="1134"/>
        <w:outlineLvl w:val="1"/>
        <w:rPr>
          <w:rFonts w:ascii="Arial" w:hAnsi="Arial" w:eastAsia="宋体" w:cs="Times New Roman"/>
          <w:sz w:val="32"/>
          <w:lang w:val="sv-SE" w:eastAsia="en-US" w:bidi="ar-SA"/>
        </w:rPr>
      </w:pPr>
      <w:bookmarkStart w:id="18" w:name="_Toc131766299"/>
      <w:bookmarkStart w:id="19" w:name="_Toc131595767"/>
      <w:bookmarkStart w:id="20" w:name="_Toc107474853"/>
      <w:bookmarkStart w:id="21" w:name="_Toc131740765"/>
      <w:bookmarkStart w:id="22" w:name="_Toc123717429"/>
      <w:bookmarkStart w:id="23" w:name="_Toc123051859"/>
      <w:bookmarkStart w:id="24" w:name="_Toc156567342"/>
      <w:bookmarkStart w:id="25" w:name="_Toc114255446"/>
      <w:bookmarkStart w:id="26" w:name="_Toc123054328"/>
      <w:bookmarkStart w:id="27" w:name="_Toc106782751"/>
      <w:bookmarkStart w:id="28" w:name="_Toc115186126"/>
      <w:bookmarkStart w:id="29" w:name="_Toc107311642"/>
      <w:bookmarkStart w:id="30" w:name="_Toc123048940"/>
      <w:bookmarkStart w:id="31" w:name="_Toc138837521"/>
      <w:bookmarkStart w:id="32" w:name="_Toc107419226"/>
      <w:bookmarkStart w:id="33" w:name="_Toc124266409"/>
      <w:bookmarkStart w:id="34" w:name="_Toc124157005"/>
      <w:r>
        <w:rPr>
          <w:rFonts w:ascii="Arial" w:hAnsi="Arial" w:eastAsia="宋体" w:cs="Times New Roman"/>
          <w:sz w:val="32"/>
          <w:lang w:val="sv-SE" w:eastAsia="en-US" w:bidi="ar-SA"/>
        </w:rPr>
        <w:t>5.3</w:t>
      </w:r>
      <w:r>
        <w:rPr>
          <w:rFonts w:ascii="Arial" w:hAnsi="Arial" w:eastAsia="宋体" w:cs="Times New Roman"/>
          <w:sz w:val="32"/>
          <w:lang w:val="sv-SE" w:eastAsia="en-US" w:bidi="ar-SA"/>
        </w:rPr>
        <w:tab/>
      </w:r>
      <w:r>
        <w:rPr>
          <w:rFonts w:ascii="Arial" w:hAnsi="Arial" w:eastAsia="宋体" w:cs="Times New Roman"/>
          <w:i/>
          <w:sz w:val="32"/>
          <w:lang w:val="sv-SE" w:eastAsia="en-US" w:bidi="ar-SA"/>
        </w:rPr>
        <w:t>BS channel bandwidth</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84E6644">
      <w:pPr>
        <w:keepNext/>
        <w:keepLines/>
        <w:pBdr>
          <w:top w:val="none" w:color="auto" w:sz="0" w:space="0"/>
        </w:pBdr>
        <w:spacing w:before="120" w:after="180"/>
        <w:ind w:left="1134" w:hanging="1134"/>
        <w:outlineLvl w:val="2"/>
        <w:rPr>
          <w:rFonts w:ascii="Arial" w:hAnsi="Arial" w:eastAsia="宋体" w:cs="Times New Roman"/>
          <w:sz w:val="28"/>
          <w:lang w:val="sv-SE" w:eastAsia="en-US" w:bidi="ar-SA"/>
        </w:rPr>
      </w:pPr>
      <w:bookmarkStart w:id="35" w:name="_Toc123717430"/>
      <w:bookmarkStart w:id="36" w:name="_Toc115186127"/>
      <w:bookmarkStart w:id="37" w:name="_Toc138837522"/>
      <w:bookmarkStart w:id="38" w:name="_Toc106782752"/>
      <w:bookmarkStart w:id="39" w:name="_Toc67916574"/>
      <w:bookmarkStart w:id="40" w:name="_Toc61179278"/>
      <w:bookmarkStart w:id="41" w:name="_Toc37267489"/>
      <w:bookmarkStart w:id="42" w:name="_Toc36817185"/>
      <w:bookmarkStart w:id="43" w:name="_Toc123048941"/>
      <w:bookmarkStart w:id="44" w:name="_Toc123051860"/>
      <w:bookmarkStart w:id="45" w:name="_Toc131740766"/>
      <w:bookmarkStart w:id="46" w:name="_Toc21127427"/>
      <w:bookmarkStart w:id="47" w:name="_Toc53178131"/>
      <w:bookmarkStart w:id="48" w:name="_Toc156567343"/>
      <w:bookmarkStart w:id="49" w:name="_Toc90422559"/>
      <w:bookmarkStart w:id="50" w:name="_Toc107419227"/>
      <w:bookmarkStart w:id="51" w:name="_Toc123054329"/>
      <w:bookmarkStart w:id="52" w:name="_Toc131595768"/>
      <w:bookmarkStart w:id="53" w:name="_Toc37260101"/>
      <w:bookmarkStart w:id="54" w:name="_Toc29811633"/>
      <w:bookmarkStart w:id="55" w:name="_Toc44712091"/>
      <w:bookmarkStart w:id="56" w:name="_Toc131766300"/>
      <w:bookmarkStart w:id="57" w:name="_Toc74663172"/>
      <w:bookmarkStart w:id="58" w:name="_Toc53178582"/>
      <w:bookmarkStart w:id="59" w:name="_Toc114255447"/>
      <w:bookmarkStart w:id="60" w:name="_Toc107311643"/>
      <w:bookmarkStart w:id="61" w:name="_Toc124266410"/>
      <w:bookmarkStart w:id="62" w:name="_Toc124157006"/>
      <w:bookmarkStart w:id="63" w:name="_Toc45893404"/>
      <w:bookmarkStart w:id="64" w:name="_Toc82621712"/>
      <w:bookmarkStart w:id="65" w:name="_Toc61178808"/>
      <w:bookmarkStart w:id="66" w:name="_Toc107474854"/>
      <w:r>
        <w:rPr>
          <w:rFonts w:ascii="Arial" w:hAnsi="Arial" w:eastAsia="宋体" w:cs="Times New Roman"/>
          <w:sz w:val="28"/>
          <w:lang w:val="sv-SE" w:eastAsia="en-US" w:bidi="ar-SA"/>
        </w:rPr>
        <w:t>5.3.1</w:t>
      </w:r>
      <w:r>
        <w:rPr>
          <w:rFonts w:ascii="Arial" w:hAnsi="Arial" w:eastAsia="宋体" w:cs="Times New Roman"/>
          <w:sz w:val="28"/>
          <w:lang w:val="sv-SE" w:eastAsia="en-US" w:bidi="ar-SA"/>
        </w:rPr>
        <w:tab/>
      </w:r>
      <w:r>
        <w:rPr>
          <w:rFonts w:ascii="Arial" w:hAnsi="Arial" w:eastAsia="宋体" w:cs="Times New Roman"/>
          <w:sz w:val="28"/>
          <w:lang w:val="sv-SE" w:eastAsia="en-US" w:bidi="ar-SA"/>
        </w:rPr>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55B82EC">
      <w:pPr>
        <w:widowControl/>
        <w:spacing w:after="180"/>
        <w:jc w:val="left"/>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t xml:space="preserve">The </w:t>
      </w:r>
      <w:r>
        <w:rPr>
          <w:rFonts w:hint="eastAsia" w:ascii="Times New Roman" w:hAnsi="Times New Roman" w:eastAsia="宋体" w:cs="Times New Roman"/>
          <w:i/>
          <w:kern w:val="2"/>
          <w:sz w:val="20"/>
          <w:szCs w:val="20"/>
          <w:lang w:val="en-US" w:eastAsia="zh-CN"/>
        </w:rPr>
        <w:t>reader</w:t>
      </w:r>
      <w:r>
        <w:rPr>
          <w:rFonts w:ascii="Times New Roman" w:hAnsi="Times New Roman" w:eastAsia="宋体" w:cs="Times New Roman"/>
          <w:i/>
          <w:kern w:val="2"/>
          <w:sz w:val="20"/>
          <w:szCs w:val="20"/>
          <w:lang w:val="en-GB" w:eastAsia="en-US"/>
        </w:rPr>
        <w:t xml:space="preserve"> channel bandwidth</w:t>
      </w:r>
      <w:r>
        <w:rPr>
          <w:rFonts w:ascii="Times New Roman" w:hAnsi="Times New Roman" w:eastAsia="宋体" w:cs="Times New Roman"/>
          <w:kern w:val="0"/>
          <w:sz w:val="20"/>
          <w:szCs w:val="20"/>
          <w:lang w:val="en-GB" w:eastAsia="en-US"/>
        </w:rPr>
        <w:t xml:space="preserve"> supports a single </w:t>
      </w:r>
      <w:r>
        <w:rPr>
          <w:rFonts w:hint="eastAsia" w:ascii="Times New Roman" w:hAnsi="Times New Roman" w:eastAsia="宋体" w:cs="Times New Roman"/>
          <w:kern w:val="0"/>
          <w:sz w:val="20"/>
          <w:szCs w:val="20"/>
          <w:lang w:val="en-US" w:eastAsia="zh-CN"/>
        </w:rPr>
        <w:t>reader</w:t>
      </w:r>
      <w:r>
        <w:rPr>
          <w:rFonts w:ascii="Times New Roman" w:hAnsi="Times New Roman" w:eastAsia="宋体" w:cs="Times New Roman"/>
          <w:kern w:val="0"/>
          <w:sz w:val="20"/>
          <w:szCs w:val="20"/>
          <w:lang w:val="en-GB" w:eastAsia="en-US"/>
        </w:rPr>
        <w:t xml:space="preserve"> RF carrier in </w:t>
      </w:r>
      <w:r>
        <w:rPr>
          <w:rFonts w:hint="eastAsia" w:ascii="Times New Roman" w:hAnsi="Times New Roman" w:eastAsia="宋体" w:cs="Times New Roman"/>
          <w:kern w:val="0"/>
          <w:sz w:val="20"/>
          <w:szCs w:val="20"/>
          <w:lang w:val="en-US" w:eastAsia="zh-CN"/>
        </w:rPr>
        <w:t>R2D link</w:t>
      </w:r>
      <w:r>
        <w:rPr>
          <w:rFonts w:ascii="Times New Roman" w:hAnsi="Times New Roman" w:eastAsia="宋体" w:cs="Times New Roman"/>
          <w:kern w:val="0"/>
          <w:sz w:val="20"/>
          <w:szCs w:val="20"/>
          <w:lang w:val="en-GB" w:eastAsia="en-US"/>
        </w:rPr>
        <w:t xml:space="preserve"> at the </w:t>
      </w:r>
      <w:r>
        <w:rPr>
          <w:rFonts w:hint="eastAsia" w:ascii="Times New Roman" w:hAnsi="Times New Roman" w:eastAsia="宋体" w:cs="Times New Roman"/>
          <w:kern w:val="0"/>
          <w:sz w:val="20"/>
          <w:szCs w:val="20"/>
          <w:lang w:val="en-US" w:eastAsia="zh-CN"/>
        </w:rPr>
        <w:t>reader</w:t>
      </w:r>
      <w:r>
        <w:rPr>
          <w:rFonts w:ascii="Times New Roman" w:hAnsi="Times New Roman" w:eastAsia="宋体" w:cs="Times New Roman"/>
          <w:kern w:val="0"/>
          <w:sz w:val="20"/>
          <w:szCs w:val="20"/>
          <w:lang w:val="en-GB" w:eastAsia="en-US"/>
        </w:rPr>
        <w:t xml:space="preserve">. </w:t>
      </w:r>
      <w:r>
        <w:rPr>
          <w:rFonts w:hint="eastAsia" w:ascii="Times New Roman" w:hAnsi="Times New Roman" w:eastAsia="宋体" w:cs="Times New Roman"/>
          <w:kern w:val="0"/>
          <w:sz w:val="20"/>
          <w:szCs w:val="20"/>
          <w:lang w:val="en-US" w:eastAsia="zh-CN"/>
        </w:rPr>
        <w:t>[</w:t>
      </w:r>
      <w:r>
        <w:rPr>
          <w:rFonts w:ascii="Times New Roman" w:hAnsi="Times New Roman" w:eastAsia="宋体" w:cs="Times New Roman"/>
          <w:kern w:val="0"/>
          <w:sz w:val="20"/>
          <w:szCs w:val="20"/>
          <w:lang w:val="en-GB" w:eastAsia="en-US"/>
        </w:rPr>
        <w:t xml:space="preserve">The placement of the </w:t>
      </w:r>
      <w:r>
        <w:rPr>
          <w:rFonts w:ascii="Times New Roman" w:hAnsi="Times New Roman" w:eastAsia="宋体" w:cs="Times New Roman"/>
          <w:iCs/>
          <w:kern w:val="2"/>
          <w:sz w:val="20"/>
          <w:szCs w:val="20"/>
          <w:lang w:val="en-GB" w:eastAsia="en-US"/>
        </w:rPr>
        <w:t>UE channel bandwidth</w:t>
      </w:r>
      <w:r>
        <w:rPr>
          <w:rFonts w:ascii="Times New Roman" w:hAnsi="Times New Roman" w:eastAsia="宋体" w:cs="Times New Roman"/>
          <w:kern w:val="0"/>
          <w:sz w:val="20"/>
          <w:szCs w:val="20"/>
          <w:lang w:val="en-GB" w:eastAsia="en-US"/>
        </w:rPr>
        <w:t xml:space="preserve"> is flexible but can only be </w:t>
      </w:r>
      <w:r>
        <w:rPr>
          <w:rFonts w:hint="eastAsia" w:ascii="Times New Roman" w:hAnsi="Times New Roman" w:eastAsia="宋体" w:cs="Times New Roman"/>
          <w:kern w:val="0"/>
          <w:sz w:val="20"/>
          <w:szCs w:val="20"/>
          <w:lang w:val="en-US" w:eastAsia="zh-CN"/>
        </w:rPr>
        <w:t>partially</w:t>
      </w:r>
      <w:r>
        <w:rPr>
          <w:rFonts w:ascii="Times New Roman" w:hAnsi="Times New Roman" w:eastAsia="宋体" w:cs="Times New Roman"/>
          <w:kern w:val="0"/>
          <w:sz w:val="20"/>
          <w:szCs w:val="20"/>
          <w:lang w:val="en-GB" w:eastAsia="en-US"/>
        </w:rPr>
        <w:t xml:space="preserve"> within the </w:t>
      </w:r>
      <w:r>
        <w:rPr>
          <w:rFonts w:hint="eastAsia" w:ascii="Times New Roman" w:hAnsi="Times New Roman" w:eastAsia="宋体" w:cs="Times New Roman"/>
          <w:i/>
          <w:kern w:val="2"/>
          <w:sz w:val="20"/>
          <w:szCs w:val="20"/>
          <w:lang w:val="en-US" w:eastAsia="zh-CN"/>
        </w:rPr>
        <w:t>reader channel</w:t>
      </w:r>
      <w:r>
        <w:rPr>
          <w:rFonts w:ascii="Times New Roman" w:hAnsi="Times New Roman" w:eastAsia="宋体" w:cs="Times New Roman"/>
          <w:i/>
          <w:kern w:val="2"/>
          <w:sz w:val="20"/>
          <w:szCs w:val="20"/>
          <w:lang w:val="en-GB" w:eastAsia="en-US"/>
        </w:rPr>
        <w:t xml:space="preserve"> bandwidth</w:t>
      </w:r>
      <w:r>
        <w:rPr>
          <w:rFonts w:hint="eastAsia" w:ascii="Times New Roman" w:hAnsi="Times New Roman" w:eastAsia="宋体" w:cs="Times New Roman"/>
          <w:i/>
          <w:kern w:val="2"/>
          <w:sz w:val="20"/>
          <w:szCs w:val="20"/>
          <w:lang w:val="en-US" w:eastAsia="zh-CN"/>
        </w:rPr>
        <w:t>]</w:t>
      </w:r>
      <w:r>
        <w:rPr>
          <w:rFonts w:ascii="Times New Roman" w:hAnsi="Times New Roman" w:eastAsia="宋体" w:cs="Times New Roman"/>
          <w:kern w:val="0"/>
          <w:sz w:val="20"/>
          <w:szCs w:val="20"/>
          <w:lang w:val="en-GB" w:eastAsia="en-US"/>
        </w:rPr>
        <w:t>.</w:t>
      </w:r>
      <w:r>
        <w:rPr>
          <w:rFonts w:ascii="Times New Roman" w:hAnsi="Times New Roman" w:eastAsia="等线" w:cs="Times New Roman"/>
          <w:kern w:val="0"/>
          <w:sz w:val="20"/>
          <w:szCs w:val="20"/>
          <w:lang w:val="en-GB" w:eastAsia="en-US"/>
        </w:rPr>
        <w:t xml:space="preserve"> </w:t>
      </w:r>
    </w:p>
    <w:p w14:paraId="5FE0CD38">
      <w:pPr>
        <w:widowControl/>
        <w:spacing w:after="180"/>
        <w:jc w:val="left"/>
        <w:rPr>
          <w:rFonts w:ascii="Times New Roman" w:hAnsi="Times New Roman" w:eastAsia="宋体" w:cs="Times New Roman"/>
          <w:kern w:val="0"/>
          <w:sz w:val="20"/>
          <w:szCs w:val="20"/>
          <w:lang w:val="en-US" w:eastAsia="zh-CN"/>
        </w:rPr>
      </w:pPr>
      <w:r>
        <w:rPr>
          <w:rFonts w:ascii="Times New Roman" w:hAnsi="Times New Roman" w:eastAsia="Yu Mincho" w:cs="Times New Roman"/>
          <w:kern w:val="0"/>
          <w:sz w:val="20"/>
          <w:szCs w:val="20"/>
          <w:lang w:val="en-GB" w:eastAsia="en-US"/>
        </w:rPr>
        <w:t xml:space="preserve">The relationship between the channel bandwidth, the guardband and the </w:t>
      </w:r>
      <w:r>
        <w:rPr>
          <w:rFonts w:ascii="Times New Roman" w:hAnsi="Times New Roman" w:eastAsia="Yu Mincho" w:cs="Times New Roman"/>
          <w:i/>
          <w:kern w:val="0"/>
          <w:sz w:val="20"/>
          <w:szCs w:val="20"/>
          <w:lang w:val="en-GB" w:eastAsia="en-US"/>
        </w:rPr>
        <w:t>transmission bandwidth configuration</w:t>
      </w:r>
      <w:r>
        <w:rPr>
          <w:rFonts w:ascii="Times New Roman" w:hAnsi="Times New Roman" w:eastAsia="Yu Mincho" w:cs="Times New Roman"/>
          <w:kern w:val="0"/>
          <w:sz w:val="20"/>
          <w:szCs w:val="20"/>
          <w:lang w:val="en-GB" w:eastAsia="en-US"/>
        </w:rPr>
        <w:t xml:space="preserve"> is shown in figure 5.3.1-1.</w:t>
      </w:r>
    </w:p>
    <w:p w14:paraId="7D9AA723">
      <w:pPr>
        <w:keepNext/>
        <w:keepLines/>
        <w:spacing w:before="60" w:after="180"/>
        <w:jc w:val="center"/>
        <w:rPr>
          <w:rFonts w:ascii="Arial" w:hAnsi="Arial" w:eastAsia="Yu Mincho" w:cs="Times New Roman"/>
          <w:b/>
          <w:lang w:val="zh-CN" w:eastAsia="en-US" w:bidi="ar-SA"/>
        </w:rPr>
      </w:pPr>
      <w:r>
        <w:rPr>
          <w:rFonts w:ascii="Arial" w:hAnsi="Arial" w:eastAsia="等线" w:cs="Times New Roman"/>
          <w:b/>
          <w:lang w:val="zh-CN" w:eastAsia="en-US" w:bidi="ar-SA"/>
        </w:rPr>
        <w:object>
          <v:shape id="_x0000_i1025" o:spt="75" type="#_x0000_t75" style="height:216pt;width:43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eastAsia="Yu Mincho" w:cs="Times New Roman"/>
          <w:b/>
          <w:lang w:val="zh-CN" w:eastAsia="en-US" w:bidi="ar-SA"/>
        </w:rPr>
        <w:t>.</w:t>
      </w:r>
    </w:p>
    <w:p w14:paraId="4649038B">
      <w:pPr>
        <w:keepNext w:val="0"/>
        <w:keepLines/>
        <w:spacing w:before="0" w:after="240"/>
        <w:jc w:val="center"/>
        <w:rPr>
          <w:rFonts w:ascii="Arial" w:hAnsi="Arial" w:eastAsia="等线" w:cs="Times New Roman"/>
          <w:b/>
          <w:lang w:val="zh-CN" w:eastAsia="en-US" w:bidi="ar-SA"/>
        </w:rPr>
      </w:pPr>
      <w:bookmarkStart w:id="67" w:name="_Toc21127428"/>
      <w:r>
        <w:rPr>
          <w:rFonts w:ascii="Arial" w:hAnsi="Arial" w:eastAsia="等线" w:cs="Times New Roman"/>
          <w:b/>
          <w:lang w:val="zh-CN" w:eastAsia="en-US" w:bidi="ar-SA"/>
        </w:rPr>
        <w:t xml:space="preserve">Figure 5.3.1-1: Definition of channel bandwidth and </w:t>
      </w:r>
      <w:r>
        <w:rPr>
          <w:rFonts w:ascii="Arial" w:hAnsi="Arial" w:eastAsia="等线" w:cs="Times New Roman"/>
          <w:b/>
          <w:i/>
          <w:lang w:val="zh-CN" w:eastAsia="en-US" w:bidi="ar-SA"/>
        </w:rPr>
        <w:t>transmission bandwidth configuration</w:t>
      </w:r>
      <w:r>
        <w:rPr>
          <w:rFonts w:ascii="Arial" w:hAnsi="Arial" w:eastAsia="等线" w:cs="Times New Roman"/>
          <w:b/>
          <w:lang w:val="zh-CN" w:eastAsia="en-US" w:bidi="ar-SA"/>
        </w:rPr>
        <w:t xml:space="preserve"> for one </w:t>
      </w:r>
      <w:r>
        <w:rPr>
          <w:rFonts w:hint="eastAsia" w:ascii="Arial" w:hAnsi="Arial" w:eastAsia="等线" w:cs="Times New Roman"/>
          <w:b/>
          <w:lang w:val="en-US" w:eastAsia="zh-CN" w:bidi="ar-SA"/>
        </w:rPr>
        <w:t>reader</w:t>
      </w:r>
      <w:r>
        <w:rPr>
          <w:rFonts w:ascii="Arial" w:hAnsi="Arial" w:eastAsia="等线" w:cs="Times New Roman"/>
          <w:b/>
          <w:lang w:val="zh-CN" w:eastAsia="en-US" w:bidi="ar-SA"/>
        </w:rPr>
        <w:t xml:space="preserve"> channel</w:t>
      </w:r>
    </w:p>
    <w:bookmarkEnd w:id="67"/>
    <w:p w14:paraId="54F7B769">
      <w:pPr>
        <w:keepNext/>
        <w:keepLines/>
        <w:pBdr>
          <w:top w:val="none" w:color="auto" w:sz="0" w:space="0"/>
        </w:pBdr>
        <w:spacing w:before="120" w:after="180"/>
        <w:ind w:left="1134" w:hanging="1134"/>
        <w:outlineLvl w:val="2"/>
        <w:rPr>
          <w:rFonts w:ascii="Arial" w:hAnsi="Arial" w:eastAsia="Yu Mincho" w:cs="Times New Roman"/>
          <w:sz w:val="28"/>
          <w:lang w:val="sv-SE" w:eastAsia="en-US" w:bidi="ar-SA"/>
        </w:rPr>
      </w:pPr>
      <w:bookmarkStart w:id="68" w:name="_Toc124266411"/>
      <w:bookmarkStart w:id="69" w:name="_Toc67916575"/>
      <w:bookmarkStart w:id="70" w:name="_Toc29811634"/>
      <w:bookmarkStart w:id="71" w:name="_Toc123051861"/>
      <w:bookmarkStart w:id="72" w:name="_Toc131766301"/>
      <w:bookmarkStart w:id="73" w:name="_Toc74663173"/>
      <w:bookmarkStart w:id="74" w:name="_Toc82621713"/>
      <w:bookmarkStart w:id="75" w:name="_Toc37260102"/>
      <w:bookmarkStart w:id="76" w:name="_Toc124157007"/>
      <w:bookmarkStart w:id="77" w:name="_Toc53178583"/>
      <w:bookmarkStart w:id="78" w:name="_Toc114255448"/>
      <w:bookmarkStart w:id="79" w:name="_Toc107311644"/>
      <w:bookmarkStart w:id="80" w:name="_Toc123048942"/>
      <w:bookmarkStart w:id="81" w:name="_Toc123054330"/>
      <w:bookmarkStart w:id="82" w:name="_Toc37267490"/>
      <w:bookmarkStart w:id="83" w:name="_Toc45893405"/>
      <w:bookmarkStart w:id="84" w:name="_Toc138837523"/>
      <w:bookmarkStart w:id="85" w:name="_Toc36817186"/>
      <w:bookmarkStart w:id="86" w:name="_Toc53178132"/>
      <w:bookmarkStart w:id="87" w:name="_Toc131740767"/>
      <w:bookmarkStart w:id="88" w:name="_Toc90422560"/>
      <w:bookmarkStart w:id="89" w:name="_Toc115186128"/>
      <w:bookmarkStart w:id="90" w:name="_Toc107419228"/>
      <w:bookmarkStart w:id="91" w:name="_Toc156567344"/>
      <w:bookmarkStart w:id="92" w:name="_Toc61179279"/>
      <w:bookmarkStart w:id="93" w:name="_Toc107474855"/>
      <w:bookmarkStart w:id="94" w:name="_Toc106782753"/>
      <w:bookmarkStart w:id="95" w:name="_Toc13080138"/>
      <w:bookmarkStart w:id="96" w:name="_Toc131595769"/>
      <w:bookmarkStart w:id="97" w:name="_Toc44712092"/>
      <w:bookmarkStart w:id="98" w:name="_Toc61178809"/>
      <w:bookmarkStart w:id="99" w:name="_Toc123717431"/>
      <w:bookmarkStart w:id="100" w:name="_Toc21127429"/>
      <w:r>
        <w:rPr>
          <w:rFonts w:ascii="Arial" w:hAnsi="Arial" w:eastAsia="Yu Mincho" w:cs="Times New Roman"/>
          <w:sz w:val="28"/>
          <w:lang w:val="sv-SE" w:eastAsia="en-US" w:bidi="ar-SA"/>
        </w:rPr>
        <w:t>5.3.2</w:t>
      </w:r>
      <w:r>
        <w:rPr>
          <w:rFonts w:ascii="Arial" w:hAnsi="Arial" w:eastAsia="Yu Mincho" w:cs="Times New Roman"/>
          <w:sz w:val="28"/>
          <w:lang w:val="sv-SE" w:eastAsia="en-US" w:bidi="ar-SA"/>
        </w:rPr>
        <w:tab/>
      </w:r>
      <w:r>
        <w:rPr>
          <w:rFonts w:ascii="Arial" w:hAnsi="Arial" w:eastAsia="Yu Mincho" w:cs="Times New Roman"/>
          <w:i/>
          <w:sz w:val="28"/>
          <w:lang w:val="sv-SE" w:eastAsia="en-US" w:bidi="ar-SA"/>
        </w:rPr>
        <w:t>Transmission bandwidth configuration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57ED66C">
      <w:pPr>
        <w:widowControl/>
        <w:spacing w:after="180"/>
        <w:jc w:val="left"/>
        <w:rPr>
          <w:rFonts w:ascii="Times New Roman" w:hAnsi="Times New Roman" w:eastAsia="Yu Mincho" w:cs="Times New Roman"/>
          <w:kern w:val="0"/>
          <w:sz w:val="20"/>
          <w:szCs w:val="20"/>
          <w:lang w:val="en-GB" w:eastAsia="en-US"/>
        </w:rPr>
      </w:pPr>
      <w:r>
        <w:rPr>
          <w:rFonts w:ascii="Times New Roman" w:hAnsi="Times New Roman" w:eastAsia="Yu Mincho" w:cs="Times New Roman"/>
          <w:kern w:val="0"/>
          <w:sz w:val="20"/>
          <w:szCs w:val="20"/>
          <w:lang w:val="en-GB" w:eastAsia="en-US"/>
        </w:rPr>
        <w:t xml:space="preserve">The </w:t>
      </w:r>
      <w:r>
        <w:rPr>
          <w:rFonts w:ascii="Times New Roman" w:hAnsi="Times New Roman" w:eastAsia="Yu Mincho" w:cs="Times New Roman"/>
          <w:i/>
          <w:kern w:val="0"/>
          <w:sz w:val="20"/>
          <w:szCs w:val="20"/>
          <w:lang w:val="en-GB" w:eastAsia="en-US"/>
        </w:rPr>
        <w:t>transmission bandwidth configuration</w:t>
      </w:r>
      <w:r>
        <w:rPr>
          <w:rFonts w:ascii="Times New Roman" w:hAnsi="Times New Roman" w:eastAsia="Yu Mincho" w:cs="Times New Roman"/>
          <w:kern w:val="0"/>
          <w:sz w:val="20"/>
          <w:szCs w:val="20"/>
          <w:lang w:val="en-GB" w:eastAsia="en-US"/>
        </w:rPr>
        <w:t xml:space="preserve"> N</w:t>
      </w:r>
      <w:r>
        <w:rPr>
          <w:rFonts w:ascii="Times New Roman" w:hAnsi="Times New Roman" w:eastAsia="Yu Mincho" w:cs="Times New Roman"/>
          <w:kern w:val="0"/>
          <w:sz w:val="20"/>
          <w:szCs w:val="20"/>
          <w:vertAlign w:val="subscript"/>
          <w:lang w:val="en-GB" w:eastAsia="en-US"/>
        </w:rPr>
        <w:t>RB</w:t>
      </w:r>
      <w:r>
        <w:rPr>
          <w:rFonts w:ascii="Times New Roman" w:hAnsi="Times New Roman" w:eastAsia="Yu Mincho" w:cs="Times New Roman"/>
          <w:kern w:val="0"/>
          <w:sz w:val="20"/>
          <w:szCs w:val="20"/>
          <w:lang w:val="en-GB" w:eastAsia="en-US"/>
        </w:rPr>
        <w:t xml:space="preserve"> for each </w:t>
      </w:r>
      <w:r>
        <w:rPr>
          <w:rFonts w:hint="eastAsia" w:ascii="Times New Roman" w:hAnsi="Times New Roman" w:eastAsia="宋体" w:cs="Times New Roman"/>
          <w:i/>
          <w:kern w:val="0"/>
          <w:sz w:val="20"/>
          <w:szCs w:val="20"/>
          <w:lang w:val="en-US" w:eastAsia="zh-CN"/>
        </w:rPr>
        <w:t>reader</w:t>
      </w:r>
      <w:r>
        <w:rPr>
          <w:rFonts w:ascii="Times New Roman" w:hAnsi="Times New Roman" w:eastAsia="Yu Mincho" w:cs="Times New Roman"/>
          <w:i/>
          <w:kern w:val="0"/>
          <w:sz w:val="20"/>
          <w:szCs w:val="20"/>
          <w:lang w:val="en-GB" w:eastAsia="en-US"/>
        </w:rPr>
        <w:t xml:space="preserve"> channel bandwidth</w:t>
      </w:r>
      <w:r>
        <w:rPr>
          <w:rFonts w:ascii="Times New Roman" w:hAnsi="Times New Roman" w:eastAsia="Yu Mincho" w:cs="Times New Roman"/>
          <w:kern w:val="0"/>
          <w:sz w:val="20"/>
          <w:szCs w:val="20"/>
          <w:lang w:val="en-GB" w:eastAsia="en-US"/>
        </w:rPr>
        <w:t xml:space="preserve"> and subcarrier spacing is specified in table 5.3.2.-1 .</w:t>
      </w:r>
    </w:p>
    <w:p w14:paraId="6854BBC2">
      <w:pPr>
        <w:keepNext/>
        <w:keepLines/>
        <w:spacing w:before="60" w:after="180"/>
        <w:jc w:val="center"/>
        <w:rPr>
          <w:rFonts w:ascii="Arial" w:hAnsi="Arial" w:eastAsia="Yu Mincho" w:cs="Times New Roman"/>
          <w:b/>
          <w:lang w:val="zh-CN" w:eastAsia="en-US" w:bidi="ar-SA"/>
        </w:rPr>
      </w:pPr>
      <w:bookmarkStart w:id="101" w:name="_Hlk497144372"/>
      <w:r>
        <w:rPr>
          <w:rFonts w:ascii="Arial" w:hAnsi="Arial" w:eastAsia="Yu Mincho" w:cs="Times New Roman"/>
          <w:b/>
          <w:lang w:val="zh-CN" w:eastAsia="en-US" w:bidi="ar-SA"/>
        </w:rPr>
        <w:t xml:space="preserve">Table 5.3.2-1: </w:t>
      </w:r>
      <w:bookmarkEnd w:id="101"/>
      <w:r>
        <w:rPr>
          <w:rFonts w:ascii="Arial" w:hAnsi="Arial" w:eastAsia="Yu Mincho" w:cs="Times New Roman"/>
          <w:b/>
          <w:i/>
          <w:lang w:val="zh-CN" w:eastAsia="en-US" w:bidi="ar-SA"/>
        </w:rPr>
        <w:t>Transmission bandwidth configuration</w:t>
      </w:r>
      <w:r>
        <w:rPr>
          <w:rFonts w:ascii="Arial" w:hAnsi="Arial" w:eastAsia="Yu Mincho" w:cs="Times New Roman"/>
          <w:b/>
          <w:lang w:val="zh-CN" w:eastAsia="en-US" w:bidi="ar-SA"/>
        </w:rPr>
        <w:t xml:space="preserve"> N</w:t>
      </w:r>
      <w:r>
        <w:rPr>
          <w:rFonts w:ascii="Arial" w:hAnsi="Arial" w:eastAsia="Yu Mincho" w:cs="Times New Roman"/>
          <w:b/>
          <w:vertAlign w:val="subscript"/>
          <w:lang w:val="zh-CN" w:eastAsia="en-US" w:bidi="ar-SA"/>
        </w:rPr>
        <w:t>RB</w:t>
      </w:r>
      <w:r>
        <w:rPr>
          <w:rFonts w:ascii="Arial" w:hAnsi="Arial" w:eastAsia="Yu Mincho" w:cs="Times New Roman"/>
          <w:b/>
          <w:lang w:val="zh-CN" w:eastAsia="en-US" w:bidi="ar-SA"/>
        </w:rPr>
        <w:t xml:space="preserve"> for FR1</w:t>
      </w:r>
    </w:p>
    <w:p w14:paraId="2F976C96">
      <w:pPr>
        <w:widowControl/>
        <w:spacing w:after="180"/>
        <w:jc w:val="left"/>
        <w:rPr>
          <w:rFonts w:ascii="Times New Roman" w:hAnsi="Times New Roman" w:eastAsia="等线" w:cs="Times New Roman"/>
          <w:i/>
          <w:color w:val="0000FF"/>
          <w:kern w:val="0"/>
          <w:sz w:val="20"/>
          <w:szCs w:val="20"/>
          <w:lang w:val="en-GB" w:eastAsia="zh-CN"/>
        </w:rPr>
      </w:pPr>
    </w:p>
    <w:tbl>
      <w:tblPr>
        <w:tblStyle w:val="18"/>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7741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54DA8FA">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ascii="Arial" w:hAnsi="Arial" w:eastAsia="Yu Mincho" w:cs="Times New Roman"/>
                <w:b/>
                <w:kern w:val="0"/>
                <w:sz w:val="18"/>
                <w:szCs w:val="20"/>
                <w:lang w:val="en-GB" w:eastAsia="en-US"/>
              </w:rPr>
              <w:t>SCS (kHz)</w:t>
            </w:r>
          </w:p>
        </w:tc>
        <w:tc>
          <w:tcPr>
            <w:tcW w:w="687" w:type="dxa"/>
          </w:tcPr>
          <w:p w14:paraId="145A1CF2">
            <w:pPr>
              <w:keepNext/>
              <w:keepLines/>
              <w:widowControl/>
              <w:spacing w:before="120" w:after="0" w:line="280" w:lineRule="atLeast"/>
              <w:jc w:val="center"/>
              <w:rPr>
                <w:rFonts w:hint="default"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200</w:t>
            </w:r>
          </w:p>
          <w:p w14:paraId="7726DF7D">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42A95082">
            <w:pPr>
              <w:keepNext/>
              <w:keepLines/>
              <w:widowControl/>
              <w:spacing w:before="120" w:after="0" w:line="280" w:lineRule="atLeast"/>
              <w:jc w:val="center"/>
              <w:rPr>
                <w:rFonts w:hint="eastAsia"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400</w:t>
            </w:r>
          </w:p>
          <w:p w14:paraId="476740CD">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6A406A3A">
            <w:pPr>
              <w:keepNext/>
              <w:keepLines/>
              <w:widowControl/>
              <w:spacing w:before="120" w:after="0" w:line="280" w:lineRule="atLeast"/>
              <w:jc w:val="center"/>
              <w:rPr>
                <w:rFonts w:hint="eastAsia"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600</w:t>
            </w:r>
          </w:p>
          <w:p w14:paraId="5F18DA68">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565A67EB">
            <w:pPr>
              <w:keepNext/>
              <w:keepLines/>
              <w:widowControl/>
              <w:spacing w:before="120" w:after="0" w:line="280" w:lineRule="atLeast"/>
              <w:jc w:val="center"/>
              <w:rPr>
                <w:rFonts w:hint="default"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800</w:t>
            </w:r>
          </w:p>
          <w:p w14:paraId="57091122">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r>
      <w:tr w14:paraId="318D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2C69E5CF">
            <w:pPr>
              <w:keepNext/>
              <w:keepLines/>
              <w:widowControl/>
              <w:spacing w:before="120" w:after="0" w:line="280" w:lineRule="atLeast"/>
              <w:jc w:val="center"/>
              <w:rPr>
                <w:rFonts w:ascii="Arial" w:hAnsi="Arial" w:eastAsia="Yu Mincho" w:cs="Times New Roman"/>
                <w:kern w:val="0"/>
                <w:sz w:val="18"/>
                <w:szCs w:val="20"/>
                <w:lang w:val="en-GB" w:eastAsia="en-US"/>
              </w:rPr>
            </w:pPr>
          </w:p>
        </w:tc>
        <w:tc>
          <w:tcPr>
            <w:tcW w:w="687" w:type="dxa"/>
          </w:tcPr>
          <w:p w14:paraId="587A6E8B">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N</w:t>
            </w:r>
            <w:r>
              <w:rPr>
                <w:rFonts w:ascii="Arial" w:hAnsi="Arial" w:eastAsia="Yu Mincho" w:cs="Times New Roman"/>
                <w:kern w:val="0"/>
                <w:sz w:val="18"/>
                <w:szCs w:val="20"/>
                <w:vertAlign w:val="subscript"/>
                <w:lang w:val="en-GB" w:eastAsia="en-US"/>
              </w:rPr>
              <w:t>RB</w:t>
            </w:r>
          </w:p>
        </w:tc>
        <w:tc>
          <w:tcPr>
            <w:tcW w:w="687" w:type="dxa"/>
          </w:tcPr>
          <w:p w14:paraId="4BD4DC07">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N</w:t>
            </w:r>
            <w:r>
              <w:rPr>
                <w:rFonts w:ascii="Arial" w:hAnsi="Arial" w:eastAsia="Yu Mincho" w:cs="Times New Roman"/>
                <w:kern w:val="0"/>
                <w:sz w:val="18"/>
                <w:szCs w:val="20"/>
                <w:vertAlign w:val="subscript"/>
                <w:lang w:val="en-GB" w:eastAsia="en-US"/>
              </w:rPr>
              <w:t>RB</w:t>
            </w:r>
          </w:p>
        </w:tc>
        <w:tc>
          <w:tcPr>
            <w:tcW w:w="687" w:type="dxa"/>
          </w:tcPr>
          <w:p w14:paraId="7981A1A1">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N</w:t>
            </w:r>
            <w:r>
              <w:rPr>
                <w:rFonts w:ascii="Arial" w:hAnsi="Arial" w:eastAsia="Yu Mincho" w:cs="Times New Roman"/>
                <w:kern w:val="0"/>
                <w:sz w:val="18"/>
                <w:szCs w:val="20"/>
                <w:vertAlign w:val="subscript"/>
                <w:lang w:val="en-GB" w:eastAsia="en-US"/>
              </w:rPr>
              <w:t>RB</w:t>
            </w:r>
          </w:p>
        </w:tc>
        <w:tc>
          <w:tcPr>
            <w:tcW w:w="687" w:type="dxa"/>
          </w:tcPr>
          <w:p w14:paraId="75A254D5">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N</w:t>
            </w:r>
            <w:r>
              <w:rPr>
                <w:rFonts w:ascii="Arial" w:hAnsi="Arial" w:eastAsia="Yu Mincho" w:cs="Times New Roman"/>
                <w:kern w:val="0"/>
                <w:sz w:val="18"/>
                <w:szCs w:val="20"/>
                <w:vertAlign w:val="subscript"/>
                <w:lang w:val="en-GB" w:eastAsia="en-US"/>
              </w:rPr>
              <w:t>RB</w:t>
            </w:r>
          </w:p>
        </w:tc>
      </w:tr>
      <w:tr w14:paraId="0F78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11DEA1D">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15</w:t>
            </w:r>
          </w:p>
        </w:tc>
        <w:tc>
          <w:tcPr>
            <w:tcW w:w="687" w:type="dxa"/>
          </w:tcPr>
          <w:p w14:paraId="684F509F">
            <w:pPr>
              <w:keepNext/>
              <w:keepLines/>
              <w:widowControl/>
              <w:spacing w:before="120" w:after="0" w:line="280" w:lineRule="atLeast"/>
              <w:jc w:val="center"/>
              <w:rPr>
                <w:rFonts w:hint="eastAsia" w:ascii="Arial" w:hAnsi="Arial" w:eastAsia="宋体" w:cs="Times New Roman"/>
                <w:kern w:val="0"/>
                <w:sz w:val="18"/>
                <w:szCs w:val="20"/>
                <w:lang w:val="en-GB" w:eastAsia="zh-CN"/>
              </w:rPr>
            </w:pPr>
            <w:r>
              <w:rPr>
                <w:rFonts w:hint="eastAsia" w:ascii="Arial" w:hAnsi="Arial" w:eastAsia="宋体" w:cs="Times New Roman"/>
                <w:kern w:val="0"/>
                <w:sz w:val="18"/>
                <w:szCs w:val="20"/>
                <w:lang w:val="en-US" w:eastAsia="zh-CN"/>
              </w:rPr>
              <w:t>1</w:t>
            </w:r>
          </w:p>
        </w:tc>
        <w:tc>
          <w:tcPr>
            <w:tcW w:w="687" w:type="dxa"/>
          </w:tcPr>
          <w:p w14:paraId="5778D105">
            <w:pPr>
              <w:keepNext/>
              <w:keepLines/>
              <w:widowControl/>
              <w:spacing w:before="120" w:after="0" w:line="280" w:lineRule="atLeast"/>
              <w:jc w:val="center"/>
              <w:rPr>
                <w:rFonts w:hint="eastAsia" w:ascii="Arial" w:hAnsi="Arial" w:eastAsia="宋体" w:cs="Times New Roman"/>
                <w:kern w:val="0"/>
                <w:sz w:val="18"/>
                <w:szCs w:val="20"/>
                <w:lang w:val="en-GB" w:eastAsia="zh-CN"/>
              </w:rPr>
            </w:pPr>
            <w:r>
              <w:rPr>
                <w:rFonts w:hint="eastAsia" w:ascii="Arial" w:hAnsi="Arial" w:eastAsia="宋体" w:cs="Times New Roman"/>
                <w:kern w:val="0"/>
                <w:sz w:val="18"/>
                <w:szCs w:val="20"/>
                <w:highlight w:val="none"/>
                <w:lang w:val="en-US" w:eastAsia="zh-CN"/>
              </w:rPr>
              <w:t>2</w:t>
            </w:r>
          </w:p>
        </w:tc>
        <w:tc>
          <w:tcPr>
            <w:tcW w:w="687" w:type="dxa"/>
          </w:tcPr>
          <w:p w14:paraId="7FF0284F">
            <w:pPr>
              <w:keepNext/>
              <w:keepLines/>
              <w:widowControl/>
              <w:spacing w:before="120" w:after="0" w:line="280" w:lineRule="atLeast"/>
              <w:jc w:val="center"/>
              <w:rPr>
                <w:rFonts w:hint="eastAsia" w:ascii="Arial" w:hAnsi="Arial" w:eastAsia="宋体" w:cs="Times New Roman"/>
                <w:kern w:val="0"/>
                <w:sz w:val="18"/>
                <w:szCs w:val="20"/>
                <w:lang w:val="en-GB" w:eastAsia="zh-CN"/>
              </w:rPr>
            </w:pPr>
            <w:r>
              <w:rPr>
                <w:rFonts w:hint="eastAsia" w:ascii="Arial" w:hAnsi="Arial" w:eastAsia="宋体" w:cs="Times New Roman"/>
                <w:kern w:val="0"/>
                <w:sz w:val="18"/>
                <w:szCs w:val="20"/>
                <w:lang w:val="en-US" w:eastAsia="zh-CN"/>
              </w:rPr>
              <w:t>3</w:t>
            </w:r>
          </w:p>
        </w:tc>
        <w:tc>
          <w:tcPr>
            <w:tcW w:w="687" w:type="dxa"/>
          </w:tcPr>
          <w:p w14:paraId="73C664BB">
            <w:pPr>
              <w:keepNext/>
              <w:keepLines/>
              <w:widowControl/>
              <w:spacing w:before="120" w:after="0" w:line="280" w:lineRule="atLeast"/>
              <w:jc w:val="center"/>
              <w:rPr>
                <w:rFonts w:hint="eastAsia" w:ascii="Arial" w:hAnsi="Arial" w:eastAsia="宋体" w:cs="Times New Roman"/>
                <w:kern w:val="0"/>
                <w:sz w:val="18"/>
                <w:szCs w:val="20"/>
                <w:lang w:val="en-GB" w:eastAsia="zh-CN"/>
              </w:rPr>
            </w:pPr>
            <w:r>
              <w:rPr>
                <w:rFonts w:hint="eastAsia" w:ascii="Arial" w:hAnsi="Arial" w:eastAsia="宋体" w:cs="Times New Roman"/>
                <w:kern w:val="0"/>
                <w:sz w:val="18"/>
                <w:szCs w:val="20"/>
                <w:lang w:val="en-US" w:eastAsia="zh-CN"/>
              </w:rPr>
              <w:t>4</w:t>
            </w:r>
          </w:p>
        </w:tc>
      </w:tr>
    </w:tbl>
    <w:p w14:paraId="4D586B92">
      <w:pPr>
        <w:widowControl/>
        <w:spacing w:after="180"/>
        <w:jc w:val="left"/>
        <w:rPr>
          <w:rFonts w:ascii="Times New Roman" w:hAnsi="Times New Roman" w:eastAsia="Yu Mincho" w:cs="Times New Roman"/>
          <w:kern w:val="0"/>
          <w:sz w:val="20"/>
          <w:szCs w:val="20"/>
          <w:lang w:val="en-GB" w:eastAsia="en-US"/>
        </w:rPr>
      </w:pPr>
    </w:p>
    <w:p w14:paraId="0435D650">
      <w:pPr>
        <w:widowControl/>
        <w:spacing w:after="180"/>
        <w:jc w:val="left"/>
        <w:rPr>
          <w:rFonts w:ascii="Times New Roman" w:hAnsi="Times New Roman" w:eastAsia="Yu Mincho" w:cs="Times New Roman"/>
          <w:kern w:val="0"/>
          <w:sz w:val="20"/>
          <w:szCs w:val="20"/>
          <w:lang w:val="en-GB" w:eastAsia="en-US"/>
        </w:rPr>
      </w:pPr>
    </w:p>
    <w:p w14:paraId="1403D456">
      <w:pPr>
        <w:keepLines/>
        <w:spacing w:after="180"/>
        <w:ind w:left="1135" w:hanging="851"/>
        <w:rPr>
          <w:rFonts w:ascii="Times New Roman" w:hAnsi="Times New Roman" w:eastAsia="Yu Mincho" w:cs="Times New Roman"/>
          <w:lang w:val="zh-CN" w:eastAsia="en-US" w:bidi="ar-SA"/>
        </w:rPr>
      </w:pPr>
      <w:r>
        <w:rPr>
          <w:rFonts w:ascii="Times New Roman" w:hAnsi="Times New Roman" w:eastAsia="Yu Mincho" w:cs="Times New Roman"/>
          <w:lang w:val="zh-CN" w:eastAsia="en-US" w:bidi="ar-SA"/>
        </w:rPr>
        <w:t>NOTE:</w:t>
      </w:r>
      <w:r>
        <w:rPr>
          <w:rFonts w:ascii="Times New Roman" w:hAnsi="Times New Roman" w:eastAsia="Yu Mincho" w:cs="Times New Roman"/>
          <w:lang w:val="zh-CN" w:eastAsia="en-US" w:bidi="ar-SA"/>
        </w:rPr>
        <w:tab/>
      </w:r>
      <w:r>
        <w:rPr>
          <w:rFonts w:ascii="Times New Roman" w:hAnsi="Times New Roman" w:eastAsia="等线" w:cs="Times New Roman"/>
          <w:lang w:val="zh-CN" w:eastAsia="zh-CN" w:bidi="ar-SA"/>
        </w:rPr>
        <w:t xml:space="preserve">All </w:t>
      </w:r>
      <w:r>
        <w:rPr>
          <w:rFonts w:hint="eastAsia" w:ascii="Times New Roman" w:hAnsi="Times New Roman" w:eastAsia="等线" w:cs="Times New Roman"/>
          <w:lang w:val="en-US" w:eastAsia="zh-CN" w:bidi="ar-SA"/>
        </w:rPr>
        <w:t xml:space="preserve">reader </w:t>
      </w:r>
      <w:r>
        <w:rPr>
          <w:rFonts w:ascii="Times New Roman" w:hAnsi="Times New Roman" w:eastAsia="等线" w:cs="Times New Roman"/>
          <w:lang w:val="zh-CN" w:eastAsia="zh-CN" w:bidi="ar-SA"/>
        </w:rPr>
        <w:t xml:space="preserve">Tx and </w:t>
      </w:r>
      <w:r>
        <w:rPr>
          <w:rFonts w:hint="eastAsia" w:ascii="Times New Roman" w:hAnsi="Times New Roman" w:eastAsia="等线" w:cs="Times New Roman"/>
          <w:lang w:val="en-US" w:eastAsia="zh-CN" w:bidi="ar-SA"/>
        </w:rPr>
        <w:t xml:space="preserve">device </w:t>
      </w:r>
      <w:r>
        <w:rPr>
          <w:rFonts w:ascii="Times New Roman" w:hAnsi="Times New Roman" w:eastAsia="等线" w:cs="Times New Roman"/>
          <w:lang w:val="zh-CN" w:eastAsia="zh-CN" w:bidi="ar-SA"/>
        </w:rPr>
        <w:t xml:space="preserve">Rx requirements are defined based on </w:t>
      </w:r>
      <w:r>
        <w:rPr>
          <w:rFonts w:ascii="Times New Roman" w:hAnsi="Times New Roman" w:eastAsia="等线" w:cs="Times New Roman"/>
          <w:i/>
          <w:lang w:val="zh-CN" w:eastAsia="zh-CN" w:bidi="ar-SA"/>
        </w:rPr>
        <w:t>transmission bandwidth configuration</w:t>
      </w:r>
      <w:r>
        <w:rPr>
          <w:rFonts w:ascii="Times New Roman" w:hAnsi="Times New Roman" w:eastAsia="等线" w:cs="Times New Roman"/>
          <w:lang w:val="zh-CN" w:eastAsia="zh-CN" w:bidi="ar-SA"/>
        </w:rPr>
        <w:t xml:space="preserve"> specified in </w:t>
      </w:r>
      <w:r>
        <w:rPr>
          <w:rFonts w:ascii="Times New Roman" w:hAnsi="Times New Roman" w:eastAsia="Yu Mincho" w:cs="Times New Roman"/>
          <w:lang w:val="zh-CN" w:eastAsia="en-US" w:bidi="ar-SA"/>
        </w:rPr>
        <w:t>table 5.3.2-1.</w:t>
      </w:r>
    </w:p>
    <w:bookmarkEnd w:id="100"/>
    <w:p w14:paraId="425FC39E">
      <w:pPr>
        <w:keepNext/>
        <w:keepLines/>
        <w:pBdr>
          <w:top w:val="none" w:color="auto" w:sz="0" w:space="0"/>
        </w:pBdr>
        <w:spacing w:before="120" w:after="180"/>
        <w:ind w:left="1134" w:hanging="1134"/>
        <w:outlineLvl w:val="2"/>
        <w:rPr>
          <w:rFonts w:ascii="Arial" w:hAnsi="Arial" w:eastAsia="Yu Mincho" w:cs="Times New Roman"/>
          <w:sz w:val="28"/>
          <w:lang w:val="sv-SE" w:eastAsia="en-US" w:bidi="ar-SA"/>
        </w:rPr>
      </w:pPr>
      <w:bookmarkStart w:id="102" w:name="_Toc124266412"/>
      <w:bookmarkStart w:id="103" w:name="_Toc44712093"/>
      <w:bookmarkStart w:id="104" w:name="_Toc107419229"/>
      <w:bookmarkStart w:id="105" w:name="_Toc123054331"/>
      <w:bookmarkStart w:id="106" w:name="_Toc74663174"/>
      <w:bookmarkStart w:id="107" w:name="_Toc123048943"/>
      <w:bookmarkStart w:id="108" w:name="_Toc123717432"/>
      <w:bookmarkStart w:id="109" w:name="_Toc37260103"/>
      <w:bookmarkStart w:id="110" w:name="_Toc90422561"/>
      <w:bookmarkStart w:id="111" w:name="_Toc29811635"/>
      <w:bookmarkStart w:id="112" w:name="_Toc131766302"/>
      <w:bookmarkStart w:id="113" w:name="_Toc36817187"/>
      <w:bookmarkStart w:id="114" w:name="_Toc82621714"/>
      <w:bookmarkStart w:id="115" w:name="_Toc61178810"/>
      <w:bookmarkStart w:id="116" w:name="_Toc45893406"/>
      <w:bookmarkStart w:id="117" w:name="_Toc61179280"/>
      <w:bookmarkStart w:id="118" w:name="_Toc131740768"/>
      <w:bookmarkStart w:id="119" w:name="_Toc53178584"/>
      <w:bookmarkStart w:id="120" w:name="_Toc37267491"/>
      <w:bookmarkStart w:id="121" w:name="_Toc107311645"/>
      <w:bookmarkStart w:id="122" w:name="_Toc131595770"/>
      <w:bookmarkStart w:id="123" w:name="_Toc115186129"/>
      <w:bookmarkStart w:id="124" w:name="_Toc106782754"/>
      <w:bookmarkStart w:id="125" w:name="_Toc67916576"/>
      <w:bookmarkStart w:id="126" w:name="_Toc107474856"/>
      <w:bookmarkStart w:id="127" w:name="_Toc124157008"/>
      <w:bookmarkStart w:id="128" w:name="_Toc13080139"/>
      <w:bookmarkStart w:id="129" w:name="_Toc123051862"/>
      <w:bookmarkStart w:id="130" w:name="_Toc138837524"/>
      <w:bookmarkStart w:id="131" w:name="_Toc114255449"/>
      <w:bookmarkStart w:id="132" w:name="_Toc156567345"/>
      <w:bookmarkStart w:id="133" w:name="_Toc53178133"/>
      <w:r>
        <w:rPr>
          <w:rFonts w:ascii="Arial" w:hAnsi="Arial" w:eastAsia="Yu Mincho" w:cs="Times New Roman"/>
          <w:sz w:val="28"/>
          <w:lang w:val="sv-SE" w:eastAsia="en-US" w:bidi="ar-SA"/>
        </w:rPr>
        <w:t>5.3.3</w:t>
      </w:r>
      <w:r>
        <w:rPr>
          <w:rFonts w:ascii="Arial" w:hAnsi="Arial" w:eastAsia="Yu Mincho" w:cs="Times New Roman"/>
          <w:sz w:val="28"/>
          <w:lang w:val="sv-SE" w:eastAsia="en-US" w:bidi="ar-SA"/>
        </w:rPr>
        <w:tab/>
      </w:r>
      <w:r>
        <w:rPr>
          <w:rFonts w:ascii="Arial" w:hAnsi="Arial" w:eastAsia="Yu Mincho" w:cs="Times New Roman"/>
          <w:sz w:val="28"/>
          <w:lang w:val="sv-SE" w:eastAsia="en-US" w:bidi="ar-SA"/>
        </w:rPr>
        <w:t xml:space="preserve">Minimum guardband and </w:t>
      </w:r>
      <w:r>
        <w:rPr>
          <w:rFonts w:ascii="Arial" w:hAnsi="Arial" w:eastAsia="Yu Mincho" w:cs="Times New Roman"/>
          <w:i/>
          <w:sz w:val="28"/>
          <w:lang w:val="sv-SE" w:eastAsia="en-US" w:bidi="ar-SA"/>
        </w:rPr>
        <w:t>transmission bandwidth configuration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DA61188">
      <w:pPr>
        <w:widowControl/>
        <w:spacing w:after="180"/>
        <w:jc w:val="left"/>
        <w:rPr>
          <w:rFonts w:ascii="Times New Roman" w:hAnsi="Times New Roman" w:eastAsia="Yu Mincho" w:cs="Times New Roman"/>
          <w:kern w:val="0"/>
          <w:sz w:val="20"/>
          <w:szCs w:val="20"/>
          <w:lang w:val="en-GB" w:eastAsia="en-US"/>
        </w:rPr>
      </w:pPr>
      <w:r>
        <w:rPr>
          <w:rFonts w:ascii="Times New Roman" w:hAnsi="Times New Roman" w:eastAsia="Yu Mincho" w:cs="Times New Roman"/>
          <w:kern w:val="0"/>
          <w:sz w:val="20"/>
          <w:szCs w:val="20"/>
          <w:lang w:val="en-GB" w:eastAsia="en-US"/>
        </w:rPr>
        <w:t xml:space="preserve">The minimum guardband for each </w:t>
      </w:r>
      <w:r>
        <w:rPr>
          <w:rFonts w:hint="eastAsia" w:ascii="Times New Roman" w:hAnsi="Times New Roman" w:eastAsia="宋体" w:cs="Times New Roman"/>
          <w:i/>
          <w:kern w:val="0"/>
          <w:sz w:val="20"/>
          <w:szCs w:val="20"/>
          <w:lang w:val="en-US" w:eastAsia="zh-CN"/>
        </w:rPr>
        <w:t>reader</w:t>
      </w:r>
      <w:r>
        <w:rPr>
          <w:rFonts w:ascii="Times New Roman" w:hAnsi="Times New Roman" w:eastAsia="Yu Mincho" w:cs="Times New Roman"/>
          <w:i/>
          <w:kern w:val="0"/>
          <w:sz w:val="20"/>
          <w:szCs w:val="20"/>
          <w:lang w:val="en-GB" w:eastAsia="en-US"/>
        </w:rPr>
        <w:t xml:space="preserve"> channel bandwidth</w:t>
      </w:r>
      <w:r>
        <w:rPr>
          <w:rFonts w:ascii="Times New Roman" w:hAnsi="Times New Roman" w:eastAsia="Yu Mincho" w:cs="Times New Roman"/>
          <w:kern w:val="0"/>
          <w:sz w:val="20"/>
          <w:szCs w:val="20"/>
          <w:lang w:val="en-GB" w:eastAsia="en-US"/>
        </w:rPr>
        <w:t xml:space="preserve"> and SCS is specified in table 5.3.3-1.</w:t>
      </w:r>
    </w:p>
    <w:p w14:paraId="0D29D9C4">
      <w:pPr>
        <w:keepNext/>
        <w:keepLines/>
        <w:spacing w:before="60" w:after="180"/>
        <w:jc w:val="center"/>
        <w:rPr>
          <w:rFonts w:ascii="Arial" w:hAnsi="Arial" w:eastAsia="Yu Mincho" w:cs="Times New Roman"/>
          <w:b/>
          <w:lang w:val="zh-CN" w:eastAsia="en-US" w:bidi="ar-SA"/>
        </w:rPr>
      </w:pPr>
      <w:r>
        <w:rPr>
          <w:rFonts w:ascii="Arial" w:hAnsi="Arial" w:eastAsia="Yu Mincho" w:cs="Times New Roman"/>
          <w:b/>
          <w:lang w:val="zh-CN" w:eastAsia="en-US" w:bidi="ar-SA"/>
        </w:rPr>
        <w:t>Table 5.3.3-1: Minimum guardband (kHz) (FR1)</w:t>
      </w:r>
    </w:p>
    <w:tbl>
      <w:tblPr>
        <w:tblStyle w:val="18"/>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886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61C0C3B4">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ascii="Arial" w:hAnsi="Arial" w:eastAsia="Yu Mincho" w:cs="Times New Roman"/>
                <w:b/>
                <w:kern w:val="0"/>
                <w:sz w:val="18"/>
                <w:szCs w:val="20"/>
                <w:lang w:val="en-GB" w:eastAsia="en-US"/>
              </w:rPr>
              <w:t>SCS (kHz)</w:t>
            </w:r>
          </w:p>
        </w:tc>
        <w:tc>
          <w:tcPr>
            <w:tcW w:w="687" w:type="dxa"/>
          </w:tcPr>
          <w:p w14:paraId="5E388628">
            <w:pPr>
              <w:keepNext/>
              <w:keepLines/>
              <w:widowControl/>
              <w:spacing w:before="120" w:after="0" w:line="280" w:lineRule="atLeast"/>
              <w:jc w:val="center"/>
              <w:rPr>
                <w:rFonts w:hint="default"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200</w:t>
            </w:r>
          </w:p>
          <w:p w14:paraId="271B577C">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6AE052D9">
            <w:pPr>
              <w:keepNext/>
              <w:keepLines/>
              <w:widowControl/>
              <w:spacing w:before="120" w:after="0" w:line="280" w:lineRule="atLeast"/>
              <w:jc w:val="center"/>
              <w:rPr>
                <w:rFonts w:hint="eastAsia"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400</w:t>
            </w:r>
          </w:p>
          <w:p w14:paraId="1AF968A2">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4F4898C7">
            <w:pPr>
              <w:keepNext/>
              <w:keepLines/>
              <w:widowControl/>
              <w:spacing w:before="120" w:after="0" w:line="280" w:lineRule="atLeast"/>
              <w:jc w:val="center"/>
              <w:rPr>
                <w:rFonts w:hint="eastAsia"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600</w:t>
            </w:r>
          </w:p>
          <w:p w14:paraId="16E3EC3F">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c>
          <w:tcPr>
            <w:tcW w:w="687" w:type="dxa"/>
          </w:tcPr>
          <w:p w14:paraId="13872BCD">
            <w:pPr>
              <w:keepNext/>
              <w:keepLines/>
              <w:widowControl/>
              <w:spacing w:before="120" w:after="0" w:line="280" w:lineRule="atLeast"/>
              <w:jc w:val="center"/>
              <w:rPr>
                <w:rFonts w:hint="default" w:ascii="Arial" w:hAnsi="Arial" w:eastAsia="宋体" w:cs="Times New Roman"/>
                <w:b/>
                <w:kern w:val="0"/>
                <w:sz w:val="18"/>
                <w:szCs w:val="20"/>
                <w:lang w:val="en-US" w:eastAsia="zh-CN"/>
              </w:rPr>
            </w:pPr>
            <w:r>
              <w:rPr>
                <w:rFonts w:hint="eastAsia" w:ascii="Arial" w:hAnsi="Arial" w:eastAsia="宋体" w:cs="Times New Roman"/>
                <w:b/>
                <w:kern w:val="0"/>
                <w:sz w:val="18"/>
                <w:szCs w:val="20"/>
                <w:lang w:val="en-US" w:eastAsia="zh-CN"/>
              </w:rPr>
              <w:t>800</w:t>
            </w:r>
          </w:p>
          <w:p w14:paraId="14F6CDE3">
            <w:pPr>
              <w:keepNext/>
              <w:keepLines/>
              <w:widowControl/>
              <w:spacing w:before="120" w:after="0" w:line="280" w:lineRule="atLeast"/>
              <w:jc w:val="center"/>
              <w:rPr>
                <w:rFonts w:ascii="Arial" w:hAnsi="Arial" w:eastAsia="Yu Mincho" w:cs="Times New Roman"/>
                <w:b/>
                <w:kern w:val="0"/>
                <w:sz w:val="18"/>
                <w:szCs w:val="20"/>
                <w:lang w:val="en-GB" w:eastAsia="en-US"/>
              </w:rPr>
            </w:pPr>
            <w:r>
              <w:rPr>
                <w:rFonts w:hint="eastAsia" w:ascii="Arial" w:hAnsi="Arial" w:eastAsia="宋体" w:cs="Times New Roman"/>
                <w:b/>
                <w:kern w:val="0"/>
                <w:sz w:val="18"/>
                <w:szCs w:val="20"/>
                <w:lang w:val="en-US" w:eastAsia="zh-CN"/>
              </w:rPr>
              <w:t>k</w:t>
            </w:r>
            <w:r>
              <w:rPr>
                <w:rFonts w:ascii="Arial" w:hAnsi="Arial" w:eastAsia="Yu Mincho" w:cs="Times New Roman"/>
                <w:b/>
                <w:kern w:val="0"/>
                <w:sz w:val="18"/>
                <w:szCs w:val="20"/>
                <w:lang w:val="en-GB" w:eastAsia="en-US"/>
              </w:rPr>
              <w:t>Hz</w:t>
            </w:r>
          </w:p>
        </w:tc>
      </w:tr>
      <w:tr w14:paraId="6224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1025F6A4">
            <w:pPr>
              <w:keepNext/>
              <w:keepLines/>
              <w:widowControl/>
              <w:spacing w:before="120" w:after="0" w:line="280" w:lineRule="atLeast"/>
              <w:jc w:val="center"/>
              <w:rPr>
                <w:rFonts w:ascii="Arial" w:hAnsi="Arial" w:eastAsia="Yu Mincho" w:cs="Times New Roman"/>
                <w:kern w:val="0"/>
                <w:sz w:val="18"/>
                <w:szCs w:val="20"/>
                <w:lang w:val="en-GB" w:eastAsia="en-US"/>
              </w:rPr>
            </w:pPr>
            <w:r>
              <w:rPr>
                <w:rFonts w:ascii="Arial" w:hAnsi="Arial" w:eastAsia="Yu Mincho" w:cs="Times New Roman"/>
                <w:kern w:val="0"/>
                <w:sz w:val="18"/>
                <w:szCs w:val="20"/>
                <w:lang w:val="en-GB" w:eastAsia="en-US"/>
              </w:rPr>
              <w:t>15</w:t>
            </w:r>
          </w:p>
        </w:tc>
        <w:tc>
          <w:tcPr>
            <w:tcW w:w="687" w:type="dxa"/>
          </w:tcPr>
          <w:p w14:paraId="7157801B">
            <w:pPr>
              <w:keepNext/>
              <w:keepLines/>
              <w:widowControl/>
              <w:spacing w:before="120" w:after="0" w:line="280" w:lineRule="atLeast"/>
              <w:jc w:val="center"/>
              <w:rPr>
                <w:rFonts w:hint="default" w:ascii="Arial" w:hAnsi="Arial" w:eastAsia="宋体" w:cs="Times New Roman"/>
                <w:kern w:val="0"/>
                <w:sz w:val="18"/>
                <w:szCs w:val="20"/>
                <w:lang w:val="en-US" w:eastAsia="zh-CN"/>
              </w:rPr>
            </w:pPr>
            <w:r>
              <w:rPr>
                <w:rFonts w:hint="eastAsia" w:ascii="Arial" w:hAnsi="Arial" w:eastAsia="宋体" w:cs="Times New Roman"/>
                <w:kern w:val="0"/>
                <w:sz w:val="18"/>
                <w:szCs w:val="20"/>
                <w:lang w:val="en-US" w:eastAsia="zh-CN"/>
              </w:rPr>
              <w:t>10</w:t>
            </w:r>
          </w:p>
        </w:tc>
        <w:tc>
          <w:tcPr>
            <w:tcW w:w="687" w:type="dxa"/>
          </w:tcPr>
          <w:p w14:paraId="0480FE6D">
            <w:pPr>
              <w:keepNext/>
              <w:keepLines/>
              <w:widowControl/>
              <w:spacing w:before="120" w:after="0" w:line="280" w:lineRule="atLeast"/>
              <w:jc w:val="center"/>
              <w:rPr>
                <w:rFonts w:hint="default" w:ascii="Arial" w:hAnsi="Arial" w:eastAsia="宋体" w:cs="Times New Roman"/>
                <w:kern w:val="0"/>
                <w:sz w:val="18"/>
                <w:szCs w:val="20"/>
                <w:lang w:val="en-US" w:eastAsia="zh-CN"/>
              </w:rPr>
            </w:pPr>
            <w:r>
              <w:rPr>
                <w:rFonts w:hint="eastAsia" w:ascii="Arial" w:hAnsi="Arial" w:eastAsia="宋体" w:cs="Times New Roman"/>
                <w:kern w:val="0"/>
                <w:sz w:val="18"/>
                <w:szCs w:val="20"/>
                <w:highlight w:val="none"/>
                <w:lang w:val="en-US" w:eastAsia="zh-CN"/>
              </w:rPr>
              <w:t>20</w:t>
            </w:r>
          </w:p>
        </w:tc>
        <w:tc>
          <w:tcPr>
            <w:tcW w:w="687" w:type="dxa"/>
          </w:tcPr>
          <w:p w14:paraId="0E40EAD1">
            <w:pPr>
              <w:keepNext/>
              <w:keepLines/>
              <w:widowControl/>
              <w:spacing w:before="120" w:after="0" w:line="280" w:lineRule="atLeast"/>
              <w:jc w:val="center"/>
              <w:rPr>
                <w:rFonts w:hint="default" w:ascii="Arial" w:hAnsi="Arial" w:eastAsia="宋体" w:cs="Times New Roman"/>
                <w:kern w:val="0"/>
                <w:sz w:val="18"/>
                <w:szCs w:val="20"/>
                <w:lang w:val="en-US" w:eastAsia="zh-CN"/>
              </w:rPr>
            </w:pPr>
            <w:r>
              <w:rPr>
                <w:rFonts w:hint="eastAsia" w:ascii="Arial" w:hAnsi="Arial" w:eastAsia="宋体" w:cs="Times New Roman"/>
                <w:kern w:val="0"/>
                <w:sz w:val="18"/>
                <w:szCs w:val="20"/>
                <w:lang w:val="en-US" w:eastAsia="zh-CN"/>
              </w:rPr>
              <w:t>30</w:t>
            </w:r>
          </w:p>
        </w:tc>
        <w:tc>
          <w:tcPr>
            <w:tcW w:w="687" w:type="dxa"/>
          </w:tcPr>
          <w:p w14:paraId="5E92D51E">
            <w:pPr>
              <w:keepNext/>
              <w:keepLines/>
              <w:widowControl/>
              <w:spacing w:before="120" w:after="0" w:line="280" w:lineRule="atLeast"/>
              <w:jc w:val="center"/>
              <w:rPr>
                <w:rFonts w:hint="default" w:ascii="Arial" w:hAnsi="Arial" w:eastAsia="宋体" w:cs="Times New Roman"/>
                <w:kern w:val="0"/>
                <w:sz w:val="18"/>
                <w:szCs w:val="20"/>
                <w:lang w:val="en-US" w:eastAsia="zh-CN"/>
              </w:rPr>
            </w:pPr>
            <w:r>
              <w:rPr>
                <w:rFonts w:hint="eastAsia" w:ascii="Arial" w:hAnsi="Arial" w:eastAsia="宋体" w:cs="Times New Roman"/>
                <w:kern w:val="0"/>
                <w:sz w:val="18"/>
                <w:szCs w:val="20"/>
                <w:lang w:val="en-US" w:eastAsia="zh-CN"/>
              </w:rPr>
              <w:t>40</w:t>
            </w:r>
          </w:p>
        </w:tc>
      </w:tr>
    </w:tbl>
    <w:p w14:paraId="4C985E99">
      <w:pPr>
        <w:widowControl/>
        <w:spacing w:after="180"/>
        <w:jc w:val="left"/>
        <w:rPr>
          <w:rFonts w:ascii="Times New Roman" w:hAnsi="Times New Roman" w:eastAsia="等线" w:cs="Times New Roman"/>
          <w:i/>
          <w:color w:val="0000FF"/>
          <w:kern w:val="0"/>
          <w:sz w:val="20"/>
          <w:szCs w:val="20"/>
          <w:lang w:val="en-GB" w:eastAsia="zh-CN"/>
        </w:rPr>
      </w:pPr>
    </w:p>
    <w:p w14:paraId="5FA982AD">
      <w:pPr>
        <w:widowControl/>
        <w:spacing w:after="180"/>
        <w:jc w:val="left"/>
        <w:rPr>
          <w:rFonts w:ascii="Times New Roman" w:hAnsi="Times New Roman" w:eastAsia="Yu Mincho" w:cs="Times New Roman"/>
          <w:kern w:val="0"/>
          <w:sz w:val="20"/>
          <w:szCs w:val="20"/>
          <w:lang w:val="en-GB" w:eastAsia="en-US"/>
        </w:rPr>
      </w:pPr>
      <w:bookmarkStart w:id="134" w:name="_Hlk500346105"/>
      <w:r>
        <w:rPr>
          <w:rFonts w:ascii="Times New Roman" w:hAnsi="Times New Roman" w:eastAsia="Yu Mincho" w:cs="Times New Roman"/>
          <w:kern w:val="0"/>
          <w:sz w:val="20"/>
          <w:szCs w:val="20"/>
          <w:lang w:val="en-GB" w:eastAsia="en-US"/>
        </w:rPr>
        <w:t xml:space="preserve">The number of RBs configured in any </w:t>
      </w:r>
      <w:r>
        <w:rPr>
          <w:rFonts w:hint="eastAsia" w:ascii="Times New Roman" w:hAnsi="Times New Roman" w:eastAsia="宋体" w:cs="Times New Roman"/>
          <w:i/>
          <w:kern w:val="0"/>
          <w:sz w:val="20"/>
          <w:szCs w:val="20"/>
          <w:lang w:val="en-US" w:eastAsia="zh-CN"/>
        </w:rPr>
        <w:t>reader</w:t>
      </w:r>
      <w:r>
        <w:rPr>
          <w:rFonts w:ascii="Times New Roman" w:hAnsi="Times New Roman" w:eastAsia="Yu Mincho" w:cs="Times New Roman"/>
          <w:i/>
          <w:kern w:val="0"/>
          <w:sz w:val="20"/>
          <w:szCs w:val="20"/>
          <w:lang w:val="en-GB" w:eastAsia="en-US"/>
        </w:rPr>
        <w:t xml:space="preserve"> channel bandwidth</w:t>
      </w:r>
      <w:r>
        <w:rPr>
          <w:rFonts w:ascii="Times New Roman" w:hAnsi="Times New Roman" w:eastAsia="Yu Mincho" w:cs="Times New Roman"/>
          <w:kern w:val="0"/>
          <w:sz w:val="20"/>
          <w:szCs w:val="20"/>
          <w:lang w:val="en-GB" w:eastAsia="en-US"/>
        </w:rPr>
        <w:t xml:space="preserve"> shall ensure that the minimum guardband specified in this clause is met.</w:t>
      </w:r>
      <w:bookmarkEnd w:id="134"/>
    </w:p>
    <w:p w14:paraId="13F88264">
      <w:pPr>
        <w:keepNext/>
        <w:keepLines/>
        <w:spacing w:before="60" w:after="180"/>
        <w:jc w:val="center"/>
        <w:rPr>
          <w:rFonts w:ascii="Arial" w:hAnsi="Arial" w:eastAsia="Yu Mincho" w:cs="Times New Roman"/>
          <w:b/>
          <w:lang w:val="zh-CN" w:eastAsia="en-US" w:bidi="ar-SA"/>
        </w:rPr>
      </w:pPr>
      <w:r>
        <w:rPr>
          <w:rFonts w:ascii="Arial" w:hAnsi="Arial" w:eastAsia="Yu Mincho" w:cs="Times New Roman"/>
          <w:b/>
          <w:highlight w:val="none"/>
          <w:lang w:val="zh-CN" w:eastAsia="en-US" w:bidi="ar-SA"/>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62CD0219">
      <w:pPr>
        <w:keepNext w:val="0"/>
        <w:keepLines/>
        <w:spacing w:before="0" w:after="240"/>
        <w:jc w:val="center"/>
        <w:rPr>
          <w:rFonts w:ascii="Arial" w:hAnsi="Arial" w:eastAsia="Yu Mincho" w:cs="Times New Roman"/>
          <w:b/>
          <w:lang w:val="zh-CN" w:eastAsia="en-US" w:bidi="ar-SA"/>
        </w:rPr>
      </w:pPr>
      <w:r>
        <w:rPr>
          <w:rFonts w:ascii="Arial" w:hAnsi="Arial" w:eastAsia="Yu Mincho" w:cs="Times New Roman"/>
          <w:b/>
          <w:lang w:val="zh-CN" w:eastAsia="en-US" w:bidi="ar-SA"/>
        </w:rPr>
        <w:t xml:space="preserve">Figure 5.3.3-1: </w:t>
      </w:r>
      <w:r>
        <w:rPr>
          <w:rFonts w:hint="eastAsia" w:ascii="Arial" w:hAnsi="Arial" w:eastAsia="宋体" w:cs="Times New Roman"/>
          <w:b/>
          <w:lang w:val="en-US" w:eastAsia="zh-CN" w:bidi="ar-SA"/>
        </w:rPr>
        <w:t>reader</w:t>
      </w:r>
      <w:r>
        <w:rPr>
          <w:rFonts w:ascii="Arial" w:hAnsi="Arial" w:eastAsia="Yu Mincho" w:cs="Times New Roman"/>
          <w:b/>
          <w:lang w:val="zh-CN" w:eastAsia="en-US" w:bidi="ar-SA"/>
        </w:rPr>
        <w:t xml:space="preserve"> PRB utilization</w:t>
      </w:r>
    </w:p>
    <w:p w14:paraId="2755FD83">
      <w:pPr>
        <w:keepNext/>
        <w:keepLines/>
        <w:pBdr>
          <w:top w:val="none" w:color="auto" w:sz="0" w:space="0"/>
        </w:pBdr>
        <w:spacing w:before="120" w:after="180"/>
        <w:ind w:left="1134" w:hanging="1134"/>
        <w:outlineLvl w:val="2"/>
        <w:rPr>
          <w:rFonts w:ascii="Arial" w:hAnsi="Arial" w:eastAsia="Yu Mincho" w:cs="Times New Roman"/>
          <w:sz w:val="28"/>
          <w:highlight w:val="none"/>
          <w:lang w:val="sv-SE" w:eastAsia="en-US" w:bidi="ar-SA"/>
        </w:rPr>
      </w:pPr>
      <w:bookmarkStart w:id="135" w:name="_Toc44712094"/>
      <w:bookmarkStart w:id="136" w:name="_Toc156567346"/>
      <w:bookmarkStart w:id="137" w:name="_Toc37267492"/>
      <w:bookmarkStart w:id="138" w:name="_Toc107311646"/>
      <w:bookmarkStart w:id="139" w:name="_Toc123051863"/>
      <w:bookmarkStart w:id="140" w:name="_Toc123048944"/>
      <w:bookmarkStart w:id="141" w:name="_Toc124266413"/>
      <w:bookmarkStart w:id="142" w:name="_Toc115186130"/>
      <w:bookmarkStart w:id="143" w:name="_Toc114255450"/>
      <w:bookmarkStart w:id="144" w:name="_Toc124157009"/>
      <w:bookmarkStart w:id="145" w:name="_Toc131595771"/>
      <w:bookmarkStart w:id="146" w:name="_Toc61179281"/>
      <w:bookmarkStart w:id="147" w:name="_Toc107474857"/>
      <w:bookmarkStart w:id="148" w:name="_Toc107419230"/>
      <w:bookmarkStart w:id="149" w:name="_Toc106782755"/>
      <w:bookmarkStart w:id="150" w:name="_Toc131766303"/>
      <w:bookmarkStart w:id="151" w:name="_Toc61178811"/>
      <w:bookmarkStart w:id="152" w:name="_Toc74663175"/>
      <w:bookmarkStart w:id="153" w:name="_Toc53178585"/>
      <w:bookmarkStart w:id="154" w:name="_Toc131740769"/>
      <w:bookmarkStart w:id="155" w:name="_Toc37260104"/>
      <w:bookmarkStart w:id="156" w:name="_Toc82621715"/>
      <w:bookmarkStart w:id="157" w:name="_Toc67916577"/>
      <w:bookmarkStart w:id="158" w:name="_Toc123717433"/>
      <w:bookmarkStart w:id="159" w:name="_Toc138837525"/>
      <w:bookmarkStart w:id="160" w:name="_Toc90422562"/>
      <w:bookmarkStart w:id="161" w:name="_Toc53178134"/>
      <w:bookmarkStart w:id="162" w:name="_Toc29811636"/>
      <w:bookmarkStart w:id="163" w:name="_Toc45893407"/>
      <w:bookmarkStart w:id="164" w:name="_Toc21127430"/>
      <w:bookmarkStart w:id="165" w:name="_Toc36817188"/>
      <w:bookmarkStart w:id="166" w:name="_Toc123054332"/>
      <w:r>
        <w:rPr>
          <w:rFonts w:ascii="Arial" w:hAnsi="Arial" w:eastAsia="Yu Mincho" w:cs="Times New Roman"/>
          <w:sz w:val="28"/>
          <w:highlight w:val="none"/>
          <w:lang w:val="sv-SE" w:eastAsia="en-US" w:bidi="ar-SA"/>
        </w:rPr>
        <w:t>5.3.4</w:t>
      </w:r>
      <w:r>
        <w:rPr>
          <w:rFonts w:ascii="Arial" w:hAnsi="Arial" w:eastAsia="Yu Mincho" w:cs="Times New Roman"/>
          <w:sz w:val="28"/>
          <w:highlight w:val="none"/>
          <w:lang w:val="sv-SE" w:eastAsia="en-US" w:bidi="ar-SA"/>
        </w:rPr>
        <w:tab/>
      </w:r>
      <w:r>
        <w:rPr>
          <w:rFonts w:ascii="Arial" w:hAnsi="Arial" w:eastAsia="Yu Mincho" w:cs="Times New Roman"/>
          <w:sz w:val="28"/>
          <w:highlight w:val="none"/>
          <w:lang w:val="sv-SE" w:eastAsia="en-US" w:bidi="ar-SA"/>
        </w:rPr>
        <w:t>RB alignment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2CCDE47">
      <w:pPr>
        <w:widowControl/>
        <w:spacing w:after="180"/>
        <w:jc w:val="left"/>
        <w:rPr>
          <w:rFonts w:ascii="Times New Roman" w:hAnsi="Times New Roman" w:eastAsia="等线" w:cs="Times New Roman"/>
          <w:kern w:val="0"/>
          <w:sz w:val="20"/>
          <w:szCs w:val="20"/>
          <w:lang w:val="en-GB" w:eastAsia="en-US"/>
        </w:rPr>
      </w:pPr>
      <w:bookmarkStart w:id="167" w:name="_Hlk530774890"/>
      <w:r>
        <w:rPr>
          <w:rFonts w:ascii="Times New Roman" w:hAnsi="Times New Roman" w:eastAsia="等线" w:cs="Times New Roman"/>
          <w:kern w:val="0"/>
          <w:sz w:val="20"/>
          <w:szCs w:val="20"/>
          <w:lang w:val="en-GB" w:eastAsia="en-US"/>
        </w:rPr>
        <w:t xml:space="preserve">For each </w:t>
      </w:r>
      <w:r>
        <w:rPr>
          <w:rFonts w:hint="eastAsia" w:ascii="Times New Roman" w:hAnsi="Times New Roman" w:eastAsia="等线" w:cs="Times New Roman"/>
          <w:kern w:val="0"/>
          <w:sz w:val="20"/>
          <w:szCs w:val="20"/>
          <w:lang w:val="en-US" w:eastAsia="zh-CN"/>
        </w:rPr>
        <w:t>reader</w:t>
      </w:r>
      <w:r>
        <w:rPr>
          <w:rFonts w:ascii="Times New Roman" w:hAnsi="Times New Roman" w:eastAsia="等线" w:cs="Times New Roman"/>
          <w:i/>
          <w:kern w:val="0"/>
          <w:sz w:val="20"/>
          <w:szCs w:val="20"/>
          <w:lang w:val="en-GB" w:eastAsia="en-US"/>
        </w:rPr>
        <w:t xml:space="preserve"> channel bandwidth</w:t>
      </w:r>
      <w:r>
        <w:rPr>
          <w:rFonts w:ascii="Times New Roman" w:hAnsi="Times New Roman" w:eastAsia="等线" w:cs="Times New Roman"/>
          <w:kern w:val="0"/>
          <w:sz w:val="20"/>
          <w:szCs w:val="20"/>
          <w:lang w:val="en-GB" w:eastAsia="en-US"/>
        </w:rPr>
        <w:t xml:space="preserve">, </w:t>
      </w:r>
      <w:r>
        <w:rPr>
          <w:rFonts w:ascii="Times New Roman" w:hAnsi="Times New Roman" w:eastAsia="等线" w:cs="Times New Roman"/>
          <w:i/>
          <w:kern w:val="0"/>
          <w:sz w:val="20"/>
          <w:szCs w:val="20"/>
          <w:lang w:val="en-GB" w:eastAsia="en-US"/>
        </w:rPr>
        <w:t>BS transmission bandwidth configuration</w:t>
      </w:r>
      <w:r>
        <w:rPr>
          <w:rFonts w:ascii="Times New Roman" w:hAnsi="Times New Roman" w:eastAsia="等线" w:cs="Times New Roman"/>
          <w:kern w:val="0"/>
          <w:sz w:val="20"/>
          <w:szCs w:val="20"/>
          <w:lang w:val="en-GB" w:eastAsia="en-US"/>
        </w:rPr>
        <w:t xml:space="preserve"> must fulfil the minimum guardband requirement specified in clause 5.3.3.</w:t>
      </w:r>
    </w:p>
    <w:p w14:paraId="5F34911F">
      <w:pPr>
        <w:widowControl/>
        <w:spacing w:after="180"/>
        <w:jc w:val="left"/>
        <w:rPr>
          <w:rFonts w:hint="default" w:ascii="Times New Roman" w:hAnsi="Times New Roman" w:eastAsia="等线" w:cs="Times New Roman"/>
          <w:strike/>
          <w:dstrike w:val="0"/>
          <w:kern w:val="0"/>
          <w:sz w:val="20"/>
          <w:szCs w:val="20"/>
          <w:lang w:val="en-US" w:eastAsia="zh-CN"/>
        </w:rPr>
      </w:pPr>
      <w:r>
        <w:rPr>
          <w:rFonts w:hint="eastAsia" w:ascii="Times New Roman" w:hAnsi="Times New Roman" w:eastAsia="等线" w:cs="Times New Roman"/>
          <w:strike/>
          <w:dstrike w:val="0"/>
          <w:kern w:val="0"/>
          <w:sz w:val="20"/>
          <w:szCs w:val="20"/>
          <w:lang w:val="en-US" w:eastAsia="zh-CN"/>
        </w:rPr>
        <w:t>[</w:t>
      </w:r>
      <w:r>
        <w:rPr>
          <w:rFonts w:ascii="Times New Roman" w:hAnsi="Times New Roman" w:eastAsia="等线" w:cs="Times New Roman"/>
          <w:strike/>
          <w:dstrike w:val="0"/>
          <w:kern w:val="0"/>
          <w:sz w:val="20"/>
          <w:szCs w:val="20"/>
          <w:lang w:val="en-GB" w:eastAsia="en-US"/>
        </w:rPr>
        <w:t xml:space="preserve">For each numerology, its common resource blocks are specified in clause 4.4.4.3 in [9], and the starting point of its </w:t>
      </w:r>
      <w:r>
        <w:rPr>
          <w:rFonts w:ascii="Times New Roman" w:hAnsi="Times New Roman" w:eastAsia="等线" w:cs="Times New Roman"/>
          <w:i/>
          <w:strike/>
          <w:dstrike w:val="0"/>
          <w:kern w:val="0"/>
          <w:sz w:val="20"/>
          <w:szCs w:val="20"/>
          <w:lang w:val="en-GB" w:eastAsia="en-US"/>
        </w:rPr>
        <w:t>transmission bandwidth configuration</w:t>
      </w:r>
      <w:r>
        <w:rPr>
          <w:rFonts w:ascii="Times New Roman" w:hAnsi="Times New Roman" w:eastAsia="等线" w:cs="Times New Roman"/>
          <w:strike/>
          <w:dstrike w:val="0"/>
          <w:kern w:val="0"/>
          <w:sz w:val="20"/>
          <w:szCs w:val="20"/>
          <w:lang w:val="en-GB" w:eastAsia="en-US"/>
        </w:rPr>
        <w:t xml:space="preserve"> on the common resource block grid for a given channel bandwidth is indicated by an offset to “Reference point A” in the unit of the numerology.</w:t>
      </w:r>
      <w:r>
        <w:rPr>
          <w:rFonts w:hint="eastAsia" w:ascii="Times New Roman" w:hAnsi="Times New Roman" w:eastAsia="等线" w:cs="Times New Roman"/>
          <w:strike/>
          <w:dstrike w:val="0"/>
          <w:kern w:val="0"/>
          <w:sz w:val="20"/>
          <w:szCs w:val="20"/>
          <w:lang w:val="en-US" w:eastAsia="zh-CN"/>
        </w:rPr>
        <w:t>]</w:t>
      </w:r>
      <w:commentRangeStart w:id="0"/>
      <w:r>
        <w:rPr>
          <w:rFonts w:hint="eastAsia" w:ascii="Times New Roman" w:hAnsi="Times New Roman" w:eastAsia="等线" w:cs="Times New Roman"/>
          <w:strike/>
          <w:dstrike w:val="0"/>
          <w:kern w:val="0"/>
          <w:sz w:val="20"/>
          <w:szCs w:val="20"/>
          <w:lang w:val="en-US" w:eastAsia="zh-CN"/>
        </w:rPr>
        <w:t xml:space="preserve"> </w:t>
      </w:r>
      <w:commentRangeEnd w:id="0"/>
      <w:r>
        <w:rPr>
          <w:rFonts w:ascii="Times New Roman" w:hAnsi="Times New Roman" w:eastAsia="等线" w:cs="Times New Roman"/>
          <w:kern w:val="0"/>
          <w:sz w:val="20"/>
          <w:szCs w:val="20"/>
          <w:lang w:val="en-GB" w:eastAsia="en-US"/>
        </w:rPr>
        <w:commentReference w:id="0"/>
      </w:r>
    </w:p>
    <w:bookmarkEnd w:id="167"/>
    <w:p w14:paraId="131C8FB2">
      <w:pPr>
        <w:keepNext/>
        <w:keepLines/>
        <w:pBdr>
          <w:top w:val="none" w:color="auto" w:sz="0" w:space="0"/>
        </w:pBdr>
        <w:spacing w:before="120" w:after="180"/>
        <w:ind w:left="1134" w:hanging="1134"/>
        <w:outlineLvl w:val="2"/>
        <w:rPr>
          <w:rFonts w:ascii="Arial" w:hAnsi="Arial" w:eastAsia="Yu Mincho" w:cs="Times New Roman"/>
          <w:sz w:val="28"/>
          <w:lang w:val="sv-SE" w:eastAsia="en-US" w:bidi="ar-SA"/>
        </w:rPr>
      </w:pPr>
      <w:bookmarkStart w:id="168" w:name="_Toc114255451"/>
      <w:bookmarkStart w:id="169" w:name="_Toc44712095"/>
      <w:bookmarkStart w:id="170" w:name="_Toc124157010"/>
      <w:bookmarkStart w:id="171" w:name="_Toc37260105"/>
      <w:bookmarkStart w:id="172" w:name="_Toc36817189"/>
      <w:bookmarkStart w:id="173" w:name="_Toc90422563"/>
      <w:bookmarkStart w:id="174" w:name="_Toc131740770"/>
      <w:bookmarkStart w:id="175" w:name="_Toc156567347"/>
      <w:bookmarkStart w:id="176" w:name="_Toc131595772"/>
      <w:bookmarkStart w:id="177" w:name="_Toc124266414"/>
      <w:bookmarkStart w:id="178" w:name="_Toc61179282"/>
      <w:bookmarkStart w:id="179" w:name="_Toc21127431"/>
      <w:bookmarkStart w:id="180" w:name="_Toc123054333"/>
      <w:bookmarkStart w:id="181" w:name="_Toc67916578"/>
      <w:bookmarkStart w:id="182" w:name="_Toc123051864"/>
      <w:bookmarkStart w:id="183" w:name="_Toc82621716"/>
      <w:bookmarkStart w:id="184" w:name="_Toc123717434"/>
      <w:bookmarkStart w:id="185" w:name="_Toc123048945"/>
      <w:bookmarkStart w:id="186" w:name="_Toc45893408"/>
      <w:bookmarkStart w:id="187" w:name="_Toc37267493"/>
      <w:bookmarkStart w:id="188" w:name="_Toc138837526"/>
      <w:bookmarkStart w:id="189" w:name="_Toc74663176"/>
      <w:bookmarkStart w:id="190" w:name="_Toc53178135"/>
      <w:bookmarkStart w:id="191" w:name="_Toc107311647"/>
      <w:bookmarkStart w:id="192" w:name="_Toc106782756"/>
      <w:bookmarkStart w:id="193" w:name="_Toc29811637"/>
      <w:bookmarkStart w:id="194" w:name="_Toc131766304"/>
      <w:bookmarkStart w:id="195" w:name="_Toc61178812"/>
      <w:bookmarkStart w:id="196" w:name="_Toc53178586"/>
      <w:bookmarkStart w:id="197" w:name="_Toc107419231"/>
      <w:bookmarkStart w:id="198" w:name="_Toc107474858"/>
      <w:bookmarkStart w:id="199" w:name="_Toc115186131"/>
      <w:r>
        <w:rPr>
          <w:rFonts w:ascii="Arial" w:hAnsi="Arial" w:eastAsia="Yu Mincho" w:cs="Times New Roman"/>
          <w:sz w:val="28"/>
          <w:lang w:val="sv-SE" w:eastAsia="en-US" w:bidi="ar-SA"/>
        </w:rPr>
        <w:t>5.3.5</w:t>
      </w:r>
      <w:r>
        <w:rPr>
          <w:rFonts w:ascii="Arial" w:hAnsi="Arial" w:eastAsia="Yu Mincho" w:cs="Times New Roman"/>
          <w:sz w:val="28"/>
          <w:lang w:val="sv-SE" w:eastAsia="en-US" w:bidi="ar-SA"/>
        </w:rPr>
        <w:tab/>
      </w:r>
      <w:r>
        <w:rPr>
          <w:rFonts w:ascii="Arial" w:hAnsi="Arial" w:eastAsia="Yu Mincho" w:cs="Times New Roman"/>
          <w:i/>
          <w:sz w:val="28"/>
          <w:lang w:val="sv-SE" w:eastAsia="en-US" w:bidi="ar-SA"/>
        </w:rPr>
        <w:t>BS channel bandwidth</w:t>
      </w:r>
      <w:r>
        <w:rPr>
          <w:rFonts w:ascii="Arial" w:hAnsi="Arial" w:eastAsia="Yu Mincho" w:cs="Times New Roman"/>
          <w:sz w:val="28"/>
          <w:lang w:val="sv-SE" w:eastAsia="en-US" w:bidi="ar-SA"/>
        </w:rPr>
        <w:t xml:space="preserve"> per </w:t>
      </w:r>
      <w:r>
        <w:rPr>
          <w:rFonts w:ascii="Arial" w:hAnsi="Arial" w:eastAsia="Yu Mincho" w:cs="Times New Roman"/>
          <w:i/>
          <w:sz w:val="28"/>
          <w:lang w:val="sv-SE" w:eastAsia="en-US" w:bidi="ar-SA"/>
        </w:rPr>
        <w:t>operating band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AF327D2">
      <w:pPr>
        <w:widowControl/>
        <w:spacing w:after="180"/>
        <w:jc w:val="left"/>
        <w:rPr>
          <w:rFonts w:ascii="Times New Roman" w:hAnsi="Times New Roman" w:eastAsia="Yu Mincho" w:cs="Times New Roman"/>
          <w:kern w:val="0"/>
          <w:sz w:val="20"/>
          <w:szCs w:val="20"/>
          <w:lang w:val="en-GB" w:eastAsia="en-US"/>
        </w:rPr>
      </w:pPr>
      <w:r>
        <w:rPr>
          <w:rFonts w:ascii="Times New Roman" w:hAnsi="Times New Roman" w:eastAsia="Yu Mincho" w:cs="Times New Roman"/>
          <w:kern w:val="0"/>
          <w:sz w:val="20"/>
          <w:szCs w:val="20"/>
          <w:lang w:val="en-GB" w:eastAsia="en-US"/>
        </w:rPr>
        <w:t xml:space="preserve">The requirements in this specification apply to the combination of </w:t>
      </w:r>
      <w:r>
        <w:rPr>
          <w:rFonts w:ascii="Times New Roman" w:hAnsi="Times New Roman" w:eastAsia="Yu Mincho" w:cs="Times New Roman"/>
          <w:i/>
          <w:kern w:val="0"/>
          <w:sz w:val="20"/>
          <w:szCs w:val="20"/>
          <w:lang w:val="en-GB" w:eastAsia="en-US"/>
        </w:rPr>
        <w:t>BS channel bandwidths</w:t>
      </w:r>
      <w:r>
        <w:rPr>
          <w:rFonts w:ascii="Times New Roman" w:hAnsi="Times New Roman" w:eastAsia="Yu Mincho" w:cs="Times New Roman"/>
          <w:kern w:val="0"/>
          <w:sz w:val="20"/>
          <w:szCs w:val="20"/>
          <w:lang w:val="en-GB" w:eastAsia="en-US"/>
        </w:rPr>
        <w:t xml:space="preserve">, SCS and </w:t>
      </w:r>
      <w:r>
        <w:rPr>
          <w:rFonts w:ascii="Times New Roman" w:hAnsi="Times New Roman" w:eastAsia="Yu Mincho" w:cs="Times New Roman"/>
          <w:i/>
          <w:kern w:val="0"/>
          <w:sz w:val="20"/>
          <w:szCs w:val="20"/>
          <w:lang w:val="en-GB" w:eastAsia="en-US"/>
        </w:rPr>
        <w:t>operating bands</w:t>
      </w:r>
      <w:r>
        <w:rPr>
          <w:rFonts w:ascii="Times New Roman" w:hAnsi="Times New Roman" w:eastAsia="Yu Mincho" w:cs="Times New Roman"/>
          <w:kern w:val="0"/>
          <w:sz w:val="20"/>
          <w:szCs w:val="20"/>
          <w:lang w:val="en-GB" w:eastAsia="en-US"/>
        </w:rPr>
        <w:t xml:space="preserve"> shown in table 5.3.5-1 for FR1. The </w:t>
      </w:r>
      <w:r>
        <w:rPr>
          <w:rFonts w:ascii="Times New Roman" w:hAnsi="Times New Roman" w:eastAsia="Yu Mincho" w:cs="Times New Roman"/>
          <w:i/>
          <w:kern w:val="0"/>
          <w:sz w:val="20"/>
          <w:szCs w:val="20"/>
          <w:lang w:val="en-GB" w:eastAsia="en-US"/>
        </w:rPr>
        <w:t>transmission bandwidth configuration</w:t>
      </w:r>
      <w:r>
        <w:rPr>
          <w:rFonts w:ascii="Times New Roman" w:hAnsi="Times New Roman" w:eastAsia="Yu Mincho" w:cs="Times New Roman"/>
          <w:kern w:val="0"/>
          <w:sz w:val="20"/>
          <w:szCs w:val="20"/>
          <w:lang w:val="en-GB" w:eastAsia="en-US"/>
        </w:rPr>
        <w:t xml:space="preserve"> in table 5.3.2-1 shall be supported for each of the </w:t>
      </w:r>
      <w:r>
        <w:rPr>
          <w:rFonts w:ascii="Times New Roman" w:hAnsi="Times New Roman" w:eastAsia="Yu Mincho" w:cs="Times New Roman"/>
          <w:i/>
          <w:kern w:val="0"/>
          <w:sz w:val="20"/>
          <w:szCs w:val="20"/>
          <w:lang w:val="en-GB" w:eastAsia="en-US"/>
        </w:rPr>
        <w:t>BS channel bandwidths</w:t>
      </w:r>
      <w:r>
        <w:rPr>
          <w:rFonts w:ascii="Times New Roman" w:hAnsi="Times New Roman" w:eastAsia="Yu Mincho" w:cs="Times New Roman"/>
          <w:kern w:val="0"/>
          <w:sz w:val="20"/>
          <w:szCs w:val="20"/>
          <w:lang w:val="en-GB" w:eastAsia="en-US"/>
        </w:rPr>
        <w:t xml:space="preserve"> within the BS capability. The </w:t>
      </w:r>
      <w:r>
        <w:rPr>
          <w:rFonts w:ascii="Times New Roman" w:hAnsi="Times New Roman" w:eastAsia="Yu Mincho" w:cs="Times New Roman"/>
          <w:i/>
          <w:kern w:val="0"/>
          <w:sz w:val="20"/>
          <w:szCs w:val="20"/>
          <w:lang w:val="en-GB" w:eastAsia="en-US"/>
        </w:rPr>
        <w:t>BS channel bandwidths</w:t>
      </w:r>
      <w:r>
        <w:rPr>
          <w:rFonts w:ascii="Times New Roman" w:hAnsi="Times New Roman" w:eastAsia="Yu Mincho" w:cs="Times New Roman"/>
          <w:kern w:val="0"/>
          <w:sz w:val="20"/>
          <w:szCs w:val="20"/>
          <w:lang w:val="en-GB" w:eastAsia="en-US"/>
        </w:rPr>
        <w:t xml:space="preserve"> are specified for the </w:t>
      </w:r>
      <w:r>
        <w:rPr>
          <w:rFonts w:ascii="Times New Roman" w:hAnsi="Times New Roman" w:eastAsia="Yu Mincho" w:cs="Times New Roman"/>
          <w:kern w:val="0"/>
          <w:sz w:val="20"/>
          <w:szCs w:val="20"/>
          <w:highlight w:val="yellow"/>
          <w:lang w:val="en-GB" w:eastAsia="en-US"/>
        </w:rPr>
        <w:t>Tx</w:t>
      </w:r>
      <w:r>
        <w:rPr>
          <w:rFonts w:hint="eastAsia" w:ascii="Times New Roman" w:hAnsi="Times New Roman" w:eastAsia="宋体" w:cs="Times New Roman"/>
          <w:kern w:val="0"/>
          <w:sz w:val="20"/>
          <w:szCs w:val="20"/>
          <w:highlight w:val="yellow"/>
          <w:lang w:val="en-US" w:eastAsia="zh-CN"/>
        </w:rPr>
        <w:t xml:space="preserve"> </w:t>
      </w:r>
      <w:r>
        <w:rPr>
          <w:rFonts w:ascii="Times New Roman" w:hAnsi="Times New Roman" w:eastAsia="Yu Mincho" w:cs="Times New Roman"/>
          <w:kern w:val="0"/>
          <w:sz w:val="20"/>
          <w:szCs w:val="20"/>
          <w:highlight w:val="yellow"/>
          <w:lang w:val="en-GB" w:eastAsia="en-US"/>
        </w:rPr>
        <w:t>path</w:t>
      </w:r>
      <w:r>
        <w:rPr>
          <w:rFonts w:ascii="Times New Roman" w:hAnsi="Times New Roman" w:eastAsia="Yu Mincho" w:cs="Times New Roman"/>
          <w:kern w:val="0"/>
          <w:sz w:val="20"/>
          <w:szCs w:val="20"/>
          <w:lang w:val="en-GB" w:eastAsia="en-US"/>
        </w:rPr>
        <w:t>.</w:t>
      </w:r>
    </w:p>
    <w:p w14:paraId="3F6D50D7">
      <w:pPr>
        <w:keepNext/>
        <w:keepLines/>
        <w:spacing w:before="60" w:after="180"/>
        <w:jc w:val="center"/>
        <w:rPr>
          <w:rFonts w:ascii="Arial" w:hAnsi="Arial" w:eastAsia="等线" w:cs="Times New Roman"/>
          <w:b/>
          <w:lang w:val="zh-CN" w:eastAsia="en-US" w:bidi="ar-SA"/>
        </w:rPr>
      </w:pPr>
      <w:r>
        <w:rPr>
          <w:rFonts w:ascii="Arial" w:hAnsi="Arial" w:eastAsia="等线" w:cs="Times New Roman"/>
          <w:b/>
          <w:lang w:val="zh-CN" w:eastAsia="en-US" w:bidi="ar-SA"/>
        </w:rPr>
        <w:t xml:space="preserve">Table 5.3.5-1: </w:t>
      </w:r>
      <w:r>
        <w:rPr>
          <w:rFonts w:hint="eastAsia" w:ascii="Arial" w:hAnsi="Arial" w:eastAsia="等线" w:cs="Times New Roman"/>
          <w:b/>
          <w:lang w:val="en-US" w:eastAsia="zh-CN" w:bidi="ar-SA"/>
        </w:rPr>
        <w:t>Reader</w:t>
      </w:r>
      <w:r>
        <w:rPr>
          <w:rFonts w:ascii="Arial" w:hAnsi="Arial" w:eastAsia="等线" w:cs="Times New Roman"/>
          <w:b/>
          <w:i/>
          <w:lang w:val="zh-CN" w:eastAsia="en-US" w:bidi="ar-SA"/>
        </w:rPr>
        <w:t xml:space="preserve"> channel bandwidths</w:t>
      </w:r>
      <w:r>
        <w:rPr>
          <w:rFonts w:ascii="Arial" w:hAnsi="Arial" w:eastAsia="等线" w:cs="Times New Roman"/>
          <w:b/>
          <w:lang w:val="zh-CN" w:eastAsia="en-US" w:bidi="ar-SA"/>
        </w:rPr>
        <w:t xml:space="preserve"> and SCS per </w:t>
      </w:r>
      <w:r>
        <w:rPr>
          <w:rFonts w:ascii="Arial" w:hAnsi="Arial" w:eastAsia="等线" w:cs="Times New Roman"/>
          <w:b/>
          <w:i/>
          <w:lang w:val="zh-CN" w:eastAsia="en-US" w:bidi="ar-SA"/>
        </w:rPr>
        <w:t>operating band</w:t>
      </w:r>
      <w:r>
        <w:rPr>
          <w:rFonts w:ascii="Arial" w:hAnsi="Arial" w:eastAsia="等线" w:cs="Times New Roman"/>
          <w:b/>
          <w:lang w:val="zh-CN" w:eastAsia="en-US" w:bidi="ar-SA"/>
        </w:rPr>
        <w:t xml:space="preserve"> </w:t>
      </w:r>
    </w:p>
    <w:tbl>
      <w:tblPr>
        <w:tblStyle w:val="18"/>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931"/>
        <w:gridCol w:w="874"/>
        <w:gridCol w:w="647"/>
        <w:gridCol w:w="636"/>
        <w:gridCol w:w="678"/>
      </w:tblGrid>
      <w:tr w14:paraId="02C8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restart"/>
            <w:vAlign w:val="center"/>
          </w:tcPr>
          <w:p w14:paraId="758D31E5">
            <w:pPr>
              <w:keepNext/>
              <w:keepLines/>
              <w:spacing w:before="120" w:after="0" w:line="280" w:lineRule="atLeast"/>
              <w:jc w:val="center"/>
              <w:rPr>
                <w:rFonts w:ascii="Arial" w:hAnsi="Arial" w:eastAsia="等线" w:cs="Times New Roman"/>
                <w:b/>
                <w:sz w:val="18"/>
                <w:lang w:val="zh-CN" w:eastAsia="en-US" w:bidi="ar-SA"/>
              </w:rPr>
            </w:pPr>
            <w:r>
              <w:rPr>
                <w:rFonts w:ascii="Arial" w:hAnsi="Arial" w:eastAsia="等线" w:cs="Times New Roman"/>
                <w:b/>
                <w:sz w:val="18"/>
                <w:lang w:val="zh-CN" w:eastAsia="en-US" w:bidi="ar-SA"/>
              </w:rPr>
              <w:t>NR Band</w:t>
            </w:r>
          </w:p>
        </w:tc>
        <w:tc>
          <w:tcPr>
            <w:tcW w:w="899" w:type="pct"/>
            <w:vMerge w:val="restart"/>
            <w:vAlign w:val="center"/>
          </w:tcPr>
          <w:p w14:paraId="530ABC58">
            <w:pPr>
              <w:keepNext/>
              <w:keepLines/>
              <w:spacing w:before="120" w:after="0" w:line="280" w:lineRule="atLeast"/>
              <w:jc w:val="center"/>
              <w:rPr>
                <w:rFonts w:ascii="Arial" w:hAnsi="Arial" w:eastAsia="等线" w:cs="Times New Roman"/>
                <w:b/>
                <w:sz w:val="18"/>
                <w:lang w:val="zh-CN" w:eastAsia="en-US" w:bidi="ar-SA"/>
              </w:rPr>
            </w:pPr>
            <w:r>
              <w:rPr>
                <w:rFonts w:ascii="Arial" w:hAnsi="Arial" w:eastAsia="等线" w:cs="Times New Roman"/>
                <w:b/>
                <w:sz w:val="18"/>
                <w:lang w:val="zh-CN" w:eastAsia="en-US" w:bidi="ar-SA"/>
              </w:rPr>
              <w:t>SCS</w:t>
            </w:r>
            <w:r>
              <w:rPr>
                <w:rFonts w:hint="eastAsia" w:ascii="Arial" w:hAnsi="Arial" w:eastAsia="等线" w:cs="Times New Roman"/>
                <w:b/>
                <w:sz w:val="18"/>
                <w:lang w:val="zh-CN" w:eastAsia="zh-CN" w:bidi="ar-SA"/>
              </w:rPr>
              <w:t xml:space="preserve"> </w:t>
            </w:r>
            <w:r>
              <w:rPr>
                <w:rFonts w:ascii="Arial" w:hAnsi="Arial" w:eastAsia="等线" w:cs="Times New Roman"/>
                <w:b/>
                <w:sz w:val="18"/>
                <w:lang w:val="zh-CN" w:eastAsia="zh-CN" w:bidi="ar-SA"/>
              </w:rPr>
              <w:t>(</w:t>
            </w:r>
            <w:r>
              <w:rPr>
                <w:rFonts w:ascii="Arial" w:hAnsi="Arial" w:eastAsia="等线" w:cs="Times New Roman"/>
                <w:b/>
                <w:sz w:val="18"/>
                <w:lang w:val="zh-CN" w:eastAsia="en-US" w:bidi="ar-SA"/>
              </w:rPr>
              <w:t>kHz)</w:t>
            </w:r>
          </w:p>
        </w:tc>
        <w:tc>
          <w:tcPr>
            <w:tcW w:w="2738" w:type="pct"/>
            <w:gridSpan w:val="4"/>
          </w:tcPr>
          <w:p w14:paraId="0BAFDC08">
            <w:pPr>
              <w:keepNext/>
              <w:keepLines/>
              <w:spacing w:before="120" w:after="0" w:line="280" w:lineRule="atLeast"/>
              <w:jc w:val="center"/>
              <w:rPr>
                <w:rFonts w:hint="eastAsia" w:ascii="Arial" w:hAnsi="Arial" w:eastAsia="等线" w:cs="Times New Roman"/>
                <w:b/>
                <w:i/>
                <w:sz w:val="18"/>
                <w:lang w:val="en-US" w:eastAsia="zh-CN" w:bidi="ar-SA"/>
              </w:rPr>
            </w:pPr>
            <w:r>
              <w:rPr>
                <w:rFonts w:hint="eastAsia" w:ascii="Arial" w:hAnsi="Arial" w:eastAsia="等线" w:cs="Times New Roman"/>
                <w:b/>
                <w:i/>
                <w:sz w:val="18"/>
                <w:lang w:val="en-US" w:eastAsia="zh-CN" w:bidi="ar-SA"/>
              </w:rPr>
              <w:t>Reader</w:t>
            </w:r>
            <w:r>
              <w:rPr>
                <w:rFonts w:ascii="Arial" w:hAnsi="Arial" w:eastAsia="等线" w:cs="Times New Roman"/>
                <w:b/>
                <w:i/>
                <w:sz w:val="18"/>
                <w:lang w:val="zh-CN" w:eastAsia="en-US" w:bidi="ar-SA"/>
              </w:rPr>
              <w:t xml:space="preserve"> channel bandwidth </w:t>
            </w:r>
            <w:r>
              <w:rPr>
                <w:rFonts w:ascii="Arial" w:hAnsi="Arial" w:eastAsia="等线" w:cs="Times New Roman"/>
                <w:b/>
                <w:sz w:val="18"/>
                <w:lang w:val="zh-CN" w:eastAsia="en-US" w:bidi="ar-SA"/>
              </w:rPr>
              <w:t>(</w:t>
            </w:r>
            <w:r>
              <w:rPr>
                <w:rFonts w:hint="eastAsia" w:ascii="Arial" w:hAnsi="Arial" w:eastAsia="等线" w:cs="Times New Roman"/>
                <w:b/>
                <w:sz w:val="18"/>
                <w:lang w:val="en-US" w:eastAsia="zh-CN" w:bidi="ar-SA"/>
              </w:rPr>
              <w:t>k</w:t>
            </w:r>
            <w:r>
              <w:rPr>
                <w:rFonts w:ascii="Arial" w:hAnsi="Arial" w:eastAsia="等线" w:cs="Times New Roman"/>
                <w:b/>
                <w:sz w:val="18"/>
                <w:lang w:val="zh-CN" w:eastAsia="en-US" w:bidi="ar-SA"/>
              </w:rPr>
              <w:t>Hz)</w:t>
            </w:r>
          </w:p>
        </w:tc>
      </w:tr>
      <w:tr w14:paraId="592A7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continue"/>
            <w:vAlign w:val="center"/>
          </w:tcPr>
          <w:p w14:paraId="1716712F">
            <w:pPr>
              <w:keepNext/>
              <w:keepLines/>
              <w:spacing w:before="120" w:after="0" w:line="280" w:lineRule="atLeast"/>
              <w:jc w:val="center"/>
              <w:rPr>
                <w:rFonts w:ascii="Arial" w:hAnsi="Arial" w:eastAsia="等线" w:cs="Times New Roman"/>
                <w:b/>
                <w:sz w:val="18"/>
                <w:lang w:val="zh-CN" w:eastAsia="en-US" w:bidi="ar-SA"/>
              </w:rPr>
            </w:pPr>
          </w:p>
        </w:tc>
        <w:tc>
          <w:tcPr>
            <w:tcW w:w="899" w:type="pct"/>
            <w:vMerge w:val="continue"/>
            <w:vAlign w:val="center"/>
          </w:tcPr>
          <w:p w14:paraId="0F61939F">
            <w:pPr>
              <w:keepNext/>
              <w:keepLines/>
              <w:spacing w:before="120" w:after="0" w:line="280" w:lineRule="atLeast"/>
              <w:jc w:val="center"/>
              <w:rPr>
                <w:rFonts w:ascii="Arial" w:hAnsi="Arial" w:eastAsia="等线" w:cs="Times New Roman"/>
                <w:b/>
                <w:sz w:val="18"/>
                <w:lang w:val="zh-CN" w:eastAsia="en-US" w:bidi="ar-SA"/>
              </w:rPr>
            </w:pPr>
          </w:p>
        </w:tc>
        <w:tc>
          <w:tcPr>
            <w:tcW w:w="844" w:type="pct"/>
          </w:tcPr>
          <w:p w14:paraId="3FD0DBCE">
            <w:pPr>
              <w:keepNext/>
              <w:keepLines/>
              <w:spacing w:before="120" w:after="0" w:line="280" w:lineRule="atLeast"/>
              <w:jc w:val="center"/>
              <w:rPr>
                <w:rFonts w:hint="default" w:ascii="Arial" w:hAnsi="Arial" w:eastAsia="等线" w:cs="Times New Roman"/>
                <w:b/>
                <w:sz w:val="18"/>
                <w:lang w:val="en-US" w:eastAsia="zh-CN" w:bidi="ar-SA"/>
              </w:rPr>
            </w:pPr>
            <w:r>
              <w:rPr>
                <w:rFonts w:hint="eastAsia" w:ascii="Arial" w:hAnsi="Arial" w:eastAsia="等线" w:cs="Times New Roman"/>
                <w:b/>
                <w:sz w:val="18"/>
                <w:lang w:val="en-US" w:eastAsia="zh-CN" w:bidi="ar-SA"/>
              </w:rPr>
              <w:t>200</w:t>
            </w:r>
          </w:p>
        </w:tc>
        <w:tc>
          <w:tcPr>
            <w:tcW w:w="624" w:type="pct"/>
            <w:vAlign w:val="center"/>
          </w:tcPr>
          <w:p w14:paraId="41814A86">
            <w:pPr>
              <w:keepNext/>
              <w:keepLines/>
              <w:spacing w:before="120" w:after="0" w:line="280" w:lineRule="atLeast"/>
              <w:jc w:val="center"/>
              <w:rPr>
                <w:rFonts w:hint="default" w:ascii="Arial" w:hAnsi="Arial" w:eastAsia="等线" w:cs="Times New Roman"/>
                <w:b/>
                <w:sz w:val="18"/>
                <w:lang w:val="en-US" w:eastAsia="zh-CN" w:bidi="ar-SA"/>
              </w:rPr>
            </w:pPr>
            <w:r>
              <w:rPr>
                <w:rFonts w:hint="eastAsia" w:ascii="Arial" w:hAnsi="Arial" w:eastAsia="等线" w:cs="Times New Roman"/>
                <w:b/>
                <w:sz w:val="18"/>
                <w:lang w:val="en-US" w:eastAsia="zh-CN" w:bidi="ar-SA"/>
              </w:rPr>
              <w:t>400</w:t>
            </w:r>
          </w:p>
        </w:tc>
        <w:tc>
          <w:tcPr>
            <w:tcW w:w="614" w:type="pct"/>
            <w:vAlign w:val="center"/>
          </w:tcPr>
          <w:p w14:paraId="287481F9">
            <w:pPr>
              <w:keepNext/>
              <w:keepLines/>
              <w:spacing w:before="120" w:after="0" w:line="280" w:lineRule="atLeast"/>
              <w:jc w:val="center"/>
              <w:rPr>
                <w:rFonts w:hint="default" w:ascii="Arial" w:hAnsi="Arial" w:eastAsia="等线" w:cs="Times New Roman"/>
                <w:b/>
                <w:sz w:val="18"/>
                <w:lang w:val="en-US" w:eastAsia="zh-CN" w:bidi="ar-SA"/>
              </w:rPr>
            </w:pPr>
            <w:r>
              <w:rPr>
                <w:rFonts w:hint="eastAsia" w:ascii="Arial" w:hAnsi="Arial" w:eastAsia="等线" w:cs="Times New Roman"/>
                <w:b/>
                <w:sz w:val="18"/>
                <w:lang w:val="en-US" w:eastAsia="zh-CN" w:bidi="ar-SA"/>
              </w:rPr>
              <w:t>600</w:t>
            </w:r>
          </w:p>
        </w:tc>
        <w:tc>
          <w:tcPr>
            <w:tcW w:w="655" w:type="pct"/>
            <w:vAlign w:val="center"/>
          </w:tcPr>
          <w:p w14:paraId="0EBB63AA">
            <w:pPr>
              <w:keepNext/>
              <w:keepLines/>
              <w:spacing w:before="120" w:after="0" w:line="280" w:lineRule="atLeast"/>
              <w:jc w:val="center"/>
              <w:rPr>
                <w:rFonts w:hint="default" w:ascii="Arial" w:hAnsi="Arial" w:eastAsia="等线" w:cs="Times New Roman"/>
                <w:b/>
                <w:sz w:val="18"/>
                <w:lang w:val="en-US" w:eastAsia="zh-CN" w:bidi="ar-SA"/>
              </w:rPr>
            </w:pPr>
            <w:r>
              <w:rPr>
                <w:rFonts w:hint="eastAsia" w:ascii="Arial" w:hAnsi="Arial" w:eastAsia="等线" w:cs="Times New Roman"/>
                <w:b/>
                <w:sz w:val="18"/>
                <w:lang w:val="en-US" w:eastAsia="zh-CN" w:bidi="ar-SA"/>
              </w:rPr>
              <w:t>800</w:t>
            </w:r>
          </w:p>
        </w:tc>
      </w:tr>
      <w:tr w14:paraId="6D71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pct"/>
            <w:tcBorders>
              <w:bottom w:val="nil"/>
            </w:tcBorders>
            <w:vAlign w:val="center"/>
          </w:tcPr>
          <w:p w14:paraId="701A1C35">
            <w:pPr>
              <w:keepNext/>
              <w:keepLines/>
              <w:spacing w:before="120" w:after="0" w:line="280" w:lineRule="atLeast"/>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n8</w:t>
            </w:r>
          </w:p>
        </w:tc>
        <w:tc>
          <w:tcPr>
            <w:tcW w:w="899" w:type="pct"/>
            <w:vAlign w:val="center"/>
          </w:tcPr>
          <w:p w14:paraId="16A8AC9A">
            <w:pPr>
              <w:keepNext/>
              <w:keepLines/>
              <w:spacing w:before="120" w:after="0" w:line="280" w:lineRule="atLeast"/>
              <w:jc w:val="center"/>
              <w:rPr>
                <w:rFonts w:ascii="Arial" w:hAnsi="Arial" w:eastAsia="Yu Mincho" w:cs="Times New Roman"/>
                <w:sz w:val="18"/>
                <w:lang w:val="zh-CN" w:eastAsia="en-US" w:bidi="ar-SA"/>
              </w:rPr>
            </w:pPr>
            <w:r>
              <w:rPr>
                <w:rFonts w:ascii="Arial" w:hAnsi="Arial" w:eastAsia="等线" w:cs="Times New Roman"/>
                <w:sz w:val="18"/>
                <w:lang w:val="zh-CN" w:eastAsia="en-US" w:bidi="ar-SA"/>
              </w:rPr>
              <w:t>15</w:t>
            </w:r>
          </w:p>
        </w:tc>
        <w:tc>
          <w:tcPr>
            <w:tcW w:w="844" w:type="pct"/>
            <w:vAlign w:val="top"/>
          </w:tcPr>
          <w:p w14:paraId="39CA7FBA">
            <w:pPr>
              <w:keepNext/>
              <w:keepLines/>
              <w:spacing w:before="120" w:after="0" w:line="280" w:lineRule="atLeast"/>
              <w:jc w:val="center"/>
              <w:rPr>
                <w:rFonts w:ascii="Arial" w:hAnsi="Arial" w:eastAsia="等线" w:cs="Times New Roman"/>
                <w:b w:val="0"/>
                <w:bCs/>
                <w:sz w:val="18"/>
                <w:lang w:val="zh-CN" w:eastAsia="en-US" w:bidi="ar-SA"/>
              </w:rPr>
            </w:pPr>
            <w:r>
              <w:rPr>
                <w:rFonts w:hint="eastAsia" w:ascii="Arial" w:hAnsi="Arial" w:eastAsia="等线" w:cs="Times New Roman"/>
                <w:b w:val="0"/>
                <w:bCs/>
                <w:sz w:val="18"/>
                <w:lang w:val="en-US" w:eastAsia="zh-CN" w:bidi="ar-SA"/>
              </w:rPr>
              <w:t>200</w:t>
            </w:r>
          </w:p>
        </w:tc>
        <w:tc>
          <w:tcPr>
            <w:tcW w:w="624" w:type="pct"/>
            <w:vAlign w:val="center"/>
          </w:tcPr>
          <w:p w14:paraId="720338E9">
            <w:pPr>
              <w:keepNext/>
              <w:keepLines/>
              <w:spacing w:before="120" w:after="0" w:line="280" w:lineRule="atLeast"/>
              <w:jc w:val="center"/>
              <w:rPr>
                <w:rFonts w:ascii="Arial" w:hAnsi="Arial" w:eastAsia="Yu Mincho" w:cs="Times New Roman"/>
                <w:b w:val="0"/>
                <w:bCs/>
                <w:sz w:val="18"/>
                <w:lang w:val="zh-CN" w:eastAsia="en-US" w:bidi="ar-SA"/>
              </w:rPr>
            </w:pPr>
            <w:r>
              <w:rPr>
                <w:rFonts w:hint="eastAsia" w:ascii="Arial" w:hAnsi="Arial" w:eastAsia="等线" w:cs="Times New Roman"/>
                <w:b w:val="0"/>
                <w:bCs/>
                <w:sz w:val="18"/>
                <w:lang w:val="en-US" w:eastAsia="zh-CN" w:bidi="ar-SA"/>
              </w:rPr>
              <w:t>400</w:t>
            </w:r>
          </w:p>
        </w:tc>
        <w:tc>
          <w:tcPr>
            <w:tcW w:w="614" w:type="pct"/>
            <w:vAlign w:val="center"/>
          </w:tcPr>
          <w:p w14:paraId="41438D47">
            <w:pPr>
              <w:keepNext/>
              <w:keepLines/>
              <w:spacing w:before="120" w:after="0" w:line="280" w:lineRule="atLeast"/>
              <w:jc w:val="center"/>
              <w:rPr>
                <w:rFonts w:ascii="Arial" w:hAnsi="Arial" w:eastAsia="Yu Mincho" w:cs="Times New Roman"/>
                <w:b w:val="0"/>
                <w:bCs/>
                <w:sz w:val="18"/>
                <w:lang w:val="zh-CN" w:eastAsia="en-US" w:bidi="ar-SA"/>
              </w:rPr>
            </w:pPr>
            <w:r>
              <w:rPr>
                <w:rFonts w:hint="eastAsia" w:ascii="Arial" w:hAnsi="Arial" w:eastAsia="等线" w:cs="Times New Roman"/>
                <w:b w:val="0"/>
                <w:bCs/>
                <w:sz w:val="18"/>
                <w:lang w:val="en-US" w:eastAsia="zh-CN" w:bidi="ar-SA"/>
              </w:rPr>
              <w:t>600</w:t>
            </w:r>
          </w:p>
        </w:tc>
        <w:tc>
          <w:tcPr>
            <w:tcW w:w="655" w:type="pct"/>
            <w:vAlign w:val="center"/>
          </w:tcPr>
          <w:p w14:paraId="2591E88A">
            <w:pPr>
              <w:keepNext/>
              <w:keepLines/>
              <w:spacing w:before="120" w:after="0" w:line="280" w:lineRule="atLeast"/>
              <w:jc w:val="center"/>
              <w:rPr>
                <w:rFonts w:ascii="Arial" w:hAnsi="Arial" w:eastAsia="Yu Mincho" w:cs="Times New Roman"/>
                <w:b w:val="0"/>
                <w:bCs/>
                <w:sz w:val="18"/>
                <w:lang w:val="zh-CN" w:eastAsia="en-US" w:bidi="ar-SA"/>
              </w:rPr>
            </w:pPr>
            <w:r>
              <w:rPr>
                <w:rFonts w:hint="eastAsia" w:ascii="Arial" w:hAnsi="Arial" w:eastAsia="等线" w:cs="Times New Roman"/>
                <w:b w:val="0"/>
                <w:bCs/>
                <w:sz w:val="18"/>
                <w:lang w:val="en-US" w:eastAsia="zh-CN" w:bidi="ar-SA"/>
              </w:rPr>
              <w:t>800</w:t>
            </w:r>
          </w:p>
        </w:tc>
      </w:tr>
    </w:tbl>
    <w:p w14:paraId="7ED72922">
      <w:pPr>
        <w:widowControl/>
        <w:spacing w:after="180"/>
        <w:jc w:val="left"/>
        <w:rPr>
          <w:rFonts w:ascii="Times New Roman" w:hAnsi="Times New Roman" w:eastAsia="等线" w:cs="Times New Roman"/>
          <w:kern w:val="0"/>
          <w:sz w:val="20"/>
          <w:szCs w:val="20"/>
          <w:lang w:val="en-GB" w:eastAsia="en-US"/>
        </w:rPr>
      </w:pPr>
    </w:p>
    <w:p w14:paraId="5A091276">
      <w:pPr>
        <w:widowControl/>
        <w:spacing w:after="180"/>
        <w:jc w:val="left"/>
        <w:rPr>
          <w:rFonts w:ascii="Times New Roman" w:hAnsi="Times New Roman" w:eastAsia="等线" w:cs="Times New Roman"/>
          <w:kern w:val="0"/>
          <w:sz w:val="20"/>
          <w:szCs w:val="20"/>
          <w:lang w:val="en-GB" w:eastAsia="zh-CN"/>
        </w:rPr>
      </w:pPr>
    </w:p>
    <w:p w14:paraId="19D2C7E9">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---End of changes---</w:t>
      </w:r>
    </w:p>
    <w:p w14:paraId="473C00E8">
      <w:pPr>
        <w:widowControl w:val="0"/>
        <w:numPr>
          <w:ilvl w:val="0"/>
          <w:numId w:val="0"/>
        </w:numPr>
        <w:tabs>
          <w:tab w:val="right" w:pos="10440"/>
          <w:tab w:val="right" w:pos="13323"/>
        </w:tabs>
        <w:jc w:val="left"/>
        <w:rPr>
          <w:rFonts w:hint="eastAsia" w:ascii="Times New Roman" w:hAnsi="Times New Roman"/>
          <w:sz w:val="20"/>
          <w:szCs w:val="20"/>
        </w:rPr>
      </w:pPr>
    </w:p>
    <w:sectPr>
      <w:headerReference r:id="rId5"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chunxia Guo" w:date="2025-05-09T10:24:55Z" w:initials="c">
    <w:p w14:paraId="7A611BD0">
      <w:pPr>
        <w:spacing w:after="180"/>
        <w:rPr>
          <w:rFonts w:hint="default"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no need for A-IoT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A611BD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C5AA2678"/>
    <w:multiLevelType w:val="singleLevel"/>
    <w:tmpl w:val="C5AA2678"/>
    <w:lvl w:ilvl="0" w:tentative="0">
      <w:start w:val="1"/>
      <w:numFmt w:val="decimal"/>
      <w:lvlText w:val="%1)"/>
      <w:lvlJc w:val="left"/>
      <w:pPr>
        <w:tabs>
          <w:tab w:val="left" w:pos="312"/>
        </w:tabs>
      </w:p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5">
    <w:nsid w:val="2CD854A2"/>
    <w:multiLevelType w:val="singleLevel"/>
    <w:tmpl w:val="2CD854A2"/>
    <w:lvl w:ilvl="0" w:tentative="0">
      <w:start w:val="1"/>
      <w:numFmt w:val="decimal"/>
      <w:lvlText w:val="%1)"/>
      <w:lvlJc w:val="left"/>
      <w:pPr>
        <w:tabs>
          <w:tab w:val="left" w:pos="312"/>
        </w:tabs>
      </w:pPr>
    </w:lvl>
  </w:abstractNum>
  <w:abstractNum w:abstractNumId="6">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3"/>
  </w:num>
  <w:num w:numId="4">
    <w:abstractNumId w:val="0"/>
  </w:num>
  <w:num w:numId="5">
    <w:abstractNumId w:val="4"/>
  </w:num>
  <w:num w:numId="6">
    <w:abstractNumId w:val="5"/>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0C42D8"/>
    <w:rsid w:val="053C405B"/>
    <w:rsid w:val="0551724E"/>
    <w:rsid w:val="056F5AD7"/>
    <w:rsid w:val="05781409"/>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505AC"/>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3E1CA5"/>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1D3E69"/>
    <w:rsid w:val="12213A4B"/>
    <w:rsid w:val="122946DB"/>
    <w:rsid w:val="12312BE4"/>
    <w:rsid w:val="12750F57"/>
    <w:rsid w:val="12771D3B"/>
    <w:rsid w:val="12897C74"/>
    <w:rsid w:val="129C3395"/>
    <w:rsid w:val="12A00A29"/>
    <w:rsid w:val="12E83AF4"/>
    <w:rsid w:val="131A26ED"/>
    <w:rsid w:val="131A32BC"/>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986E94"/>
    <w:rsid w:val="159A07FF"/>
    <w:rsid w:val="15A85596"/>
    <w:rsid w:val="15CD7D54"/>
    <w:rsid w:val="15D00CD9"/>
    <w:rsid w:val="15E450B5"/>
    <w:rsid w:val="16371982"/>
    <w:rsid w:val="163D388B"/>
    <w:rsid w:val="16456719"/>
    <w:rsid w:val="16573EC2"/>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D6077B"/>
    <w:rsid w:val="17E44EC0"/>
    <w:rsid w:val="17F263D4"/>
    <w:rsid w:val="17F52BDC"/>
    <w:rsid w:val="180D2D20"/>
    <w:rsid w:val="180E3E11"/>
    <w:rsid w:val="18197DDC"/>
    <w:rsid w:val="182249A5"/>
    <w:rsid w:val="182269B6"/>
    <w:rsid w:val="183A0ACF"/>
    <w:rsid w:val="18642373"/>
    <w:rsid w:val="187831B6"/>
    <w:rsid w:val="18834ED9"/>
    <w:rsid w:val="188F2DDB"/>
    <w:rsid w:val="18A26E83"/>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EA2700"/>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0931"/>
    <w:rsid w:val="1EDC50AE"/>
    <w:rsid w:val="1EFE1319"/>
    <w:rsid w:val="1F0C367F"/>
    <w:rsid w:val="1F0D1045"/>
    <w:rsid w:val="1F1F489E"/>
    <w:rsid w:val="1F2F076D"/>
    <w:rsid w:val="1F57027B"/>
    <w:rsid w:val="1F5B6C81"/>
    <w:rsid w:val="1F69275D"/>
    <w:rsid w:val="1F8B19CE"/>
    <w:rsid w:val="1FD10727"/>
    <w:rsid w:val="1FFB17BC"/>
    <w:rsid w:val="20044EA0"/>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5A145E"/>
    <w:rsid w:val="216C01F4"/>
    <w:rsid w:val="219168A1"/>
    <w:rsid w:val="21A60DC4"/>
    <w:rsid w:val="21B038D2"/>
    <w:rsid w:val="21D70408"/>
    <w:rsid w:val="2216237D"/>
    <w:rsid w:val="221D0ABA"/>
    <w:rsid w:val="221E7789"/>
    <w:rsid w:val="223076A3"/>
    <w:rsid w:val="22621177"/>
    <w:rsid w:val="22862B38"/>
    <w:rsid w:val="228B3B2E"/>
    <w:rsid w:val="22A144DF"/>
    <w:rsid w:val="22AE1A04"/>
    <w:rsid w:val="22CE62A8"/>
    <w:rsid w:val="22E55ECD"/>
    <w:rsid w:val="22E61751"/>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8B245F"/>
    <w:rsid w:val="24C36C6D"/>
    <w:rsid w:val="24CD15F1"/>
    <w:rsid w:val="24D50BFC"/>
    <w:rsid w:val="250003E1"/>
    <w:rsid w:val="254734B9"/>
    <w:rsid w:val="254E0ABD"/>
    <w:rsid w:val="25641764"/>
    <w:rsid w:val="257B1B2B"/>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03412"/>
    <w:rsid w:val="2A144016"/>
    <w:rsid w:val="2A241E56"/>
    <w:rsid w:val="2A24682F"/>
    <w:rsid w:val="2A270F8C"/>
    <w:rsid w:val="2A282CB7"/>
    <w:rsid w:val="2A2B7D4F"/>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48357E"/>
    <w:rsid w:val="2B6A6B46"/>
    <w:rsid w:val="2B7042D3"/>
    <w:rsid w:val="2B770F05"/>
    <w:rsid w:val="2B7A5997"/>
    <w:rsid w:val="2B807A80"/>
    <w:rsid w:val="2B833767"/>
    <w:rsid w:val="2BBE65D0"/>
    <w:rsid w:val="2BCE466D"/>
    <w:rsid w:val="2C0547C6"/>
    <w:rsid w:val="2C380499"/>
    <w:rsid w:val="2C3E1AC5"/>
    <w:rsid w:val="2C3E4DCC"/>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4F63CF"/>
    <w:rsid w:val="30524DF2"/>
    <w:rsid w:val="305E446B"/>
    <w:rsid w:val="306B7868"/>
    <w:rsid w:val="30781792"/>
    <w:rsid w:val="3099089E"/>
    <w:rsid w:val="30A563A3"/>
    <w:rsid w:val="30B97FFD"/>
    <w:rsid w:val="30D32C5B"/>
    <w:rsid w:val="30E346C5"/>
    <w:rsid w:val="310834EC"/>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2F231CD"/>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6EF0D3E"/>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479BB"/>
    <w:rsid w:val="39B62EBE"/>
    <w:rsid w:val="39BC6470"/>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092B"/>
    <w:rsid w:val="408D7F6C"/>
    <w:rsid w:val="409233E6"/>
    <w:rsid w:val="40B04E56"/>
    <w:rsid w:val="40C34B2E"/>
    <w:rsid w:val="40C60753"/>
    <w:rsid w:val="40C761D4"/>
    <w:rsid w:val="40D01062"/>
    <w:rsid w:val="40D15800"/>
    <w:rsid w:val="40D24565"/>
    <w:rsid w:val="40D50D6D"/>
    <w:rsid w:val="40D74270"/>
    <w:rsid w:val="410113A2"/>
    <w:rsid w:val="4115648E"/>
    <w:rsid w:val="41383010"/>
    <w:rsid w:val="414848BB"/>
    <w:rsid w:val="415D4149"/>
    <w:rsid w:val="41634B1C"/>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3813F3"/>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24958"/>
    <w:rsid w:val="454416D4"/>
    <w:rsid w:val="45595C53"/>
    <w:rsid w:val="455E7EDC"/>
    <w:rsid w:val="45830A1B"/>
    <w:rsid w:val="458A4224"/>
    <w:rsid w:val="458D51A8"/>
    <w:rsid w:val="459B4244"/>
    <w:rsid w:val="45A33E4B"/>
    <w:rsid w:val="45A94422"/>
    <w:rsid w:val="45B253E8"/>
    <w:rsid w:val="45CC5F92"/>
    <w:rsid w:val="46236563"/>
    <w:rsid w:val="465C2D4B"/>
    <w:rsid w:val="465C457C"/>
    <w:rsid w:val="465D6D3A"/>
    <w:rsid w:val="46641988"/>
    <w:rsid w:val="466A6809"/>
    <w:rsid w:val="467609A9"/>
    <w:rsid w:val="469842A4"/>
    <w:rsid w:val="46B86E94"/>
    <w:rsid w:val="46CB2631"/>
    <w:rsid w:val="46E67A01"/>
    <w:rsid w:val="46F87BA3"/>
    <w:rsid w:val="470F78A3"/>
    <w:rsid w:val="47262D4B"/>
    <w:rsid w:val="474A246F"/>
    <w:rsid w:val="47524F9F"/>
    <w:rsid w:val="47670737"/>
    <w:rsid w:val="477A6F52"/>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400E3C"/>
    <w:rsid w:val="495010D7"/>
    <w:rsid w:val="4955555E"/>
    <w:rsid w:val="49611371"/>
    <w:rsid w:val="497027BF"/>
    <w:rsid w:val="49A21DDA"/>
    <w:rsid w:val="49E430DF"/>
    <w:rsid w:val="49E453DD"/>
    <w:rsid w:val="49EE4458"/>
    <w:rsid w:val="4A09569D"/>
    <w:rsid w:val="4A2137F9"/>
    <w:rsid w:val="4A3C21D9"/>
    <w:rsid w:val="4A521971"/>
    <w:rsid w:val="4A5D5D91"/>
    <w:rsid w:val="4A880DD3"/>
    <w:rsid w:val="4A9B7DF4"/>
    <w:rsid w:val="4A9C4E28"/>
    <w:rsid w:val="4ACF6756"/>
    <w:rsid w:val="4AEC68F9"/>
    <w:rsid w:val="4AF41787"/>
    <w:rsid w:val="4AFF7B18"/>
    <w:rsid w:val="4B254325"/>
    <w:rsid w:val="4B275459"/>
    <w:rsid w:val="4B2941E0"/>
    <w:rsid w:val="4B2D7363"/>
    <w:rsid w:val="4B595378"/>
    <w:rsid w:val="4B7D2F03"/>
    <w:rsid w:val="4BB32D60"/>
    <w:rsid w:val="4BE90D9B"/>
    <w:rsid w:val="4BEF2CA4"/>
    <w:rsid w:val="4BF103A5"/>
    <w:rsid w:val="4BFF2F3E"/>
    <w:rsid w:val="4C205671"/>
    <w:rsid w:val="4C261BDE"/>
    <w:rsid w:val="4C334692"/>
    <w:rsid w:val="4C5D7D69"/>
    <w:rsid w:val="4C660668"/>
    <w:rsid w:val="4C6F730B"/>
    <w:rsid w:val="4C816990"/>
    <w:rsid w:val="4CB579ED"/>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946F0"/>
    <w:rsid w:val="4F2E0B78"/>
    <w:rsid w:val="4F423F95"/>
    <w:rsid w:val="4F4C1158"/>
    <w:rsid w:val="4F601699"/>
    <w:rsid w:val="4F6279AB"/>
    <w:rsid w:val="4FA74FBE"/>
    <w:rsid w:val="4FBF6DE2"/>
    <w:rsid w:val="501555F2"/>
    <w:rsid w:val="501C5F17"/>
    <w:rsid w:val="502D7993"/>
    <w:rsid w:val="502E071A"/>
    <w:rsid w:val="50333494"/>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EE799C"/>
    <w:rsid w:val="53F47B4C"/>
    <w:rsid w:val="53F70AD0"/>
    <w:rsid w:val="5403314B"/>
    <w:rsid w:val="54213B13"/>
    <w:rsid w:val="54240ABF"/>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856B80"/>
    <w:rsid w:val="56941399"/>
    <w:rsid w:val="56962361"/>
    <w:rsid w:val="569F71AC"/>
    <w:rsid w:val="56B1674B"/>
    <w:rsid w:val="56BA15D9"/>
    <w:rsid w:val="56E65920"/>
    <w:rsid w:val="56EF3AF5"/>
    <w:rsid w:val="56F23931"/>
    <w:rsid w:val="56F83407"/>
    <w:rsid w:val="571A4227"/>
    <w:rsid w:val="571E54DC"/>
    <w:rsid w:val="572210F5"/>
    <w:rsid w:val="57227F2C"/>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30463D"/>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E250B9"/>
    <w:rsid w:val="5AE65E30"/>
    <w:rsid w:val="5B076365"/>
    <w:rsid w:val="5B0B677A"/>
    <w:rsid w:val="5B122177"/>
    <w:rsid w:val="5B2F7529"/>
    <w:rsid w:val="5B81246B"/>
    <w:rsid w:val="5B814DBA"/>
    <w:rsid w:val="5B8931D8"/>
    <w:rsid w:val="5BBA168B"/>
    <w:rsid w:val="5BBD01B3"/>
    <w:rsid w:val="5BC62F1F"/>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80653E"/>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139CC"/>
    <w:rsid w:val="623B4768"/>
    <w:rsid w:val="623E513D"/>
    <w:rsid w:val="62563CE5"/>
    <w:rsid w:val="62D005C0"/>
    <w:rsid w:val="62E47AC9"/>
    <w:rsid w:val="63097D09"/>
    <w:rsid w:val="63192522"/>
    <w:rsid w:val="634241C2"/>
    <w:rsid w:val="6350047D"/>
    <w:rsid w:val="63723EB5"/>
    <w:rsid w:val="63852ED6"/>
    <w:rsid w:val="63A84BAA"/>
    <w:rsid w:val="63AC7512"/>
    <w:rsid w:val="63BB0C13"/>
    <w:rsid w:val="6412053C"/>
    <w:rsid w:val="64430D0B"/>
    <w:rsid w:val="648065F1"/>
    <w:rsid w:val="64864BE4"/>
    <w:rsid w:val="64971BDD"/>
    <w:rsid w:val="64B607D2"/>
    <w:rsid w:val="64BA3B41"/>
    <w:rsid w:val="64C151DF"/>
    <w:rsid w:val="64D71010"/>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175E7"/>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55325"/>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651D63"/>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C032CE"/>
    <w:rsid w:val="71F039A4"/>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8E466E"/>
    <w:rsid w:val="73950D2D"/>
    <w:rsid w:val="73A57DF9"/>
    <w:rsid w:val="73A744CA"/>
    <w:rsid w:val="73AC617D"/>
    <w:rsid w:val="73CC19D5"/>
    <w:rsid w:val="74126445"/>
    <w:rsid w:val="741A7D2C"/>
    <w:rsid w:val="74486D25"/>
    <w:rsid w:val="744978D7"/>
    <w:rsid w:val="746016FA"/>
    <w:rsid w:val="74694588"/>
    <w:rsid w:val="746C550D"/>
    <w:rsid w:val="748E4C46"/>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312740"/>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4D17B6"/>
    <w:rsid w:val="7A6A7A61"/>
    <w:rsid w:val="7A7C0DAF"/>
    <w:rsid w:val="7A7D4CC5"/>
    <w:rsid w:val="7A931F2A"/>
    <w:rsid w:val="7AC04CBB"/>
    <w:rsid w:val="7ACC0CD4"/>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C444A"/>
    <w:rsid w:val="7D9E7791"/>
    <w:rsid w:val="7DA22244"/>
    <w:rsid w:val="7DBC28DE"/>
    <w:rsid w:val="7DC50AE8"/>
    <w:rsid w:val="7DCE3976"/>
    <w:rsid w:val="7DFB0564"/>
    <w:rsid w:val="7E0B59D9"/>
    <w:rsid w:val="7E1178E2"/>
    <w:rsid w:val="7E4C3A0F"/>
    <w:rsid w:val="7E4C3A98"/>
    <w:rsid w:val="7E4C4244"/>
    <w:rsid w:val="7E4F51C9"/>
    <w:rsid w:val="7E9E07CB"/>
    <w:rsid w:val="7EDD5D31"/>
    <w:rsid w:val="7F012A6E"/>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B755B"/>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7"/>
    <w:unhideWhenUsed/>
    <w:qFormat/>
    <w:uiPriority w:val="9"/>
    <w:pPr>
      <w:keepNext/>
      <w:keepLines/>
      <w:spacing w:before="50" w:beforeLines="50" w:after="50" w:afterLines="50"/>
      <w:outlineLvl w:val="2"/>
    </w:pPr>
    <w:rPr>
      <w:rFonts w:ascii="Arial" w:hAnsi="Arial" w:eastAsia="Arial Unicode MS"/>
      <w:sz w:val="30"/>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51"/>
    <w:semiHidden/>
    <w:unhideWhenUsed/>
    <w:qFormat/>
    <w:uiPriority w:val="9"/>
    <w:pPr>
      <w:keepNext/>
      <w:keepLines/>
      <w:spacing w:before="280" w:after="290" w:line="376" w:lineRule="auto"/>
      <w:outlineLvl w:val="4"/>
    </w:pPr>
    <w:rPr>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0"/>
    <w:semiHidden/>
    <w:unhideWhenUsed/>
    <w:qFormat/>
    <w:uiPriority w:val="99"/>
    <w:rPr>
      <w:rFonts w:ascii="宋体"/>
      <w:sz w:val="18"/>
      <w:szCs w:val="18"/>
    </w:rPr>
  </w:style>
  <w:style w:type="paragraph" w:styleId="9">
    <w:name w:val="annotation text"/>
    <w:basedOn w:val="1"/>
    <w:link w:val="38"/>
    <w:unhideWhenUsed/>
    <w:qFormat/>
    <w:uiPriority w:val="0"/>
    <w:pPr>
      <w:jc w:val="left"/>
    </w:p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9"/>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8"/>
    <w:semiHidden/>
    <w:qFormat/>
    <w:uiPriority w:val="99"/>
    <w:rPr>
      <w:rFonts w:ascii="宋体" w:hAnsi="CG Times (WN)" w:eastAsia="宋体" w:cs="Times New Roman"/>
      <w:sz w:val="18"/>
      <w:szCs w:val="18"/>
    </w:rPr>
  </w:style>
  <w:style w:type="character" w:customStyle="1" w:styleId="41">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6"/>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link w:val="7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3">
    <w:name w:val="SGS Table Basic 11"/>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2"/>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SGS Table Basic 13"/>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7">
    <w:name w:val="SGS Table Basic 14"/>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5"/>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6"/>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SGS Table Basic 17"/>
    <w:basedOn w:val="17"/>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
    <w:name w:val="EQ Char"/>
    <w:link w:val="53"/>
    <w:qFormat/>
    <w:locked/>
    <w:uiPriority w:val="0"/>
    <w:rPr>
      <w:rFonts w:ascii="CG Times (WN)" w:hAnsi="CG Times (WN)"/>
      <w:kern w:val="2"/>
      <w:sz w:val="21"/>
      <w:szCs w:val="22"/>
    </w:rPr>
  </w:style>
  <w:style w:type="paragraph" w:customStyle="1" w:styleId="72">
    <w:name w:val="TF"/>
    <w:basedOn w:val="52"/>
    <w:qFormat/>
    <w:uiPriority w:val="0"/>
    <w:pPr>
      <w:keepNext w:val="0"/>
      <w:spacing w:before="0" w:after="240"/>
    </w:pPr>
  </w:style>
  <w:style w:type="paragraph" w:customStyle="1" w:styleId="73">
    <w:name w:val="NO"/>
    <w:basedOn w:val="1"/>
    <w:qFormat/>
    <w:uiPriority w:val="0"/>
    <w:pPr>
      <w:keepLines/>
      <w:ind w:left="1135" w:hanging="851"/>
    </w:pPr>
    <w:rPr>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10</Pages>
  <Words>1578</Words>
  <Characters>9001</Characters>
  <Lines>75</Lines>
  <Paragraphs>21</Paragraphs>
  <TotalTime>4</TotalTime>
  <ScaleCrop>false</ScaleCrop>
  <LinksUpToDate>false</LinksUpToDate>
  <CharactersWithSpaces>10558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2025-05-09T02:41:09Z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499EC903079A4441A4305556AC4D5E41_13</vt:lpwstr>
  </property>
</Properties>
</file>