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024C8" w14:textId="2F3EDCE2" w:rsidR="001936DE" w:rsidRDefault="001936DE" w:rsidP="001936DE">
      <w:pPr>
        <w:spacing w:after="120"/>
        <w:ind w:left="1985" w:hanging="1985"/>
        <w:jc w:val="both"/>
        <w:rPr>
          <w:rFonts w:ascii="Arial" w:eastAsiaTheme="minorEastAsia" w:hAnsi="Arial" w:cs="Arial"/>
          <w:b/>
        </w:rPr>
      </w:pPr>
      <w:bookmarkStart w:id="0" w:name="_Hlk193925044"/>
      <w:r>
        <w:rPr>
          <w:rFonts w:ascii="Arial" w:eastAsiaTheme="minorEastAsia" w:hAnsi="Arial" w:cs="Arial"/>
          <w:b/>
        </w:rPr>
        <w:t>3GPP TSG-RAN WG4 Meeting #114-bis</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Pr="00170761">
        <w:rPr>
          <w:rFonts w:ascii="Arial" w:eastAsiaTheme="minorEastAsia" w:hAnsi="Arial" w:cs="Arial"/>
          <w:b/>
        </w:rPr>
        <w:t>2</w:t>
      </w:r>
      <w:r>
        <w:rPr>
          <w:rFonts w:ascii="Arial" w:eastAsiaTheme="minorEastAsia" w:hAnsi="Arial" w:cs="Arial"/>
          <w:b/>
        </w:rPr>
        <w:t>5</w:t>
      </w:r>
      <w:r w:rsidR="000E5CC5">
        <w:rPr>
          <w:rFonts w:ascii="Arial" w:eastAsiaTheme="minorEastAsia" w:hAnsi="Arial" w:cs="Arial"/>
          <w:b/>
        </w:rPr>
        <w:t>04584</w:t>
      </w:r>
    </w:p>
    <w:p w14:paraId="5A3FC18E" w14:textId="77777777" w:rsidR="001936DE" w:rsidRDefault="001936DE" w:rsidP="001936DE">
      <w:pPr>
        <w:spacing w:after="120"/>
        <w:ind w:left="1985" w:hanging="1985"/>
        <w:jc w:val="both"/>
        <w:rPr>
          <w:rFonts w:ascii="Arial" w:eastAsiaTheme="minorEastAsia" w:hAnsi="Arial" w:cs="Arial"/>
          <w:b/>
        </w:rPr>
      </w:pPr>
      <w:r>
        <w:rPr>
          <w:rFonts w:ascii="Arial" w:eastAsiaTheme="minorEastAsia" w:hAnsi="Arial" w:cs="Arial"/>
          <w:b/>
        </w:rPr>
        <w:t>Wuhan, China, April</w:t>
      </w:r>
      <w:r>
        <w:rPr>
          <w:rFonts w:ascii="Arial" w:hAnsi="Arial" w:cs="Arial"/>
          <w:b/>
        </w:rPr>
        <w:t xml:space="preserve"> 7 </w:t>
      </w:r>
      <w:r>
        <w:rPr>
          <w:rFonts w:ascii="Arial" w:hAnsi="Arial" w:cs="Arial"/>
          <w:b/>
          <w:bCs/>
        </w:rPr>
        <w:t xml:space="preserve">– </w:t>
      </w:r>
      <w:r>
        <w:rPr>
          <w:rFonts w:ascii="Arial" w:hAnsi="Arial" w:cs="Arial"/>
          <w:b/>
        </w:rPr>
        <w:t>11</w:t>
      </w:r>
      <w:r>
        <w:rPr>
          <w:rFonts w:ascii="Arial" w:hAnsi="Arial" w:cs="Arial"/>
          <w:b/>
          <w:bCs/>
        </w:rPr>
        <w:t>, 2025</w:t>
      </w:r>
    </w:p>
    <w:bookmarkEnd w:id="0"/>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0FA0ACA9"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A95211">
        <w:rPr>
          <w:rFonts w:ascii="Arial" w:eastAsiaTheme="minorEastAsia" w:hAnsi="Arial" w:cs="Arial"/>
          <w:color w:val="000000"/>
          <w:sz w:val="22"/>
        </w:rPr>
        <w:t>7</w:t>
      </w:r>
      <w:r w:rsidR="0019209A">
        <w:rPr>
          <w:rFonts w:ascii="Arial" w:eastAsiaTheme="minorEastAsia" w:hAnsi="Arial" w:cs="Arial"/>
          <w:color w:val="000000"/>
          <w:sz w:val="22"/>
        </w:rPr>
        <w:t>.</w:t>
      </w:r>
      <w:r w:rsidR="00163EA9">
        <w:rPr>
          <w:rFonts w:ascii="Arial" w:eastAsiaTheme="minorEastAsia" w:hAnsi="Arial" w:cs="Arial"/>
          <w:color w:val="000000"/>
          <w:sz w:val="22"/>
        </w:rPr>
        <w:t>10</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895C20">
        <w:rPr>
          <w:rFonts w:ascii="Arial" w:eastAsiaTheme="minorEastAsia" w:hAnsi="Arial" w:cs="Arial"/>
          <w:color w:val="000000"/>
          <w:sz w:val="22"/>
        </w:rPr>
        <w:t>2</w:t>
      </w:r>
      <w:r w:rsidR="007E1AA4">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500572F2"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0930DB">
        <w:rPr>
          <w:rFonts w:ascii="Arial" w:eastAsia="MS Mincho" w:hAnsi="Arial" w:cs="Arial"/>
          <w:sz w:val="22"/>
        </w:rPr>
        <w:t xml:space="preserve">the </w:t>
      </w:r>
      <w:r w:rsidR="00895C20">
        <w:rPr>
          <w:rFonts w:ascii="Arial" w:eastAsia="MS Mincho" w:hAnsi="Arial" w:cs="Arial"/>
          <w:sz w:val="22"/>
        </w:rPr>
        <w:t xml:space="preserve">UE RF </w:t>
      </w:r>
      <w:r w:rsidR="005027A6">
        <w:rPr>
          <w:rFonts w:ascii="Arial" w:eastAsia="MS Mincho" w:hAnsi="Arial" w:cs="Arial"/>
          <w:sz w:val="22"/>
        </w:rPr>
        <w:t xml:space="preserve">Tx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7E1AA4">
        <w:rPr>
          <w:rFonts w:ascii="Arial" w:eastAsia="MS Mincho" w:hAnsi="Arial" w:cs="Arial"/>
          <w:sz w:val="22"/>
        </w:rPr>
        <w:t>NR-</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3515AEBC" w:rsidR="00361006" w:rsidRDefault="00361006" w:rsidP="00361006">
      <w:pPr>
        <w:spacing w:after="120"/>
        <w:jc w:val="both"/>
        <w:rPr>
          <w:sz w:val="21"/>
          <w:szCs w:val="21"/>
        </w:rPr>
      </w:pPr>
      <w:r>
        <w:rPr>
          <w:sz w:val="21"/>
          <w:szCs w:val="21"/>
        </w:rPr>
        <w:t>In RAN#10</w:t>
      </w:r>
      <w:r w:rsidR="000F5597">
        <w:rPr>
          <w:sz w:val="21"/>
          <w:szCs w:val="21"/>
        </w:rPr>
        <w:t>6</w:t>
      </w:r>
      <w:r>
        <w:rPr>
          <w:sz w:val="21"/>
          <w:szCs w:val="21"/>
        </w:rPr>
        <w:t xml:space="preserve">, a </w:t>
      </w:r>
      <w:r w:rsidR="006A2D4D">
        <w:rPr>
          <w:sz w:val="21"/>
          <w:szCs w:val="21"/>
        </w:rPr>
        <w:t>revised</w:t>
      </w:r>
      <w:r>
        <w:rPr>
          <w:sz w:val="21"/>
          <w:szCs w:val="21"/>
        </w:rPr>
        <w:t xml:space="preserve"> WID has been approved for “</w:t>
      </w:r>
      <w:r w:rsidR="00755DC2" w:rsidRPr="00755DC2">
        <w:rPr>
          <w:sz w:val="21"/>
          <w:szCs w:val="21"/>
        </w:rPr>
        <w:t>Enhanced requirements and conductive test methodology for NR NTN and IoT NTN</w:t>
      </w:r>
      <w:r>
        <w:rPr>
          <w:sz w:val="21"/>
          <w:szCs w:val="21"/>
        </w:rPr>
        <w:t>” WI</w:t>
      </w:r>
      <w:r w:rsidR="006A2D4D">
        <w:rPr>
          <w:sz w:val="21"/>
          <w:szCs w:val="21"/>
        </w:rPr>
        <w:t xml:space="preserve"> [1]</w:t>
      </w:r>
      <w:r w:rsidRPr="009118AB">
        <w:rPr>
          <w:sz w:val="21"/>
          <w:szCs w:val="21"/>
        </w:rPr>
        <w:t>.</w:t>
      </w:r>
      <w:r>
        <w:rPr>
          <w:sz w:val="21"/>
          <w:szCs w:val="21"/>
        </w:rPr>
        <w:t xml:space="preserve"> One of the three </w:t>
      </w:r>
      <w:r w:rsidR="00755DC2">
        <w:rPr>
          <w:sz w:val="21"/>
          <w:szCs w:val="21"/>
        </w:rPr>
        <w:t xml:space="preserve">working areas </w:t>
      </w:r>
      <w:r>
        <w:rPr>
          <w:sz w:val="21"/>
          <w:szCs w:val="21"/>
        </w:rPr>
        <w:t xml:space="preserve">of the WI is to specify </w:t>
      </w:r>
      <w:r w:rsidR="005027A6" w:rsidRPr="005027A6">
        <w:rPr>
          <w:sz w:val="21"/>
          <w:szCs w:val="21"/>
        </w:rPr>
        <w:t>High power UE (HPUE)</w:t>
      </w:r>
      <w:r w:rsidR="00D01B04">
        <w:rPr>
          <w:sz w:val="21"/>
          <w:szCs w:val="21"/>
        </w:rPr>
        <w:t xml:space="preserve"> requirements</w:t>
      </w:r>
      <w:r w:rsidR="005027A6" w:rsidRPr="005027A6">
        <w:rPr>
          <w:sz w:val="21"/>
          <w:szCs w:val="21"/>
        </w:rPr>
        <w:t xml:space="preserve"> for </w:t>
      </w:r>
      <w:r w:rsidR="00D01B04">
        <w:rPr>
          <w:sz w:val="21"/>
          <w:szCs w:val="21"/>
        </w:rPr>
        <w:t>NR-</w:t>
      </w:r>
      <w:r w:rsidR="005027A6" w:rsidRPr="005027A6">
        <w:rPr>
          <w:sz w:val="21"/>
          <w:szCs w:val="21"/>
        </w:rPr>
        <w:t>NTN</w:t>
      </w:r>
      <w:r w:rsidR="005027A6">
        <w:rPr>
          <w:sz w:val="21"/>
          <w:szCs w:val="21"/>
        </w:rPr>
        <w:t xml:space="preserve"> </w:t>
      </w:r>
      <w:r>
        <w:rPr>
          <w:sz w:val="21"/>
          <w:szCs w:val="21"/>
        </w:rPr>
        <w:t>with the following objectives:</w:t>
      </w:r>
    </w:p>
    <w:p w14:paraId="4F627C66" w14:textId="77777777" w:rsidR="005027A6" w:rsidRPr="005027A6" w:rsidRDefault="005027A6" w:rsidP="005027A6">
      <w:pPr>
        <w:numPr>
          <w:ilvl w:val="0"/>
          <w:numId w:val="14"/>
        </w:numPr>
        <w:spacing w:after="120"/>
        <w:jc w:val="both"/>
        <w:rPr>
          <w:rFonts w:eastAsia="MS Mincho"/>
          <w:i/>
          <w:iCs/>
          <w:sz w:val="21"/>
          <w:szCs w:val="21"/>
        </w:rPr>
      </w:pPr>
      <w:r w:rsidRPr="005027A6">
        <w:rPr>
          <w:rFonts w:eastAsia="MS Mincho"/>
          <w:i/>
          <w:iCs/>
          <w:sz w:val="21"/>
          <w:szCs w:val="21"/>
        </w:rPr>
        <w:t xml:space="preserve">Specify high power UE (HPUE) for NR-NTN (Non-Terrestrial Networks) and IoT-NTN (NB-IoT and </w:t>
      </w:r>
      <w:proofErr w:type="spellStart"/>
      <w:r w:rsidRPr="005027A6">
        <w:rPr>
          <w:rFonts w:eastAsia="MS Mincho"/>
          <w:i/>
          <w:iCs/>
          <w:sz w:val="21"/>
          <w:szCs w:val="21"/>
        </w:rPr>
        <w:t>eMTC</w:t>
      </w:r>
      <w:proofErr w:type="spellEnd"/>
      <w:r w:rsidRPr="005027A6">
        <w:rPr>
          <w:rFonts w:eastAsia="MS Mincho"/>
          <w:i/>
          <w:iCs/>
          <w:sz w:val="21"/>
          <w:szCs w:val="21"/>
        </w:rPr>
        <w:t xml:space="preserve"> based NTN) in FR1-NTN bands and the corresponding LTE NTN bands for the single uplink (UL) carrier scenario</w:t>
      </w:r>
    </w:p>
    <w:p w14:paraId="104B296D"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2E81024E"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26423DA8"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Non-</w:t>
      </w:r>
      <w:proofErr w:type="gramStart"/>
      <w:r w:rsidRPr="005027A6">
        <w:rPr>
          <w:rFonts w:eastAsia="MS Mincho"/>
          <w:i/>
          <w:iCs/>
          <w:sz w:val="21"/>
          <w:szCs w:val="21"/>
        </w:rPr>
        <w:t>hand held</w:t>
      </w:r>
      <w:proofErr w:type="gramEnd"/>
      <w:r w:rsidRPr="005027A6">
        <w:rPr>
          <w:rFonts w:eastAsia="MS Mincho"/>
          <w:i/>
          <w:iCs/>
          <w:sz w:val="21"/>
          <w:szCs w:val="21"/>
        </w:rPr>
        <w:t xml:space="preserve"> UE is prioritized</w:t>
      </w:r>
    </w:p>
    <w:p w14:paraId="56442F45"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10D650B9"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08E376D8"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1952E156"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1B9B61CF"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3303F334"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3995E3CA" w14:textId="77777777" w:rsidR="005027A6" w:rsidRPr="005027A6" w:rsidRDefault="005027A6" w:rsidP="005027A6">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2E5C1AAC" w14:textId="54ABD5FA" w:rsidR="00FA132C" w:rsidRPr="00770531" w:rsidRDefault="00361006" w:rsidP="00E821A1">
      <w:pPr>
        <w:spacing w:after="120"/>
        <w:jc w:val="both"/>
        <w:rPr>
          <w:sz w:val="21"/>
          <w:szCs w:val="21"/>
        </w:rPr>
      </w:pPr>
      <w:r>
        <w:rPr>
          <w:sz w:val="21"/>
          <w:szCs w:val="21"/>
        </w:rPr>
        <w:t xml:space="preserve">In this contribution, we </w:t>
      </w:r>
      <w:r w:rsidR="00D01B04">
        <w:rPr>
          <w:sz w:val="21"/>
          <w:szCs w:val="21"/>
        </w:rPr>
        <w:t xml:space="preserve">discuss the </w:t>
      </w:r>
      <w:r w:rsidR="006335D8">
        <w:rPr>
          <w:sz w:val="21"/>
          <w:szCs w:val="21"/>
        </w:rPr>
        <w:t xml:space="preserve">open issues on </w:t>
      </w:r>
      <w:r w:rsidR="00D01B04">
        <w:rPr>
          <w:sz w:val="21"/>
          <w:szCs w:val="21"/>
        </w:rPr>
        <w:t>UE RF</w:t>
      </w:r>
      <w:r w:rsidR="00E07EA8">
        <w:rPr>
          <w:sz w:val="21"/>
          <w:szCs w:val="21"/>
        </w:rPr>
        <w:t xml:space="preserve"> </w:t>
      </w:r>
      <w:r w:rsidR="005027A6">
        <w:rPr>
          <w:sz w:val="21"/>
          <w:szCs w:val="21"/>
        </w:rPr>
        <w:t>Tx</w:t>
      </w:r>
      <w:r w:rsidR="00895C20">
        <w:rPr>
          <w:sz w:val="21"/>
          <w:szCs w:val="21"/>
        </w:rPr>
        <w:t xml:space="preserve"> requirements</w:t>
      </w:r>
      <w:r w:rsidR="00755DC2">
        <w:rPr>
          <w:sz w:val="21"/>
          <w:szCs w:val="21"/>
        </w:rPr>
        <w:t xml:space="preserve"> for </w:t>
      </w:r>
      <w:r w:rsidR="00D01B04">
        <w:rPr>
          <w:sz w:val="21"/>
          <w:szCs w:val="21"/>
        </w:rPr>
        <w:t xml:space="preserve">NR-NTN </w:t>
      </w:r>
      <w:r w:rsidR="00E07EA8">
        <w:rPr>
          <w:sz w:val="21"/>
          <w:szCs w:val="21"/>
        </w:rPr>
        <w:t>HPUE</w:t>
      </w:r>
      <w:r w:rsidR="006335D8">
        <w:rPr>
          <w:sz w:val="21"/>
          <w:szCs w:val="21"/>
        </w:rPr>
        <w:t xml:space="preserve"> from the approved WF </w:t>
      </w:r>
      <w:r w:rsidR="004B082C">
        <w:rPr>
          <w:sz w:val="21"/>
          <w:szCs w:val="21"/>
        </w:rPr>
        <w:t>in</w:t>
      </w:r>
      <w:r w:rsidR="006335D8">
        <w:rPr>
          <w:sz w:val="21"/>
          <w:szCs w:val="21"/>
        </w:rPr>
        <w:t xml:space="preserve"> RAN4#11</w:t>
      </w:r>
      <w:r w:rsidR="00606388">
        <w:rPr>
          <w:sz w:val="21"/>
          <w:szCs w:val="21"/>
        </w:rPr>
        <w:t>4</w:t>
      </w:r>
      <w:r w:rsidR="006335D8">
        <w:rPr>
          <w:sz w:val="21"/>
          <w:szCs w:val="21"/>
        </w:rPr>
        <w:t xml:space="preserve"> [2]</w:t>
      </w:r>
      <w:r w:rsidR="000752F9">
        <w:rPr>
          <w:sz w:val="21"/>
          <w:szCs w:val="21"/>
        </w:rPr>
        <w:t xml:space="preserve">.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0E89908C" w14:textId="1C2B7069" w:rsidR="000F5597" w:rsidRDefault="000F5597" w:rsidP="00A95211">
      <w:pPr>
        <w:overflowPunct w:val="0"/>
        <w:autoSpaceDE w:val="0"/>
        <w:autoSpaceDN w:val="0"/>
        <w:adjustRightInd w:val="0"/>
        <w:spacing w:after="180"/>
        <w:textAlignment w:val="baseline"/>
        <w:rPr>
          <w:bCs/>
          <w:sz w:val="21"/>
          <w:szCs w:val="21"/>
          <w:lang w:val="en-GB" w:eastAsia="ko-KR"/>
        </w:rPr>
      </w:pPr>
      <w:r>
        <w:rPr>
          <w:bCs/>
          <w:sz w:val="21"/>
          <w:szCs w:val="21"/>
          <w:lang w:val="en-GB" w:eastAsia="ko-KR"/>
        </w:rPr>
        <w:t>The following issues have remained for further study:</w:t>
      </w:r>
    </w:p>
    <w:p w14:paraId="16DC82EB" w14:textId="77777777" w:rsidR="00606388" w:rsidRPr="00606388" w:rsidRDefault="00606388" w:rsidP="00606388">
      <w:pPr>
        <w:spacing w:after="180"/>
        <w:rPr>
          <w:rFonts w:eastAsia="SimSun"/>
          <w:b/>
          <w:i/>
          <w:iCs/>
          <w:sz w:val="21"/>
          <w:szCs w:val="21"/>
          <w:u w:val="single"/>
          <w:lang w:val="en-GB" w:eastAsia="en-US"/>
        </w:rPr>
      </w:pPr>
      <w:r w:rsidRPr="00606388">
        <w:rPr>
          <w:rFonts w:eastAsia="SimSun"/>
          <w:b/>
          <w:i/>
          <w:iCs/>
          <w:sz w:val="21"/>
          <w:szCs w:val="21"/>
          <w:u w:val="single"/>
          <w:lang w:val="en-GB" w:eastAsia="en-US"/>
        </w:rPr>
        <w:t>Issue 2-3: NR-NTN PC1</w:t>
      </w:r>
    </w:p>
    <w:p w14:paraId="24971DCE" w14:textId="77777777" w:rsidR="00606388" w:rsidRPr="00606388" w:rsidRDefault="00606388" w:rsidP="00606388">
      <w:pPr>
        <w:spacing w:after="180"/>
        <w:rPr>
          <w:rFonts w:eastAsia="SimSun"/>
          <w:b/>
          <w:bCs/>
          <w:i/>
          <w:iCs/>
          <w:sz w:val="21"/>
          <w:szCs w:val="21"/>
          <w:lang w:val="en-GB" w:eastAsia="en-US"/>
        </w:rPr>
      </w:pPr>
      <w:r w:rsidRPr="00606388">
        <w:rPr>
          <w:rFonts w:eastAsia="SimSun" w:hint="eastAsia"/>
          <w:b/>
          <w:bCs/>
          <w:i/>
          <w:iCs/>
          <w:sz w:val="21"/>
          <w:szCs w:val="21"/>
          <w:lang w:val="en-GB" w:eastAsia="en-US"/>
        </w:rPr>
        <w:t>A</w:t>
      </w:r>
      <w:r w:rsidRPr="00606388">
        <w:rPr>
          <w:rFonts w:eastAsia="SimSun"/>
          <w:b/>
          <w:bCs/>
          <w:i/>
          <w:iCs/>
          <w:sz w:val="21"/>
          <w:szCs w:val="21"/>
          <w:lang w:val="en-GB" w:eastAsia="en-US"/>
        </w:rPr>
        <w:t>greement:</w:t>
      </w:r>
    </w:p>
    <w:p w14:paraId="545F36A9" w14:textId="77777777" w:rsidR="00606388" w:rsidRPr="00606388" w:rsidRDefault="00606388" w:rsidP="00606388">
      <w:pPr>
        <w:numPr>
          <w:ilvl w:val="0"/>
          <w:numId w:val="27"/>
        </w:numPr>
        <w:spacing w:after="180"/>
        <w:rPr>
          <w:rFonts w:eastAsia="MS Mincho"/>
          <w:i/>
          <w:iCs/>
          <w:sz w:val="21"/>
          <w:szCs w:val="21"/>
          <w:lang w:val="en-GB" w:eastAsia="en-US"/>
        </w:rPr>
      </w:pPr>
      <w:r w:rsidRPr="00606388">
        <w:rPr>
          <w:rFonts w:eastAsia="MS Mincho"/>
          <w:i/>
          <w:iCs/>
          <w:sz w:val="21"/>
          <w:szCs w:val="21"/>
          <w:lang w:val="en-GB" w:eastAsia="en-US"/>
        </w:rPr>
        <w:t>RAN4 to consider non-handheld UE with 1Tx and [4Tx] in Rel-19.</w:t>
      </w:r>
    </w:p>
    <w:p w14:paraId="50719691" w14:textId="6AC5CF8A" w:rsidR="000F5597" w:rsidRDefault="00606388" w:rsidP="000F5597">
      <w:pPr>
        <w:rPr>
          <w:sz w:val="21"/>
          <w:szCs w:val="21"/>
          <w:lang w:eastAsia="ja-JP"/>
        </w:rPr>
      </w:pPr>
      <w:r>
        <w:rPr>
          <w:sz w:val="21"/>
          <w:szCs w:val="21"/>
          <w:lang w:eastAsia="ja-JP"/>
        </w:rPr>
        <w:t>For TN, 4Tx support has been specified for non-handheld UEs in Rel-18 for up to PC1.5</w:t>
      </w:r>
      <w:r w:rsidR="000F5597" w:rsidRPr="005123C5">
        <w:rPr>
          <w:sz w:val="21"/>
          <w:szCs w:val="21"/>
          <w:lang w:eastAsia="ja-JP"/>
        </w:rPr>
        <w:t>.</w:t>
      </w:r>
      <w:r>
        <w:rPr>
          <w:sz w:val="21"/>
          <w:szCs w:val="21"/>
          <w:lang w:eastAsia="ja-JP"/>
        </w:rPr>
        <w:t xml:space="preserve"> The main reason for such a limitation in power class was the default PA configuration assumption of 4 x 23 dBm. The support for PC1 would require the support of 4 x 26 dBm PA configuration, where at least for TN it is assumed that it will not be widely available in the</w:t>
      </w:r>
      <w:r w:rsidR="00F54A15">
        <w:rPr>
          <w:sz w:val="21"/>
          <w:szCs w:val="21"/>
          <w:lang w:eastAsia="ja-JP"/>
        </w:rPr>
        <w:t xml:space="preserve"> commercial</w:t>
      </w:r>
      <w:r>
        <w:rPr>
          <w:sz w:val="21"/>
          <w:szCs w:val="21"/>
          <w:lang w:eastAsia="ja-JP"/>
        </w:rPr>
        <w:t xml:space="preserve"> UEs in Rel-19. For that reason, the proposals from the companies for the </w:t>
      </w:r>
      <w:r>
        <w:rPr>
          <w:sz w:val="21"/>
          <w:szCs w:val="21"/>
          <w:lang w:eastAsia="ja-JP"/>
        </w:rPr>
        <w:lastRenderedPageBreak/>
        <w:t xml:space="preserve">support of PC1 with 4Tx have </w:t>
      </w:r>
      <w:r w:rsidR="009C4B95">
        <w:rPr>
          <w:sz w:val="21"/>
          <w:szCs w:val="21"/>
          <w:lang w:eastAsia="ja-JP"/>
        </w:rPr>
        <w:t xml:space="preserve">been made in the discussion </w:t>
      </w:r>
      <w:r w:rsidR="00F54A15">
        <w:rPr>
          <w:sz w:val="21"/>
          <w:szCs w:val="21"/>
          <w:lang w:eastAsia="ja-JP"/>
        </w:rPr>
        <w:t>on</w:t>
      </w:r>
      <w:r w:rsidR="009C4B95">
        <w:rPr>
          <w:sz w:val="21"/>
          <w:szCs w:val="21"/>
          <w:lang w:eastAsia="ja-JP"/>
        </w:rPr>
        <w:t xml:space="preserve"> Rel-20 scope. In our view, it would make the most sense to discuss both TN and NTN 4Tx support for PC1 in Rel-20.</w:t>
      </w:r>
    </w:p>
    <w:p w14:paraId="30AA1F07" w14:textId="77777777" w:rsidR="000F5597" w:rsidRPr="005123C5" w:rsidRDefault="000F5597" w:rsidP="000F5597">
      <w:pPr>
        <w:rPr>
          <w:sz w:val="21"/>
          <w:szCs w:val="21"/>
          <w:lang w:eastAsia="ja-JP"/>
        </w:rPr>
      </w:pPr>
    </w:p>
    <w:p w14:paraId="568FA470" w14:textId="5CF9CD18" w:rsidR="000F5597" w:rsidRPr="00567722" w:rsidRDefault="000F5597" w:rsidP="00567722">
      <w:pPr>
        <w:overflowPunct w:val="0"/>
        <w:autoSpaceDE w:val="0"/>
        <w:autoSpaceDN w:val="0"/>
        <w:spacing w:after="180"/>
        <w:textAlignment w:val="baseline"/>
        <w:rPr>
          <w:b/>
          <w:bCs/>
          <w:sz w:val="21"/>
          <w:szCs w:val="21"/>
          <w:lang w:val="en-GB" w:eastAsia="en-GB"/>
        </w:rPr>
      </w:pPr>
      <w:r w:rsidRPr="001F0F93">
        <w:rPr>
          <w:b/>
          <w:bCs/>
          <w:sz w:val="21"/>
          <w:szCs w:val="21"/>
          <w:lang w:val="en-GB" w:eastAsia="en-GB"/>
        </w:rPr>
        <w:t xml:space="preserve">Proposal </w:t>
      </w:r>
      <w:r w:rsidR="00567722">
        <w:rPr>
          <w:b/>
          <w:bCs/>
          <w:sz w:val="21"/>
          <w:szCs w:val="21"/>
          <w:lang w:val="en-GB" w:eastAsia="en-GB"/>
        </w:rPr>
        <w:t>1</w:t>
      </w:r>
      <w:r w:rsidRPr="001F0F93">
        <w:rPr>
          <w:b/>
          <w:bCs/>
          <w:sz w:val="21"/>
          <w:szCs w:val="21"/>
          <w:lang w:val="en-GB" w:eastAsia="en-GB"/>
        </w:rPr>
        <w:t xml:space="preserve">: </w:t>
      </w:r>
      <w:r w:rsidR="009C4B95">
        <w:rPr>
          <w:b/>
          <w:bCs/>
          <w:sz w:val="21"/>
          <w:szCs w:val="21"/>
          <w:lang w:val="en-GB" w:eastAsia="en-GB"/>
        </w:rPr>
        <w:t xml:space="preserve">Postpone the introduction of 4Tx support for PC1 to Rel-20, which is aligned </w:t>
      </w:r>
      <w:r w:rsidR="00F54A15">
        <w:rPr>
          <w:b/>
          <w:bCs/>
          <w:sz w:val="21"/>
          <w:szCs w:val="21"/>
          <w:lang w:val="en-GB" w:eastAsia="en-GB"/>
        </w:rPr>
        <w:t>with</w:t>
      </w:r>
      <w:r w:rsidR="009C4B95">
        <w:rPr>
          <w:b/>
          <w:bCs/>
          <w:sz w:val="21"/>
          <w:szCs w:val="21"/>
          <w:lang w:val="en-GB" w:eastAsia="en-GB"/>
        </w:rPr>
        <w:t xml:space="preserve"> TN</w:t>
      </w:r>
      <w:r w:rsidRPr="001F0F93">
        <w:rPr>
          <w:b/>
          <w:bCs/>
          <w:sz w:val="21"/>
          <w:szCs w:val="21"/>
          <w:lang w:val="en-GB" w:eastAsia="en-GB"/>
        </w:rPr>
        <w:t xml:space="preserve">. </w:t>
      </w:r>
    </w:p>
    <w:p w14:paraId="202FFF03" w14:textId="77777777" w:rsidR="009C4B95" w:rsidRPr="009C4B95" w:rsidRDefault="009C4B95" w:rsidP="009C4B95">
      <w:pPr>
        <w:spacing w:after="180"/>
        <w:rPr>
          <w:rFonts w:eastAsia="SimSun"/>
          <w:i/>
          <w:iCs/>
          <w:sz w:val="21"/>
          <w:szCs w:val="21"/>
          <w:lang w:val="en-GB" w:eastAsia="en-US"/>
        </w:rPr>
      </w:pPr>
      <w:r w:rsidRPr="009C4B95">
        <w:rPr>
          <w:rFonts w:eastAsia="SimSun"/>
          <w:b/>
          <w:i/>
          <w:iCs/>
          <w:sz w:val="21"/>
          <w:szCs w:val="21"/>
          <w:u w:val="single"/>
          <w:lang w:val="en-GB" w:eastAsia="ko-KR"/>
        </w:rPr>
        <w:t>Issue 2-4-1: PC2 ACLR</w:t>
      </w:r>
    </w:p>
    <w:p w14:paraId="6C56ECA1" w14:textId="77777777" w:rsidR="009C4B95" w:rsidRPr="009C4B95" w:rsidRDefault="009C4B95" w:rsidP="009C4B95">
      <w:pPr>
        <w:spacing w:after="180"/>
        <w:rPr>
          <w:rFonts w:eastAsia="Malgun Gothic"/>
          <w:b/>
          <w:i/>
          <w:iCs/>
          <w:sz w:val="21"/>
          <w:szCs w:val="21"/>
          <w:u w:val="single"/>
          <w:lang w:val="en-GB" w:eastAsia="en-US"/>
        </w:rPr>
      </w:pPr>
      <w:r w:rsidRPr="009C4B95">
        <w:rPr>
          <w:rFonts w:eastAsia="Malgun Gothic" w:hint="eastAsia"/>
          <w:b/>
          <w:i/>
          <w:iCs/>
          <w:sz w:val="21"/>
          <w:szCs w:val="21"/>
          <w:u w:val="single"/>
          <w:lang w:val="en-GB" w:eastAsia="en-US"/>
        </w:rPr>
        <w:t>A</w:t>
      </w:r>
      <w:r w:rsidRPr="009C4B95">
        <w:rPr>
          <w:rFonts w:eastAsia="Malgun Gothic"/>
          <w:b/>
          <w:i/>
          <w:iCs/>
          <w:sz w:val="21"/>
          <w:szCs w:val="21"/>
          <w:u w:val="single"/>
          <w:lang w:val="en-GB" w:eastAsia="en-US"/>
        </w:rPr>
        <w:t xml:space="preserve">greement: </w:t>
      </w:r>
    </w:p>
    <w:p w14:paraId="5DC0D4D2" w14:textId="77777777" w:rsidR="009C4B95" w:rsidRPr="009C4B95" w:rsidRDefault="009C4B95" w:rsidP="009C4B95">
      <w:pPr>
        <w:numPr>
          <w:ilvl w:val="0"/>
          <w:numId w:val="24"/>
        </w:numPr>
        <w:overflowPunct w:val="0"/>
        <w:autoSpaceDE w:val="0"/>
        <w:autoSpaceDN w:val="0"/>
        <w:adjustRightInd w:val="0"/>
        <w:spacing w:after="180"/>
        <w:textAlignment w:val="baseline"/>
        <w:rPr>
          <w:rFonts w:eastAsia="MS Mincho"/>
          <w:i/>
          <w:iCs/>
          <w:sz w:val="21"/>
          <w:szCs w:val="21"/>
          <w:lang w:val="en-GB" w:eastAsia="en-US"/>
        </w:rPr>
      </w:pPr>
      <w:r w:rsidRPr="009C4B95">
        <w:rPr>
          <w:rFonts w:eastAsia="MS Mincho"/>
          <w:i/>
          <w:iCs/>
          <w:sz w:val="21"/>
          <w:szCs w:val="21"/>
          <w:lang w:val="en-GB" w:eastAsia="en-US"/>
        </w:rPr>
        <w:t xml:space="preserve">PC2 ACLR is [30 or 31] </w:t>
      </w:r>
      <w:proofErr w:type="spellStart"/>
      <w:r w:rsidRPr="009C4B95">
        <w:rPr>
          <w:rFonts w:eastAsia="MS Mincho"/>
          <w:i/>
          <w:iCs/>
          <w:sz w:val="21"/>
          <w:szCs w:val="21"/>
          <w:lang w:val="en-GB" w:eastAsia="en-US"/>
        </w:rPr>
        <w:t>dBc</w:t>
      </w:r>
      <w:proofErr w:type="spellEnd"/>
      <w:r w:rsidRPr="009C4B95">
        <w:rPr>
          <w:rFonts w:eastAsia="MS Mincho"/>
          <w:i/>
          <w:iCs/>
          <w:sz w:val="21"/>
          <w:szCs w:val="21"/>
          <w:lang w:val="en-GB" w:eastAsia="en-US"/>
        </w:rPr>
        <w:t xml:space="preserve"> for NR-NTN UE</w:t>
      </w:r>
    </w:p>
    <w:p w14:paraId="49B171B4" w14:textId="77777777" w:rsidR="009C4B95" w:rsidRPr="009C4B95" w:rsidRDefault="009C4B95" w:rsidP="009C4B95">
      <w:pPr>
        <w:spacing w:after="180"/>
        <w:rPr>
          <w:rFonts w:eastAsia="SimSun"/>
          <w:i/>
          <w:iCs/>
          <w:sz w:val="21"/>
          <w:szCs w:val="21"/>
          <w:lang w:val="en-GB"/>
        </w:rPr>
      </w:pPr>
    </w:p>
    <w:p w14:paraId="3763D212" w14:textId="77777777" w:rsidR="009C4B95" w:rsidRPr="009C4B95" w:rsidRDefault="009C4B95" w:rsidP="009C4B95">
      <w:pPr>
        <w:spacing w:after="120"/>
        <w:rPr>
          <w:rFonts w:eastAsia="SimSun"/>
          <w:i/>
          <w:iCs/>
          <w:sz w:val="21"/>
          <w:szCs w:val="21"/>
          <w:lang w:val="en-GB"/>
        </w:rPr>
      </w:pPr>
      <w:r w:rsidRPr="009C4B95">
        <w:rPr>
          <w:rFonts w:eastAsia="MS Mincho"/>
          <w:b/>
          <w:i/>
          <w:iCs/>
          <w:sz w:val="21"/>
          <w:szCs w:val="21"/>
          <w:u w:val="single"/>
          <w:lang w:val="en-GB" w:eastAsia="ko-KR"/>
        </w:rPr>
        <w:t>Issue 2-4-2: PC1.5 ACLR</w:t>
      </w:r>
    </w:p>
    <w:p w14:paraId="0B7EC18D" w14:textId="77777777" w:rsidR="009C4B95" w:rsidRPr="009C4B95" w:rsidRDefault="009C4B95" w:rsidP="009C4B95">
      <w:pPr>
        <w:spacing w:after="180"/>
        <w:rPr>
          <w:rFonts w:eastAsia="SimSun"/>
          <w:b/>
          <w:bCs/>
          <w:i/>
          <w:iCs/>
          <w:sz w:val="21"/>
          <w:szCs w:val="21"/>
          <w:lang w:val="en-GB" w:eastAsia="en-US"/>
        </w:rPr>
      </w:pPr>
      <w:r w:rsidRPr="009C4B95">
        <w:rPr>
          <w:rFonts w:eastAsia="SimSun"/>
          <w:b/>
          <w:bCs/>
          <w:i/>
          <w:iCs/>
          <w:sz w:val="21"/>
          <w:szCs w:val="21"/>
          <w:lang w:val="en-GB" w:eastAsia="en-US"/>
        </w:rPr>
        <w:t>Agreement:</w:t>
      </w:r>
    </w:p>
    <w:p w14:paraId="18D3FCDE" w14:textId="77777777" w:rsidR="009C4B95" w:rsidRPr="009C4B95" w:rsidRDefault="009C4B95" w:rsidP="009C4B95">
      <w:pPr>
        <w:numPr>
          <w:ilvl w:val="0"/>
          <w:numId w:val="24"/>
        </w:numPr>
        <w:overflowPunct w:val="0"/>
        <w:autoSpaceDE w:val="0"/>
        <w:autoSpaceDN w:val="0"/>
        <w:adjustRightInd w:val="0"/>
        <w:spacing w:after="180"/>
        <w:textAlignment w:val="baseline"/>
        <w:rPr>
          <w:rFonts w:eastAsia="MS Mincho"/>
          <w:i/>
          <w:iCs/>
          <w:sz w:val="21"/>
          <w:szCs w:val="21"/>
          <w:lang w:val="en-GB" w:eastAsia="en-US"/>
        </w:rPr>
      </w:pPr>
      <w:r w:rsidRPr="009C4B95">
        <w:rPr>
          <w:rFonts w:eastAsia="MS Mincho"/>
          <w:i/>
          <w:iCs/>
          <w:sz w:val="21"/>
          <w:szCs w:val="21"/>
          <w:lang w:val="en-GB" w:eastAsia="en-US"/>
        </w:rPr>
        <w:t xml:space="preserve">PC1.5 ACLR is [30 or 31] </w:t>
      </w:r>
      <w:proofErr w:type="spellStart"/>
      <w:r w:rsidRPr="009C4B95">
        <w:rPr>
          <w:rFonts w:eastAsia="MS Mincho"/>
          <w:i/>
          <w:iCs/>
          <w:sz w:val="21"/>
          <w:szCs w:val="21"/>
          <w:lang w:val="en-GB" w:eastAsia="en-US"/>
        </w:rPr>
        <w:t>dBc</w:t>
      </w:r>
      <w:proofErr w:type="spellEnd"/>
      <w:r w:rsidRPr="009C4B95">
        <w:rPr>
          <w:rFonts w:eastAsia="MS Mincho"/>
          <w:i/>
          <w:iCs/>
          <w:sz w:val="21"/>
          <w:szCs w:val="21"/>
          <w:lang w:val="en-GB" w:eastAsia="en-US"/>
        </w:rPr>
        <w:t xml:space="preserve"> for NR-NTN UE</w:t>
      </w:r>
    </w:p>
    <w:p w14:paraId="17987E6F" w14:textId="77777777" w:rsidR="009C4B95" w:rsidRPr="009C4B95" w:rsidRDefault="009C4B95" w:rsidP="009C4B95">
      <w:pPr>
        <w:spacing w:after="180"/>
        <w:rPr>
          <w:rFonts w:eastAsia="SimSun"/>
          <w:i/>
          <w:iCs/>
          <w:sz w:val="21"/>
          <w:szCs w:val="21"/>
          <w:lang w:val="en-GB"/>
        </w:rPr>
      </w:pPr>
    </w:p>
    <w:p w14:paraId="50371B20" w14:textId="77777777" w:rsidR="009C4B95" w:rsidRPr="009C4B95" w:rsidRDefault="009C4B95" w:rsidP="009C4B95">
      <w:pPr>
        <w:spacing w:after="180"/>
        <w:rPr>
          <w:rFonts w:eastAsia="SimSun"/>
          <w:b/>
          <w:i/>
          <w:iCs/>
          <w:sz w:val="21"/>
          <w:szCs w:val="21"/>
          <w:u w:val="single"/>
          <w:lang w:val="en-GB" w:eastAsia="ko-KR"/>
        </w:rPr>
      </w:pPr>
      <w:r w:rsidRPr="009C4B95">
        <w:rPr>
          <w:rFonts w:eastAsia="SimSun"/>
          <w:b/>
          <w:i/>
          <w:iCs/>
          <w:sz w:val="21"/>
          <w:szCs w:val="21"/>
          <w:u w:val="single"/>
          <w:lang w:val="en-GB" w:eastAsia="ko-KR"/>
        </w:rPr>
        <w:t>Issue 2-4-3: PC1 ACLR</w:t>
      </w:r>
    </w:p>
    <w:p w14:paraId="6D187A4E" w14:textId="77777777" w:rsidR="009C4B95" w:rsidRPr="009C4B95" w:rsidRDefault="009C4B95" w:rsidP="009C4B95">
      <w:pPr>
        <w:spacing w:after="180"/>
        <w:rPr>
          <w:rFonts w:eastAsia="SimSun"/>
          <w:b/>
          <w:bCs/>
          <w:i/>
          <w:iCs/>
          <w:sz w:val="21"/>
          <w:szCs w:val="21"/>
          <w:lang w:val="en-GB" w:eastAsia="en-US"/>
        </w:rPr>
      </w:pPr>
      <w:r w:rsidRPr="009C4B95">
        <w:rPr>
          <w:rFonts w:eastAsia="SimSun"/>
          <w:b/>
          <w:bCs/>
          <w:i/>
          <w:iCs/>
          <w:sz w:val="21"/>
          <w:szCs w:val="21"/>
          <w:lang w:val="en-GB" w:eastAsia="en-US"/>
        </w:rPr>
        <w:t>Agreement:</w:t>
      </w:r>
    </w:p>
    <w:p w14:paraId="5F1900D0" w14:textId="77777777" w:rsidR="009C4B95" w:rsidRPr="009C4B95" w:rsidRDefault="009C4B95" w:rsidP="009C4B95">
      <w:pPr>
        <w:numPr>
          <w:ilvl w:val="0"/>
          <w:numId w:val="24"/>
        </w:numPr>
        <w:overflowPunct w:val="0"/>
        <w:autoSpaceDE w:val="0"/>
        <w:autoSpaceDN w:val="0"/>
        <w:adjustRightInd w:val="0"/>
        <w:spacing w:after="180"/>
        <w:textAlignment w:val="baseline"/>
        <w:rPr>
          <w:rFonts w:eastAsia="MS Mincho"/>
          <w:i/>
          <w:iCs/>
          <w:sz w:val="21"/>
          <w:szCs w:val="21"/>
          <w:lang w:val="en-GB" w:eastAsia="en-US"/>
        </w:rPr>
      </w:pPr>
      <w:r w:rsidRPr="009C4B95">
        <w:rPr>
          <w:rFonts w:eastAsia="MS Mincho"/>
          <w:i/>
          <w:iCs/>
          <w:sz w:val="21"/>
          <w:szCs w:val="21"/>
          <w:lang w:val="en-GB" w:eastAsia="en-US"/>
        </w:rPr>
        <w:t xml:space="preserve">PC1 ACLR is [31 or 37] </w:t>
      </w:r>
      <w:proofErr w:type="spellStart"/>
      <w:r w:rsidRPr="009C4B95">
        <w:rPr>
          <w:rFonts w:eastAsia="MS Mincho"/>
          <w:i/>
          <w:iCs/>
          <w:sz w:val="21"/>
          <w:szCs w:val="21"/>
          <w:lang w:val="en-GB" w:eastAsia="en-US"/>
        </w:rPr>
        <w:t>dBc</w:t>
      </w:r>
      <w:proofErr w:type="spellEnd"/>
      <w:r w:rsidRPr="009C4B95">
        <w:rPr>
          <w:rFonts w:eastAsia="MS Mincho"/>
          <w:i/>
          <w:iCs/>
          <w:sz w:val="21"/>
          <w:szCs w:val="21"/>
          <w:lang w:val="en-GB" w:eastAsia="en-US"/>
        </w:rPr>
        <w:t xml:space="preserve"> for NR-NTN UE</w:t>
      </w:r>
    </w:p>
    <w:p w14:paraId="5D411CC7" w14:textId="77777777" w:rsidR="009C4B95" w:rsidRDefault="009C4B95" w:rsidP="009C4B95">
      <w:pPr>
        <w:numPr>
          <w:ilvl w:val="0"/>
          <w:numId w:val="10"/>
        </w:numPr>
        <w:spacing w:after="120"/>
        <w:rPr>
          <w:rFonts w:eastAsia="SimSun"/>
          <w:i/>
          <w:iCs/>
          <w:sz w:val="21"/>
          <w:szCs w:val="21"/>
          <w:lang w:val="en-GB"/>
        </w:rPr>
      </w:pPr>
      <w:r w:rsidRPr="009C4B95">
        <w:rPr>
          <w:rFonts w:eastAsia="SimSun"/>
          <w:i/>
          <w:iCs/>
          <w:sz w:val="21"/>
          <w:szCs w:val="21"/>
          <w:lang w:val="en-GB"/>
        </w:rPr>
        <w:t>Further study averaging value, i.e. 34.</w:t>
      </w:r>
    </w:p>
    <w:p w14:paraId="231CBE08" w14:textId="6DC81D38" w:rsidR="009C4B95" w:rsidRDefault="00C95F01" w:rsidP="009C4B95">
      <w:pPr>
        <w:spacing w:after="120"/>
        <w:rPr>
          <w:rFonts w:eastAsia="SimSun"/>
          <w:sz w:val="21"/>
          <w:szCs w:val="21"/>
          <w:lang w:val="en-GB"/>
        </w:rPr>
      </w:pPr>
      <w:r>
        <w:rPr>
          <w:rFonts w:eastAsia="SimSun"/>
          <w:sz w:val="21"/>
          <w:szCs w:val="21"/>
          <w:lang w:val="en-GB"/>
        </w:rPr>
        <w:t>For TN, the NR ACLR requirements have been specified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C95F01" w:rsidRPr="001D0283" w14:paraId="56DE98FE" w14:textId="77777777" w:rsidTr="008E17B8">
        <w:trPr>
          <w:cantSplit/>
          <w:jc w:val="center"/>
        </w:trPr>
        <w:tc>
          <w:tcPr>
            <w:tcW w:w="1026" w:type="dxa"/>
            <w:tcBorders>
              <w:top w:val="single" w:sz="4" w:space="0" w:color="auto"/>
              <w:left w:val="single" w:sz="4" w:space="0" w:color="auto"/>
              <w:bottom w:val="single" w:sz="4" w:space="0" w:color="auto"/>
              <w:right w:val="single" w:sz="4" w:space="0" w:color="auto"/>
            </w:tcBorders>
          </w:tcPr>
          <w:p w14:paraId="3330425B" w14:textId="77777777" w:rsidR="00C95F01" w:rsidRPr="001D0283" w:rsidRDefault="00C95F01" w:rsidP="008E17B8">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5D6E6BA8" w14:textId="77777777" w:rsidR="00C95F01" w:rsidRPr="001D0283" w:rsidRDefault="00C95F01" w:rsidP="008E17B8">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7024FA9F" w14:textId="77777777" w:rsidR="00C95F01" w:rsidRPr="001D0283" w:rsidRDefault="00C95F01" w:rsidP="008E17B8">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55AFA9DC" w14:textId="77777777" w:rsidR="00C95F01" w:rsidRPr="001D0283" w:rsidRDefault="00C95F01" w:rsidP="008E17B8">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4F143FC0" w14:textId="77777777" w:rsidR="00C95F01" w:rsidRPr="001D0283" w:rsidRDefault="00C95F01" w:rsidP="008E17B8">
            <w:pPr>
              <w:pStyle w:val="TAH"/>
            </w:pPr>
            <w:r w:rsidRPr="001D0283">
              <w:t>Power</w:t>
            </w:r>
            <w:r>
              <w:t xml:space="preserve"> </w:t>
            </w:r>
            <w:r w:rsidRPr="001D0283">
              <w:t>class</w:t>
            </w:r>
            <w:r>
              <w:t xml:space="preserve"> </w:t>
            </w:r>
            <w:r w:rsidRPr="001D0283">
              <w:t>3</w:t>
            </w:r>
          </w:p>
        </w:tc>
      </w:tr>
      <w:tr w:rsidR="00C95F01" w:rsidRPr="001D0283" w14:paraId="4DA130EF" w14:textId="77777777" w:rsidTr="008E17B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4A025DC" w14:textId="77777777" w:rsidR="00C95F01" w:rsidRPr="001D0283" w:rsidRDefault="00C95F01" w:rsidP="008E17B8">
            <w:pPr>
              <w:pStyle w:val="TAH"/>
            </w:pPr>
            <w:r w:rsidRPr="001D0283">
              <w:t>NR</w:t>
            </w:r>
            <w:r>
              <w:t xml:space="preserve"> </w:t>
            </w:r>
            <w:r w:rsidRPr="001D0283">
              <w:t>ACLR</w:t>
            </w:r>
          </w:p>
        </w:tc>
        <w:tc>
          <w:tcPr>
            <w:tcW w:w="1557" w:type="dxa"/>
            <w:tcBorders>
              <w:top w:val="single" w:sz="4" w:space="0" w:color="auto"/>
              <w:left w:val="single" w:sz="4" w:space="0" w:color="auto"/>
              <w:bottom w:val="single" w:sz="4" w:space="0" w:color="auto"/>
              <w:right w:val="single" w:sz="4" w:space="0" w:color="auto"/>
            </w:tcBorders>
            <w:hideMark/>
          </w:tcPr>
          <w:p w14:paraId="7ED93DBD" w14:textId="77777777" w:rsidR="00C95F01" w:rsidRPr="001D0283" w:rsidRDefault="00C95F01" w:rsidP="008E17B8">
            <w:pPr>
              <w:pStyle w:val="TAC"/>
            </w:pPr>
            <w:r w:rsidRPr="001D0283">
              <w:t>37</w:t>
            </w:r>
            <w:r>
              <w:t xml:space="preserve"> </w:t>
            </w:r>
            <w:r w:rsidRPr="001D0283">
              <w:t>dB</w:t>
            </w:r>
          </w:p>
        </w:tc>
        <w:tc>
          <w:tcPr>
            <w:tcW w:w="1557" w:type="dxa"/>
            <w:tcBorders>
              <w:top w:val="single" w:sz="4" w:space="0" w:color="auto"/>
              <w:left w:val="single" w:sz="4" w:space="0" w:color="auto"/>
              <w:bottom w:val="single" w:sz="4" w:space="0" w:color="auto"/>
              <w:right w:val="single" w:sz="4" w:space="0" w:color="auto"/>
            </w:tcBorders>
            <w:hideMark/>
          </w:tcPr>
          <w:p w14:paraId="6F226D2D" w14:textId="77777777" w:rsidR="00C95F01" w:rsidRPr="001D0283" w:rsidRDefault="00C95F01" w:rsidP="008E17B8">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16C33862" w14:textId="77777777" w:rsidR="00C95F01" w:rsidRPr="001D0283" w:rsidRDefault="00C95F01" w:rsidP="008E17B8">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5A56C3C5" w14:textId="77777777" w:rsidR="00C95F01" w:rsidRPr="001D0283" w:rsidRDefault="00C95F01" w:rsidP="008E17B8">
            <w:pPr>
              <w:pStyle w:val="TAC"/>
            </w:pPr>
            <w:r w:rsidRPr="001D0283">
              <w:t>30</w:t>
            </w:r>
            <w:r>
              <w:t xml:space="preserve"> </w:t>
            </w:r>
            <w:r w:rsidRPr="001D0283">
              <w:t>dB</w:t>
            </w:r>
          </w:p>
        </w:tc>
      </w:tr>
      <w:tr w:rsidR="00C95F01" w:rsidRPr="001D0283" w14:paraId="7C16DA82" w14:textId="77777777" w:rsidTr="008E17B8">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BDF2EE5" w14:textId="77777777" w:rsidR="00C95F01" w:rsidRPr="001D0283" w:rsidRDefault="00C95F01" w:rsidP="008E17B8">
            <w:pPr>
              <w:pStyle w:val="TAN"/>
            </w:pPr>
            <w:r w:rsidRPr="001D0283">
              <w:t>NOTE</w:t>
            </w:r>
            <w:r>
              <w:t xml:space="preserve"> </w:t>
            </w:r>
            <w:r w:rsidRPr="001D0283">
              <w:t>1:</w:t>
            </w:r>
            <w:r w:rsidRPr="001D0283">
              <w:tab/>
              <w:t>Void</w:t>
            </w:r>
          </w:p>
        </w:tc>
      </w:tr>
    </w:tbl>
    <w:p w14:paraId="44E95568" w14:textId="37081845" w:rsidR="00C95F01" w:rsidRDefault="00C95F01" w:rsidP="009C4B95">
      <w:pPr>
        <w:spacing w:after="120"/>
        <w:rPr>
          <w:rFonts w:eastAsia="SimSun"/>
          <w:sz w:val="21"/>
          <w:szCs w:val="21"/>
          <w:lang w:val="en-GB"/>
        </w:rPr>
      </w:pPr>
      <w:r>
        <w:rPr>
          <w:rFonts w:eastAsia="SimSun"/>
          <w:sz w:val="21"/>
          <w:szCs w:val="21"/>
          <w:lang w:val="en-GB"/>
        </w:rPr>
        <w:t xml:space="preserve">These requirements have been derived having in mind the co-existence between </w:t>
      </w:r>
      <w:r w:rsidR="00F54A15">
        <w:rPr>
          <w:rFonts w:eastAsia="SimSun"/>
          <w:sz w:val="21"/>
          <w:szCs w:val="21"/>
          <w:lang w:val="en-GB"/>
        </w:rPr>
        <w:t xml:space="preserve">the </w:t>
      </w:r>
      <w:r>
        <w:rPr>
          <w:rFonts w:eastAsia="SimSun"/>
          <w:sz w:val="21"/>
          <w:szCs w:val="21"/>
          <w:lang w:val="en-GB"/>
        </w:rPr>
        <w:t>different UEs, ensuring that not too much power is leaked to adjacent channels, with the goal to primarily protect the DL reception of other UEs. No isolation distance has been assumed between the UEs</w:t>
      </w:r>
      <w:r w:rsidR="00F54A15">
        <w:rPr>
          <w:rFonts w:eastAsia="SimSun"/>
          <w:sz w:val="21"/>
          <w:szCs w:val="21"/>
          <w:lang w:val="en-GB"/>
        </w:rPr>
        <w:t xml:space="preserve"> when these requirements have been derived</w:t>
      </w:r>
      <w:r>
        <w:rPr>
          <w:rFonts w:eastAsia="SimSun"/>
          <w:sz w:val="21"/>
          <w:szCs w:val="21"/>
          <w:lang w:val="en-GB"/>
        </w:rPr>
        <w:t xml:space="preserve">. </w:t>
      </w:r>
    </w:p>
    <w:p w14:paraId="4AF9E1B0" w14:textId="5EBE217A" w:rsidR="00C95F01" w:rsidRDefault="00C95F01" w:rsidP="009C4B95">
      <w:pPr>
        <w:spacing w:after="120"/>
        <w:rPr>
          <w:rFonts w:eastAsia="SimSun"/>
          <w:sz w:val="21"/>
          <w:szCs w:val="21"/>
          <w:lang w:val="en-GB"/>
        </w:rPr>
      </w:pPr>
      <w:r>
        <w:rPr>
          <w:rFonts w:eastAsia="SimSun"/>
          <w:sz w:val="21"/>
          <w:szCs w:val="21"/>
          <w:lang w:val="en-GB"/>
        </w:rPr>
        <w:t xml:space="preserve">If these requirements are not met, the minimum performance </w:t>
      </w:r>
      <w:r w:rsidR="00F54A15">
        <w:rPr>
          <w:rFonts w:eastAsia="SimSun"/>
          <w:sz w:val="21"/>
          <w:szCs w:val="21"/>
          <w:lang w:val="en-GB"/>
        </w:rPr>
        <w:t xml:space="preserve">in the network </w:t>
      </w:r>
      <w:r>
        <w:rPr>
          <w:rFonts w:eastAsia="SimSun"/>
          <w:sz w:val="21"/>
          <w:szCs w:val="21"/>
          <w:lang w:val="en-GB"/>
        </w:rPr>
        <w:t>cannot be guaranteed.</w:t>
      </w:r>
    </w:p>
    <w:p w14:paraId="4466D5A4" w14:textId="2B14065F" w:rsidR="00C95F01" w:rsidRDefault="00C95F01" w:rsidP="009C4B95">
      <w:pPr>
        <w:spacing w:after="120"/>
        <w:rPr>
          <w:rFonts w:eastAsia="SimSun"/>
          <w:sz w:val="21"/>
          <w:szCs w:val="21"/>
          <w:lang w:val="en-GB"/>
        </w:rPr>
      </w:pPr>
      <w:r>
        <w:rPr>
          <w:rFonts w:eastAsia="SimSun"/>
          <w:sz w:val="21"/>
          <w:szCs w:val="21"/>
          <w:lang w:val="en-GB"/>
        </w:rPr>
        <w:t>In this WI, it was agreed to specify requirements assuming 0 km isolation distance</w:t>
      </w:r>
      <w:r w:rsidR="00F54A15">
        <w:rPr>
          <w:rFonts w:eastAsia="SimSun"/>
          <w:sz w:val="21"/>
          <w:szCs w:val="21"/>
          <w:lang w:val="en-GB"/>
        </w:rPr>
        <w:t xml:space="preserve"> as well</w:t>
      </w:r>
      <w:r>
        <w:rPr>
          <w:rFonts w:eastAsia="SimSun"/>
          <w:sz w:val="21"/>
          <w:szCs w:val="21"/>
          <w:lang w:val="en-GB"/>
        </w:rPr>
        <w:t>. Since the definitions of power classes are the same between NTN and TN, the same ACLR requirements shall be specified for NTN as well</w:t>
      </w:r>
      <w:r w:rsidR="00F54A15">
        <w:rPr>
          <w:rFonts w:eastAsia="SimSun"/>
          <w:sz w:val="21"/>
          <w:szCs w:val="21"/>
          <w:lang w:val="en-GB"/>
        </w:rPr>
        <w:t>, which was also confirmed by our co-existence simulation</w:t>
      </w:r>
      <w:r w:rsidR="00F768FE">
        <w:rPr>
          <w:rFonts w:eastAsia="SimSun"/>
          <w:sz w:val="21"/>
          <w:szCs w:val="21"/>
          <w:lang w:val="en-GB"/>
        </w:rPr>
        <w:t xml:space="preserve"> results</w:t>
      </w:r>
      <w:r w:rsidR="00F54A15">
        <w:rPr>
          <w:rFonts w:eastAsia="SimSun"/>
          <w:sz w:val="21"/>
          <w:szCs w:val="21"/>
          <w:lang w:val="en-GB"/>
        </w:rPr>
        <w:t xml:space="preserve"> [3]</w:t>
      </w:r>
      <w:r>
        <w:rPr>
          <w:rFonts w:eastAsia="SimSun"/>
          <w:sz w:val="21"/>
          <w:szCs w:val="21"/>
          <w:lang w:val="en-GB"/>
        </w:rPr>
        <w:t>. Relax</w:t>
      </w:r>
      <w:r w:rsidR="00461110">
        <w:rPr>
          <w:rFonts w:eastAsia="SimSun"/>
          <w:sz w:val="21"/>
          <w:szCs w:val="21"/>
          <w:lang w:val="en-GB"/>
        </w:rPr>
        <w:t>ing</w:t>
      </w:r>
      <w:r>
        <w:rPr>
          <w:rFonts w:eastAsia="SimSun"/>
          <w:sz w:val="21"/>
          <w:szCs w:val="21"/>
          <w:lang w:val="en-GB"/>
        </w:rPr>
        <w:t xml:space="preserve"> ACLR requirements should not be used as a “tool” to potentially decrease the MPR requirements, </w:t>
      </w:r>
      <w:r w:rsidR="00461110">
        <w:rPr>
          <w:rFonts w:eastAsia="SimSun"/>
          <w:sz w:val="21"/>
          <w:szCs w:val="21"/>
          <w:lang w:val="en-GB"/>
        </w:rPr>
        <w:t xml:space="preserve">as their purpose is to ensure the co-existence both between NTN UEs and between NTN and TN UEs. The consequences of relaxing the ACLR requirements would be detrimental </w:t>
      </w:r>
      <w:r w:rsidR="00F54A15">
        <w:rPr>
          <w:rFonts w:eastAsia="SimSun"/>
          <w:sz w:val="21"/>
          <w:szCs w:val="21"/>
          <w:lang w:val="en-GB"/>
        </w:rPr>
        <w:t xml:space="preserve">to </w:t>
      </w:r>
      <w:r w:rsidR="00461110">
        <w:rPr>
          <w:rFonts w:eastAsia="SimSun"/>
          <w:sz w:val="21"/>
          <w:szCs w:val="21"/>
          <w:lang w:val="en-GB"/>
        </w:rPr>
        <w:t>the TN performance</w:t>
      </w:r>
      <w:r w:rsidR="00F54A15">
        <w:rPr>
          <w:rFonts w:eastAsia="SimSun"/>
          <w:sz w:val="21"/>
          <w:szCs w:val="21"/>
          <w:lang w:val="en-GB"/>
        </w:rPr>
        <w:t xml:space="preserve"> (and unpredictable)</w:t>
      </w:r>
      <w:r w:rsidR="00461110">
        <w:rPr>
          <w:rFonts w:eastAsia="SimSun"/>
          <w:sz w:val="21"/>
          <w:szCs w:val="21"/>
          <w:lang w:val="en-GB"/>
        </w:rPr>
        <w:t xml:space="preserve">. </w:t>
      </w:r>
    </w:p>
    <w:p w14:paraId="4D34C31F" w14:textId="01DBFC9E" w:rsidR="00461110" w:rsidRPr="009C4B95" w:rsidRDefault="00461110" w:rsidP="00461110">
      <w:pPr>
        <w:overflowPunct w:val="0"/>
        <w:autoSpaceDE w:val="0"/>
        <w:autoSpaceDN w:val="0"/>
        <w:spacing w:after="180"/>
        <w:textAlignment w:val="baseline"/>
        <w:rPr>
          <w:b/>
          <w:bCs/>
          <w:sz w:val="21"/>
          <w:szCs w:val="21"/>
          <w:lang w:val="en-GB" w:eastAsia="en-GB"/>
        </w:rPr>
      </w:pPr>
      <w:r w:rsidRPr="001F0F93">
        <w:rPr>
          <w:b/>
          <w:bCs/>
          <w:sz w:val="21"/>
          <w:szCs w:val="21"/>
          <w:lang w:val="en-GB" w:eastAsia="en-GB"/>
        </w:rPr>
        <w:t xml:space="preserve">Proposal </w:t>
      </w:r>
      <w:r>
        <w:rPr>
          <w:b/>
          <w:bCs/>
          <w:sz w:val="21"/>
          <w:szCs w:val="21"/>
          <w:lang w:val="en-GB" w:eastAsia="en-GB"/>
        </w:rPr>
        <w:t>2</w:t>
      </w:r>
      <w:r w:rsidRPr="001F0F93">
        <w:rPr>
          <w:b/>
          <w:bCs/>
          <w:sz w:val="21"/>
          <w:szCs w:val="21"/>
          <w:lang w:val="en-GB" w:eastAsia="en-GB"/>
        </w:rPr>
        <w:t xml:space="preserve">: </w:t>
      </w:r>
      <w:r>
        <w:rPr>
          <w:b/>
          <w:bCs/>
          <w:sz w:val="21"/>
          <w:szCs w:val="21"/>
          <w:lang w:val="en-GB" w:eastAsia="en-GB"/>
        </w:rPr>
        <w:t>Specify the same ACLR requirements as for TN networks: 37 dB for PC1, 31 dB for PC1.5 and 31 dB for PC2</w:t>
      </w:r>
      <w:r w:rsidRPr="001F0F93">
        <w:rPr>
          <w:b/>
          <w:bCs/>
          <w:sz w:val="21"/>
          <w:szCs w:val="21"/>
          <w:lang w:val="en-GB" w:eastAsia="en-GB"/>
        </w:rPr>
        <w:t xml:space="preserve">. </w:t>
      </w:r>
    </w:p>
    <w:p w14:paraId="7EFCED01" w14:textId="77777777" w:rsidR="00461110" w:rsidRPr="00461110" w:rsidRDefault="00461110" w:rsidP="00461110">
      <w:pPr>
        <w:spacing w:after="180"/>
        <w:rPr>
          <w:rFonts w:eastAsia="SimSun"/>
          <w:b/>
          <w:i/>
          <w:iCs/>
          <w:sz w:val="21"/>
          <w:szCs w:val="21"/>
          <w:u w:val="single"/>
          <w:lang w:val="en-GB" w:eastAsia="ko-KR"/>
        </w:rPr>
      </w:pPr>
      <w:r w:rsidRPr="00461110">
        <w:rPr>
          <w:rFonts w:eastAsia="SimSun"/>
          <w:b/>
          <w:i/>
          <w:iCs/>
          <w:sz w:val="21"/>
          <w:szCs w:val="21"/>
          <w:u w:val="single"/>
          <w:lang w:val="en-GB" w:eastAsia="ko-KR"/>
        </w:rPr>
        <w:t>Issue 2-6: MPR/A-MPR</w:t>
      </w:r>
    </w:p>
    <w:p w14:paraId="481D39CC" w14:textId="77777777" w:rsidR="00461110" w:rsidRPr="00461110" w:rsidRDefault="00461110" w:rsidP="00461110">
      <w:pPr>
        <w:spacing w:after="180"/>
        <w:rPr>
          <w:rFonts w:eastAsia="SimSun"/>
          <w:b/>
          <w:bCs/>
          <w:i/>
          <w:iCs/>
          <w:sz w:val="21"/>
          <w:szCs w:val="21"/>
          <w:lang w:val="en-GB" w:eastAsia="en-US"/>
        </w:rPr>
      </w:pPr>
      <w:r w:rsidRPr="00461110">
        <w:rPr>
          <w:rFonts w:eastAsia="SimSun"/>
          <w:b/>
          <w:bCs/>
          <w:i/>
          <w:iCs/>
          <w:sz w:val="21"/>
          <w:szCs w:val="21"/>
          <w:lang w:val="en-GB" w:eastAsia="en-US"/>
        </w:rPr>
        <w:t>Agreement:</w:t>
      </w:r>
    </w:p>
    <w:p w14:paraId="243F1975" w14:textId="77777777" w:rsidR="00461110" w:rsidRPr="00461110" w:rsidRDefault="00461110" w:rsidP="00461110">
      <w:pPr>
        <w:numPr>
          <w:ilvl w:val="0"/>
          <w:numId w:val="28"/>
        </w:numPr>
        <w:overflowPunct w:val="0"/>
        <w:autoSpaceDE w:val="0"/>
        <w:autoSpaceDN w:val="0"/>
        <w:adjustRightInd w:val="0"/>
        <w:spacing w:after="120"/>
        <w:textAlignment w:val="baseline"/>
        <w:rPr>
          <w:rFonts w:eastAsia="MS Mincho"/>
          <w:i/>
          <w:iCs/>
          <w:sz w:val="21"/>
          <w:szCs w:val="21"/>
          <w:lang w:val="en-GB"/>
        </w:rPr>
      </w:pPr>
      <w:r w:rsidRPr="00461110">
        <w:rPr>
          <w:rFonts w:eastAsia="MS Mincho"/>
          <w:i/>
          <w:iCs/>
          <w:sz w:val="21"/>
          <w:szCs w:val="21"/>
          <w:lang w:val="en-GB"/>
        </w:rPr>
        <w:t>For PC 2 and PC 1.5 MPR:</w:t>
      </w:r>
    </w:p>
    <w:p w14:paraId="23C068E2" w14:textId="77777777" w:rsidR="00461110" w:rsidRPr="00461110" w:rsidRDefault="00461110" w:rsidP="00461110">
      <w:pPr>
        <w:numPr>
          <w:ilvl w:val="0"/>
          <w:numId w:val="10"/>
        </w:numPr>
        <w:spacing w:after="120"/>
        <w:rPr>
          <w:rFonts w:eastAsia="SimSun"/>
          <w:i/>
          <w:iCs/>
          <w:sz w:val="21"/>
          <w:szCs w:val="21"/>
          <w:lang w:val="en-GB"/>
        </w:rPr>
      </w:pPr>
      <w:r w:rsidRPr="00461110">
        <w:rPr>
          <w:rFonts w:eastAsia="SimSun"/>
          <w:i/>
          <w:iCs/>
          <w:sz w:val="21"/>
          <w:szCs w:val="21"/>
          <w:lang w:val="en-GB"/>
        </w:rPr>
        <w:t xml:space="preserve">Option 1: Existing MPR requirements for PC2 and PC1.5 in TS 38.101-1 apply, if PC2/PC1.5 ACLR reused TN PC2/PC1.5 ACLR as 31 </w:t>
      </w:r>
      <w:proofErr w:type="spellStart"/>
      <w:r w:rsidRPr="00461110">
        <w:rPr>
          <w:rFonts w:eastAsia="SimSun"/>
          <w:i/>
          <w:iCs/>
          <w:sz w:val="21"/>
          <w:szCs w:val="21"/>
          <w:lang w:val="en-GB"/>
        </w:rPr>
        <w:t>dBc</w:t>
      </w:r>
      <w:proofErr w:type="spellEnd"/>
      <w:r w:rsidRPr="00461110">
        <w:rPr>
          <w:rFonts w:eastAsia="SimSun"/>
          <w:i/>
          <w:iCs/>
          <w:sz w:val="21"/>
          <w:szCs w:val="21"/>
          <w:lang w:val="en-GB"/>
        </w:rPr>
        <w:t>.</w:t>
      </w:r>
    </w:p>
    <w:p w14:paraId="2784759A" w14:textId="77777777" w:rsidR="00461110" w:rsidRPr="00461110" w:rsidRDefault="00461110" w:rsidP="00461110">
      <w:pPr>
        <w:numPr>
          <w:ilvl w:val="0"/>
          <w:numId w:val="10"/>
        </w:numPr>
        <w:spacing w:after="120"/>
        <w:rPr>
          <w:rFonts w:eastAsia="SimSun"/>
          <w:i/>
          <w:iCs/>
          <w:sz w:val="21"/>
          <w:szCs w:val="21"/>
          <w:lang w:val="en-GB"/>
        </w:rPr>
      </w:pPr>
      <w:r w:rsidRPr="00461110">
        <w:rPr>
          <w:rFonts w:eastAsia="SimSun"/>
          <w:i/>
          <w:iCs/>
          <w:sz w:val="21"/>
          <w:szCs w:val="21"/>
          <w:lang w:val="en-GB"/>
        </w:rPr>
        <w:t xml:space="preserve">Option 2: Aim for MPR analysis for PC2 and PC1.5 if PC/PC1.5 ACLR agreed as 30 </w:t>
      </w:r>
      <w:proofErr w:type="spellStart"/>
      <w:r w:rsidRPr="00461110">
        <w:rPr>
          <w:rFonts w:eastAsia="SimSun"/>
          <w:i/>
          <w:iCs/>
          <w:sz w:val="21"/>
          <w:szCs w:val="21"/>
          <w:lang w:val="en-GB"/>
        </w:rPr>
        <w:t>dBc</w:t>
      </w:r>
      <w:proofErr w:type="spellEnd"/>
      <w:r w:rsidRPr="00461110">
        <w:rPr>
          <w:rFonts w:eastAsia="SimSun"/>
          <w:i/>
          <w:iCs/>
          <w:sz w:val="21"/>
          <w:szCs w:val="21"/>
          <w:lang w:val="en-GB"/>
        </w:rPr>
        <w:t>.</w:t>
      </w:r>
    </w:p>
    <w:p w14:paraId="1FA06412" w14:textId="77777777" w:rsidR="00461110" w:rsidRPr="00461110" w:rsidRDefault="00461110" w:rsidP="00461110">
      <w:pPr>
        <w:numPr>
          <w:ilvl w:val="0"/>
          <w:numId w:val="28"/>
        </w:numPr>
        <w:overflowPunct w:val="0"/>
        <w:autoSpaceDE w:val="0"/>
        <w:autoSpaceDN w:val="0"/>
        <w:adjustRightInd w:val="0"/>
        <w:spacing w:after="120"/>
        <w:textAlignment w:val="baseline"/>
        <w:rPr>
          <w:rFonts w:eastAsia="MS Mincho"/>
          <w:i/>
          <w:iCs/>
          <w:sz w:val="21"/>
          <w:szCs w:val="21"/>
          <w:lang w:val="en-GB"/>
        </w:rPr>
      </w:pPr>
      <w:r w:rsidRPr="00461110">
        <w:rPr>
          <w:rFonts w:eastAsia="MS Mincho"/>
          <w:i/>
          <w:iCs/>
          <w:sz w:val="21"/>
          <w:szCs w:val="21"/>
          <w:lang w:val="en-GB"/>
        </w:rPr>
        <w:t>For PC 1 MPR:</w:t>
      </w:r>
    </w:p>
    <w:p w14:paraId="672BD92F" w14:textId="77777777" w:rsidR="00461110" w:rsidRPr="00461110" w:rsidRDefault="00461110" w:rsidP="00461110">
      <w:pPr>
        <w:numPr>
          <w:ilvl w:val="0"/>
          <w:numId w:val="10"/>
        </w:numPr>
        <w:spacing w:after="120"/>
        <w:rPr>
          <w:rFonts w:eastAsia="SimSun"/>
          <w:i/>
          <w:iCs/>
          <w:sz w:val="21"/>
          <w:szCs w:val="21"/>
          <w:lang w:val="en-GB"/>
        </w:rPr>
      </w:pPr>
      <w:r w:rsidRPr="00461110">
        <w:rPr>
          <w:rFonts w:eastAsia="SimSun"/>
          <w:i/>
          <w:iCs/>
          <w:sz w:val="21"/>
          <w:szCs w:val="21"/>
          <w:lang w:val="en-GB"/>
        </w:rPr>
        <w:t xml:space="preserve">Option 1: If PC1 ACLR reused TN PC1 ACLR as 37 </w:t>
      </w:r>
      <w:proofErr w:type="spellStart"/>
      <w:r w:rsidRPr="00461110">
        <w:rPr>
          <w:rFonts w:eastAsia="SimSun"/>
          <w:i/>
          <w:iCs/>
          <w:sz w:val="21"/>
          <w:szCs w:val="21"/>
          <w:lang w:val="en-GB"/>
        </w:rPr>
        <w:t>dBc</w:t>
      </w:r>
      <w:proofErr w:type="spellEnd"/>
      <w:r w:rsidRPr="00461110">
        <w:rPr>
          <w:rFonts w:eastAsia="SimSun"/>
          <w:i/>
          <w:iCs/>
          <w:sz w:val="21"/>
          <w:szCs w:val="21"/>
          <w:lang w:val="en-GB"/>
        </w:rPr>
        <w:t>:</w:t>
      </w:r>
    </w:p>
    <w:p w14:paraId="1837C754"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Option 1-1: Existing MPR requirements for PC1 in TS 38.101-1 applies</w:t>
      </w:r>
    </w:p>
    <w:p w14:paraId="2EE6A088"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Option 1-2: More analysis is needed to revisit the MPR requirements from TN spec.</w:t>
      </w:r>
    </w:p>
    <w:p w14:paraId="60A95207" w14:textId="77777777" w:rsidR="00461110" w:rsidRPr="00461110" w:rsidRDefault="00461110" w:rsidP="00461110">
      <w:pPr>
        <w:numPr>
          <w:ilvl w:val="0"/>
          <w:numId w:val="10"/>
        </w:numPr>
        <w:spacing w:after="120"/>
        <w:rPr>
          <w:rFonts w:eastAsia="SimSun"/>
          <w:i/>
          <w:iCs/>
          <w:sz w:val="21"/>
          <w:szCs w:val="21"/>
          <w:lang w:val="en-GB"/>
        </w:rPr>
      </w:pPr>
      <w:r w:rsidRPr="00461110">
        <w:rPr>
          <w:rFonts w:eastAsia="SimSun" w:hint="eastAsia"/>
          <w:i/>
          <w:iCs/>
          <w:sz w:val="21"/>
          <w:szCs w:val="21"/>
          <w:lang w:val="en-GB"/>
        </w:rPr>
        <w:lastRenderedPageBreak/>
        <w:t>O</w:t>
      </w:r>
      <w:r w:rsidRPr="00461110">
        <w:rPr>
          <w:rFonts w:eastAsia="SimSun"/>
          <w:i/>
          <w:iCs/>
          <w:sz w:val="21"/>
          <w:szCs w:val="21"/>
          <w:lang w:val="en-GB"/>
        </w:rPr>
        <w:t xml:space="preserve">ption 2: Aim for MPR analysis for PC1 for other ACLR values [31 or 34] </w:t>
      </w:r>
      <w:proofErr w:type="spellStart"/>
      <w:r w:rsidRPr="00461110">
        <w:rPr>
          <w:rFonts w:eastAsia="SimSun"/>
          <w:i/>
          <w:iCs/>
          <w:sz w:val="21"/>
          <w:szCs w:val="21"/>
          <w:lang w:val="en-GB"/>
        </w:rPr>
        <w:t>dBc</w:t>
      </w:r>
      <w:proofErr w:type="spellEnd"/>
    </w:p>
    <w:p w14:paraId="5ABCC177" w14:textId="77777777" w:rsidR="00461110" w:rsidRPr="00461110" w:rsidRDefault="00461110" w:rsidP="00461110">
      <w:pPr>
        <w:numPr>
          <w:ilvl w:val="0"/>
          <w:numId w:val="28"/>
        </w:numPr>
        <w:overflowPunct w:val="0"/>
        <w:autoSpaceDE w:val="0"/>
        <w:autoSpaceDN w:val="0"/>
        <w:adjustRightInd w:val="0"/>
        <w:spacing w:after="120"/>
        <w:textAlignment w:val="baseline"/>
        <w:rPr>
          <w:rFonts w:eastAsia="MS Mincho"/>
          <w:i/>
          <w:iCs/>
          <w:sz w:val="21"/>
          <w:szCs w:val="21"/>
          <w:lang w:val="en-GB"/>
        </w:rPr>
      </w:pPr>
      <w:r w:rsidRPr="00461110">
        <w:rPr>
          <w:rFonts w:eastAsia="MS Mincho"/>
          <w:i/>
          <w:iCs/>
          <w:sz w:val="21"/>
          <w:szCs w:val="21"/>
          <w:lang w:val="en-GB"/>
        </w:rPr>
        <w:t>Aim for MPR/A-MPR analysis in #114bis for different power classes</w:t>
      </w:r>
    </w:p>
    <w:p w14:paraId="1656D3CA" w14:textId="77777777" w:rsidR="00461110" w:rsidRPr="00461110" w:rsidRDefault="00461110" w:rsidP="00461110">
      <w:pPr>
        <w:numPr>
          <w:ilvl w:val="0"/>
          <w:numId w:val="10"/>
        </w:numPr>
        <w:spacing w:after="120"/>
        <w:rPr>
          <w:rFonts w:eastAsia="SimSun"/>
          <w:i/>
          <w:iCs/>
          <w:sz w:val="21"/>
          <w:szCs w:val="21"/>
          <w:lang w:val="en-GB"/>
        </w:rPr>
      </w:pPr>
      <w:r w:rsidRPr="00461110">
        <w:rPr>
          <w:rFonts w:eastAsia="SimSun"/>
          <w:i/>
          <w:iCs/>
          <w:sz w:val="21"/>
          <w:szCs w:val="21"/>
          <w:lang w:val="en-GB"/>
        </w:rPr>
        <w:t>For PA model calibration:</w:t>
      </w:r>
    </w:p>
    <w:p w14:paraId="1C07B2E5"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DFT-s-OFDM QPSK 20 MHz</w:t>
      </w:r>
    </w:p>
    <w:p w14:paraId="6E66ABBE"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100RB0</w:t>
      </w:r>
    </w:p>
    <w:p w14:paraId="73D78CD5"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4dB post PA loss</w:t>
      </w:r>
    </w:p>
    <w:p w14:paraId="2F42CE7A"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1dB MPR</w:t>
      </w:r>
    </w:p>
    <w:p w14:paraId="30F7E4FB"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Carrier leakage 28dBc</w:t>
      </w:r>
    </w:p>
    <w:p w14:paraId="31182FAD"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 xml:space="preserve">IQ image:28 </w:t>
      </w:r>
      <w:proofErr w:type="spellStart"/>
      <w:r w:rsidRPr="00461110">
        <w:rPr>
          <w:rFonts w:eastAsia="SimSun"/>
          <w:i/>
          <w:iCs/>
          <w:sz w:val="21"/>
          <w:szCs w:val="21"/>
          <w:lang w:val="en-GB"/>
        </w:rPr>
        <w:t>dBc</w:t>
      </w:r>
      <w:proofErr w:type="spellEnd"/>
    </w:p>
    <w:p w14:paraId="07E9C60F"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 xml:space="preserve">CIM3: 60 </w:t>
      </w:r>
      <w:proofErr w:type="spellStart"/>
      <w:r w:rsidRPr="00461110">
        <w:rPr>
          <w:rFonts w:eastAsia="SimSun"/>
          <w:i/>
          <w:iCs/>
          <w:sz w:val="21"/>
          <w:szCs w:val="21"/>
          <w:lang w:val="en-GB"/>
        </w:rPr>
        <w:t>dBc</w:t>
      </w:r>
      <w:proofErr w:type="spellEnd"/>
    </w:p>
    <w:p w14:paraId="2E5FE87E"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ACLR: PC2 [</w:t>
      </w:r>
      <w:proofErr w:type="gramStart"/>
      <w:r w:rsidRPr="00461110">
        <w:rPr>
          <w:rFonts w:eastAsia="SimSun"/>
          <w:i/>
          <w:iCs/>
          <w:sz w:val="21"/>
          <w:szCs w:val="21"/>
          <w:lang w:val="en-GB"/>
        </w:rPr>
        <w:t>31]dB</w:t>
      </w:r>
      <w:proofErr w:type="gramEnd"/>
      <w:r w:rsidRPr="00461110">
        <w:rPr>
          <w:rFonts w:eastAsia="SimSun"/>
          <w:i/>
          <w:iCs/>
          <w:sz w:val="21"/>
          <w:szCs w:val="21"/>
          <w:lang w:val="en-GB"/>
        </w:rPr>
        <w:t>, PC1.5 [31]dB, PC1 [31]dB</w:t>
      </w:r>
    </w:p>
    <w:p w14:paraId="306708B5"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SEM: existing PC3 SEM</w:t>
      </w:r>
    </w:p>
    <w:p w14:paraId="7BC5E6E9" w14:textId="77777777" w:rsidR="00461110" w:rsidRPr="00461110" w:rsidRDefault="00461110" w:rsidP="00461110">
      <w:pPr>
        <w:numPr>
          <w:ilvl w:val="1"/>
          <w:numId w:val="10"/>
        </w:numPr>
        <w:spacing w:after="120"/>
        <w:ind w:left="1656"/>
        <w:rPr>
          <w:rFonts w:eastAsia="SimSun"/>
          <w:i/>
          <w:iCs/>
          <w:sz w:val="21"/>
          <w:szCs w:val="21"/>
          <w:lang w:val="en-GB"/>
        </w:rPr>
      </w:pPr>
      <w:r w:rsidRPr="00461110">
        <w:rPr>
          <w:rFonts w:eastAsia="SimSun"/>
          <w:i/>
          <w:iCs/>
          <w:sz w:val="21"/>
          <w:szCs w:val="21"/>
          <w:lang w:val="en-GB"/>
        </w:rPr>
        <w:t>EVM: 17.5%</w:t>
      </w:r>
    </w:p>
    <w:p w14:paraId="1BF78053" w14:textId="4055F057" w:rsidR="00461110" w:rsidRDefault="00461110" w:rsidP="00DE2D11">
      <w:pPr>
        <w:spacing w:after="180"/>
        <w:rPr>
          <w:sz w:val="21"/>
          <w:szCs w:val="21"/>
          <w:lang w:val="en-GB" w:eastAsia="en-GB"/>
        </w:rPr>
      </w:pPr>
      <w:r w:rsidRPr="00461110">
        <w:rPr>
          <w:sz w:val="21"/>
          <w:szCs w:val="21"/>
          <w:lang w:val="en-GB" w:eastAsia="en-GB"/>
        </w:rPr>
        <w:t>If</w:t>
      </w:r>
      <w:r>
        <w:rPr>
          <w:sz w:val="21"/>
          <w:szCs w:val="21"/>
          <w:lang w:val="en-GB" w:eastAsia="en-GB"/>
        </w:rPr>
        <w:t xml:space="preserve"> both</w:t>
      </w:r>
      <w:r w:rsidRPr="00461110">
        <w:rPr>
          <w:sz w:val="21"/>
          <w:szCs w:val="21"/>
          <w:lang w:val="en-GB" w:eastAsia="en-GB"/>
        </w:rPr>
        <w:t xml:space="preserve"> th</w:t>
      </w:r>
      <w:r>
        <w:rPr>
          <w:sz w:val="21"/>
          <w:szCs w:val="21"/>
          <w:lang w:val="en-GB" w:eastAsia="en-GB"/>
        </w:rPr>
        <w:t xml:space="preserve">e ACLR and the SEM requirements are reused from the TN, the same MPR requirements </w:t>
      </w:r>
      <w:r w:rsidR="00F768FE">
        <w:rPr>
          <w:sz w:val="21"/>
          <w:szCs w:val="21"/>
          <w:lang w:val="en-GB" w:eastAsia="en-GB"/>
        </w:rPr>
        <w:t>should</w:t>
      </w:r>
      <w:r>
        <w:rPr>
          <w:sz w:val="21"/>
          <w:szCs w:val="21"/>
          <w:lang w:val="en-GB" w:eastAsia="en-GB"/>
        </w:rPr>
        <w:t xml:space="preserve"> be specified as well. </w:t>
      </w:r>
    </w:p>
    <w:p w14:paraId="0C87ACBD" w14:textId="76C704B8" w:rsidR="00461110" w:rsidRPr="00461110" w:rsidRDefault="00461110" w:rsidP="00461110">
      <w:pPr>
        <w:overflowPunct w:val="0"/>
        <w:autoSpaceDE w:val="0"/>
        <w:autoSpaceDN w:val="0"/>
        <w:spacing w:after="180"/>
        <w:textAlignment w:val="baseline"/>
        <w:rPr>
          <w:b/>
          <w:bCs/>
          <w:sz w:val="21"/>
          <w:szCs w:val="21"/>
          <w:lang w:val="en-GB" w:eastAsia="en-GB"/>
        </w:rPr>
      </w:pPr>
      <w:r w:rsidRPr="001F0F93">
        <w:rPr>
          <w:b/>
          <w:bCs/>
          <w:sz w:val="21"/>
          <w:szCs w:val="21"/>
          <w:lang w:val="en-GB" w:eastAsia="en-GB"/>
        </w:rPr>
        <w:t xml:space="preserve">Proposal </w:t>
      </w:r>
      <w:r>
        <w:rPr>
          <w:b/>
          <w:bCs/>
          <w:sz w:val="21"/>
          <w:szCs w:val="21"/>
          <w:lang w:val="en-GB" w:eastAsia="en-GB"/>
        </w:rPr>
        <w:t>3</w:t>
      </w:r>
      <w:r w:rsidRPr="001F0F93">
        <w:rPr>
          <w:b/>
          <w:bCs/>
          <w:sz w:val="21"/>
          <w:szCs w:val="21"/>
          <w:lang w:val="en-GB" w:eastAsia="en-GB"/>
        </w:rPr>
        <w:t xml:space="preserve">: </w:t>
      </w:r>
      <w:r>
        <w:rPr>
          <w:b/>
          <w:bCs/>
          <w:sz w:val="21"/>
          <w:szCs w:val="21"/>
          <w:lang w:val="en-GB" w:eastAsia="en-GB"/>
        </w:rPr>
        <w:t>Specify the same MPR requirements as for the TN for each of PC1, PC1.5 and PC2</w:t>
      </w:r>
      <w:r w:rsidRPr="001F0F93">
        <w:rPr>
          <w:b/>
          <w:bCs/>
          <w:sz w:val="21"/>
          <w:szCs w:val="21"/>
          <w:lang w:val="en-GB" w:eastAsia="en-GB"/>
        </w:rPr>
        <w:t xml:space="preserve">. </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5795B017"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8D5A25">
        <w:rPr>
          <w:rFonts w:ascii="Arial" w:eastAsiaTheme="minorHAnsi" w:hAnsi="Arial" w:cstheme="minorBidi"/>
          <w:sz w:val="20"/>
          <w:szCs w:val="22"/>
        </w:rPr>
        <w:t xml:space="preserve">made </w:t>
      </w:r>
      <w:r w:rsidR="009F0552">
        <w:rPr>
          <w:rFonts w:ascii="Arial" w:eastAsiaTheme="minorHAnsi" w:hAnsi="Arial" w:cstheme="minorBidi"/>
          <w:sz w:val="20"/>
          <w:szCs w:val="22"/>
        </w:rPr>
        <w:t xml:space="preserve">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27A9C826" w14:textId="77777777" w:rsidR="00F768FE" w:rsidRPr="00567722" w:rsidRDefault="00F768FE" w:rsidP="00F768FE">
      <w:pPr>
        <w:overflowPunct w:val="0"/>
        <w:autoSpaceDE w:val="0"/>
        <w:autoSpaceDN w:val="0"/>
        <w:spacing w:after="180"/>
        <w:textAlignment w:val="baseline"/>
        <w:rPr>
          <w:b/>
          <w:bCs/>
          <w:sz w:val="21"/>
          <w:szCs w:val="21"/>
          <w:lang w:val="en-GB" w:eastAsia="en-GB"/>
        </w:rPr>
      </w:pPr>
      <w:r w:rsidRPr="001F0F93">
        <w:rPr>
          <w:b/>
          <w:bCs/>
          <w:sz w:val="21"/>
          <w:szCs w:val="21"/>
          <w:lang w:val="en-GB" w:eastAsia="en-GB"/>
        </w:rPr>
        <w:t xml:space="preserve">Proposal </w:t>
      </w:r>
      <w:r>
        <w:rPr>
          <w:b/>
          <w:bCs/>
          <w:sz w:val="21"/>
          <w:szCs w:val="21"/>
          <w:lang w:val="en-GB" w:eastAsia="en-GB"/>
        </w:rPr>
        <w:t>1</w:t>
      </w:r>
      <w:r w:rsidRPr="001F0F93">
        <w:rPr>
          <w:b/>
          <w:bCs/>
          <w:sz w:val="21"/>
          <w:szCs w:val="21"/>
          <w:lang w:val="en-GB" w:eastAsia="en-GB"/>
        </w:rPr>
        <w:t xml:space="preserve">: </w:t>
      </w:r>
      <w:r>
        <w:rPr>
          <w:b/>
          <w:bCs/>
          <w:sz w:val="21"/>
          <w:szCs w:val="21"/>
          <w:lang w:val="en-GB" w:eastAsia="en-GB"/>
        </w:rPr>
        <w:t>Postpone the introduction of 4Tx support for PC1 to Rel-20, which is aligned with TN</w:t>
      </w:r>
      <w:r w:rsidRPr="001F0F93">
        <w:rPr>
          <w:b/>
          <w:bCs/>
          <w:sz w:val="21"/>
          <w:szCs w:val="21"/>
          <w:lang w:val="en-GB" w:eastAsia="en-GB"/>
        </w:rPr>
        <w:t xml:space="preserve">. </w:t>
      </w:r>
    </w:p>
    <w:p w14:paraId="0539A588" w14:textId="77777777" w:rsidR="00F768FE" w:rsidRPr="009C4B95" w:rsidRDefault="00F768FE" w:rsidP="00F768FE">
      <w:pPr>
        <w:overflowPunct w:val="0"/>
        <w:autoSpaceDE w:val="0"/>
        <w:autoSpaceDN w:val="0"/>
        <w:spacing w:after="180"/>
        <w:textAlignment w:val="baseline"/>
        <w:rPr>
          <w:b/>
          <w:bCs/>
          <w:sz w:val="21"/>
          <w:szCs w:val="21"/>
          <w:lang w:val="en-GB" w:eastAsia="en-GB"/>
        </w:rPr>
      </w:pPr>
      <w:r w:rsidRPr="001F0F93">
        <w:rPr>
          <w:b/>
          <w:bCs/>
          <w:sz w:val="21"/>
          <w:szCs w:val="21"/>
          <w:lang w:val="en-GB" w:eastAsia="en-GB"/>
        </w:rPr>
        <w:t xml:space="preserve">Proposal </w:t>
      </w:r>
      <w:r>
        <w:rPr>
          <w:b/>
          <w:bCs/>
          <w:sz w:val="21"/>
          <w:szCs w:val="21"/>
          <w:lang w:val="en-GB" w:eastAsia="en-GB"/>
        </w:rPr>
        <w:t>2</w:t>
      </w:r>
      <w:r w:rsidRPr="001F0F93">
        <w:rPr>
          <w:b/>
          <w:bCs/>
          <w:sz w:val="21"/>
          <w:szCs w:val="21"/>
          <w:lang w:val="en-GB" w:eastAsia="en-GB"/>
        </w:rPr>
        <w:t xml:space="preserve">: </w:t>
      </w:r>
      <w:r>
        <w:rPr>
          <w:b/>
          <w:bCs/>
          <w:sz w:val="21"/>
          <w:szCs w:val="21"/>
          <w:lang w:val="en-GB" w:eastAsia="en-GB"/>
        </w:rPr>
        <w:t>Specify the same ACLR requirements as for TN networks: 37 dB for PC1, 31 dB for PC1.5 and 31 dB for PC2</w:t>
      </w:r>
      <w:r w:rsidRPr="001F0F93">
        <w:rPr>
          <w:b/>
          <w:bCs/>
          <w:sz w:val="21"/>
          <w:szCs w:val="21"/>
          <w:lang w:val="en-GB" w:eastAsia="en-GB"/>
        </w:rPr>
        <w:t xml:space="preserve">. </w:t>
      </w:r>
    </w:p>
    <w:p w14:paraId="50CD12D6" w14:textId="77777777" w:rsidR="00F768FE" w:rsidRPr="00461110" w:rsidRDefault="00F768FE" w:rsidP="00F768FE">
      <w:pPr>
        <w:overflowPunct w:val="0"/>
        <w:autoSpaceDE w:val="0"/>
        <w:autoSpaceDN w:val="0"/>
        <w:spacing w:after="180"/>
        <w:textAlignment w:val="baseline"/>
        <w:rPr>
          <w:b/>
          <w:bCs/>
          <w:sz w:val="21"/>
          <w:szCs w:val="21"/>
          <w:lang w:val="en-GB" w:eastAsia="en-GB"/>
        </w:rPr>
      </w:pPr>
      <w:r w:rsidRPr="001F0F93">
        <w:rPr>
          <w:b/>
          <w:bCs/>
          <w:sz w:val="21"/>
          <w:szCs w:val="21"/>
          <w:lang w:val="en-GB" w:eastAsia="en-GB"/>
        </w:rPr>
        <w:t xml:space="preserve">Proposal </w:t>
      </w:r>
      <w:r>
        <w:rPr>
          <w:b/>
          <w:bCs/>
          <w:sz w:val="21"/>
          <w:szCs w:val="21"/>
          <w:lang w:val="en-GB" w:eastAsia="en-GB"/>
        </w:rPr>
        <w:t>3</w:t>
      </w:r>
      <w:r w:rsidRPr="001F0F93">
        <w:rPr>
          <w:b/>
          <w:bCs/>
          <w:sz w:val="21"/>
          <w:szCs w:val="21"/>
          <w:lang w:val="en-GB" w:eastAsia="en-GB"/>
        </w:rPr>
        <w:t xml:space="preserve">: </w:t>
      </w:r>
      <w:r>
        <w:rPr>
          <w:b/>
          <w:bCs/>
          <w:sz w:val="21"/>
          <w:szCs w:val="21"/>
          <w:lang w:val="en-GB" w:eastAsia="en-GB"/>
        </w:rPr>
        <w:t>Specify the same MPR requirements as for the TN for each of PC1, PC1.5 and PC2</w:t>
      </w:r>
      <w:r w:rsidRPr="001F0F93">
        <w:rPr>
          <w:b/>
          <w:bCs/>
          <w:sz w:val="21"/>
          <w:szCs w:val="21"/>
          <w:lang w:val="en-GB" w:eastAsia="en-GB"/>
        </w:rPr>
        <w:t xml:space="preserve">. </w:t>
      </w: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128D06D" w14:textId="77777777" w:rsidR="000F5597" w:rsidRPr="00DB233E" w:rsidRDefault="000F5597" w:rsidP="000F5597">
      <w:pPr>
        <w:pStyle w:val="ListParagraph"/>
        <w:numPr>
          <w:ilvl w:val="0"/>
          <w:numId w:val="13"/>
        </w:numPr>
        <w:ind w:firstLineChars="0"/>
        <w:jc w:val="both"/>
        <w:rPr>
          <w:rFonts w:ascii="Arial" w:hAnsi="Arial" w:cs="Arial"/>
          <w:iCs/>
          <w:sz w:val="22"/>
          <w:szCs w:val="22"/>
        </w:rPr>
      </w:pPr>
      <w:bookmarkStart w:id="1" w:name="_Ref129967845"/>
      <w:bookmarkStart w:id="2" w:name="_Hlk180683891"/>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1"/>
    </w:p>
    <w:p w14:paraId="4F992F70" w14:textId="116D44F5" w:rsidR="006977D1" w:rsidRDefault="00DB233E" w:rsidP="007777FE">
      <w:pPr>
        <w:pStyle w:val="ListParagraph"/>
        <w:numPr>
          <w:ilvl w:val="0"/>
          <w:numId w:val="13"/>
        </w:numPr>
        <w:ind w:firstLineChars="0"/>
        <w:jc w:val="both"/>
        <w:rPr>
          <w:iCs/>
          <w:sz w:val="22"/>
          <w:szCs w:val="22"/>
        </w:rPr>
      </w:pPr>
      <w:r w:rsidRPr="00DB233E">
        <w:rPr>
          <w:iCs/>
          <w:sz w:val="22"/>
          <w:szCs w:val="22"/>
        </w:rPr>
        <w:t>R4-</w:t>
      </w:r>
      <w:r>
        <w:rPr>
          <w:iCs/>
          <w:sz w:val="22"/>
          <w:szCs w:val="22"/>
        </w:rPr>
        <w:t>2</w:t>
      </w:r>
      <w:r w:rsidR="00F54A15">
        <w:rPr>
          <w:iCs/>
          <w:sz w:val="22"/>
          <w:szCs w:val="22"/>
        </w:rPr>
        <w:t>502954</w:t>
      </w:r>
      <w:r>
        <w:rPr>
          <w:iCs/>
          <w:sz w:val="22"/>
          <w:szCs w:val="22"/>
        </w:rPr>
        <w:t>, “</w:t>
      </w:r>
      <w:r w:rsidR="00F54A15" w:rsidRPr="00F54A15">
        <w:rPr>
          <w:iCs/>
          <w:sz w:val="22"/>
          <w:szCs w:val="22"/>
        </w:rPr>
        <w:t xml:space="preserve">WF on HPUE </w:t>
      </w:r>
      <w:proofErr w:type="spellStart"/>
      <w:r w:rsidR="00F54A15" w:rsidRPr="00F54A15">
        <w:rPr>
          <w:iCs/>
          <w:sz w:val="22"/>
          <w:szCs w:val="22"/>
        </w:rPr>
        <w:t>requirments</w:t>
      </w:r>
      <w:proofErr w:type="spellEnd"/>
      <w:r w:rsidR="00F54A15" w:rsidRPr="00F54A15">
        <w:rPr>
          <w:iCs/>
          <w:sz w:val="22"/>
          <w:szCs w:val="22"/>
        </w:rPr>
        <w:t xml:space="preserve"> for NR-NTN</w:t>
      </w:r>
      <w:r>
        <w:rPr>
          <w:iCs/>
          <w:sz w:val="22"/>
          <w:szCs w:val="22"/>
        </w:rPr>
        <w:t>”, Samsung, RAN4#11</w:t>
      </w:r>
      <w:r w:rsidR="00F54A15">
        <w:rPr>
          <w:iCs/>
          <w:sz w:val="22"/>
          <w:szCs w:val="22"/>
        </w:rPr>
        <w:t>4</w:t>
      </w:r>
      <w:r>
        <w:rPr>
          <w:iCs/>
          <w:sz w:val="22"/>
          <w:szCs w:val="22"/>
        </w:rPr>
        <w:t>.</w:t>
      </w:r>
      <w:bookmarkEnd w:id="2"/>
    </w:p>
    <w:p w14:paraId="28E901C8" w14:textId="43F889A3" w:rsidR="00F768FE" w:rsidRPr="00F768FE" w:rsidRDefault="00F768FE" w:rsidP="007777FE">
      <w:pPr>
        <w:pStyle w:val="ListParagraph"/>
        <w:numPr>
          <w:ilvl w:val="0"/>
          <w:numId w:val="13"/>
        </w:numPr>
        <w:ind w:firstLineChars="0"/>
        <w:jc w:val="both"/>
        <w:rPr>
          <w:iCs/>
          <w:sz w:val="22"/>
          <w:szCs w:val="22"/>
        </w:rPr>
      </w:pPr>
      <w:r>
        <w:rPr>
          <w:iCs/>
          <w:sz w:val="22"/>
          <w:szCs w:val="22"/>
        </w:rPr>
        <w:t>R4-2501401, “</w:t>
      </w:r>
      <w:r w:rsidRPr="00F768FE">
        <w:rPr>
          <w:iCs/>
          <w:sz w:val="22"/>
          <w:szCs w:val="22"/>
        </w:rPr>
        <w:t>On Co-existence simulation results for NR-NTN and NB-IoT-NTN HP UE</w:t>
      </w:r>
      <w:r>
        <w:rPr>
          <w:iCs/>
          <w:sz w:val="22"/>
          <w:szCs w:val="22"/>
        </w:rPr>
        <w:t>”, Ericsson, RAN4#114.</w:t>
      </w:r>
    </w:p>
    <w:sectPr w:rsidR="00F768FE" w:rsidRPr="00F768F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C26158"/>
    <w:multiLevelType w:val="hybridMultilevel"/>
    <w:tmpl w:val="788AC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11"/>
  </w:num>
  <w:num w:numId="2" w16cid:durableId="206456521">
    <w:abstractNumId w:val="15"/>
  </w:num>
  <w:num w:numId="3" w16cid:durableId="2114860448">
    <w:abstractNumId w:val="4"/>
  </w:num>
  <w:num w:numId="4" w16cid:durableId="236524273">
    <w:abstractNumId w:val="16"/>
  </w:num>
  <w:num w:numId="5" w16cid:durableId="124935407">
    <w:abstractNumId w:val="17"/>
  </w:num>
  <w:num w:numId="6" w16cid:durableId="910846781">
    <w:abstractNumId w:val="20"/>
  </w:num>
  <w:num w:numId="7" w16cid:durableId="730082185">
    <w:abstractNumId w:val="19"/>
  </w:num>
  <w:num w:numId="8" w16cid:durableId="575479695">
    <w:abstractNumId w:val="13"/>
  </w:num>
  <w:num w:numId="9" w16cid:durableId="1112823213">
    <w:abstractNumId w:val="12"/>
  </w:num>
  <w:num w:numId="10" w16cid:durableId="614143105">
    <w:abstractNumId w:val="18"/>
  </w:num>
  <w:num w:numId="11" w16cid:durableId="1213073752">
    <w:abstractNumId w:val="10"/>
  </w:num>
  <w:num w:numId="12" w16cid:durableId="341251335">
    <w:abstractNumId w:val="22"/>
  </w:num>
  <w:num w:numId="13" w16cid:durableId="338388040">
    <w:abstractNumId w:val="26"/>
  </w:num>
  <w:num w:numId="14" w16cid:durableId="683022094">
    <w:abstractNumId w:val="5"/>
  </w:num>
  <w:num w:numId="15" w16cid:durableId="598368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5"/>
  </w:num>
  <w:num w:numId="18" w16cid:durableId="1737237130">
    <w:abstractNumId w:val="2"/>
  </w:num>
  <w:num w:numId="19" w16cid:durableId="1797213994">
    <w:abstractNumId w:val="1"/>
  </w:num>
  <w:num w:numId="20" w16cid:durableId="631712426">
    <w:abstractNumId w:val="3"/>
  </w:num>
  <w:num w:numId="21" w16cid:durableId="411582248">
    <w:abstractNumId w:val="21"/>
  </w:num>
  <w:num w:numId="22" w16cid:durableId="257518371">
    <w:abstractNumId w:val="6"/>
  </w:num>
  <w:num w:numId="23" w16cid:durableId="1330055923">
    <w:abstractNumId w:val="8"/>
  </w:num>
  <w:num w:numId="24" w16cid:durableId="73283000">
    <w:abstractNumId w:val="7"/>
  </w:num>
  <w:num w:numId="25" w16cid:durableId="1923754694">
    <w:abstractNumId w:val="24"/>
  </w:num>
  <w:num w:numId="26" w16cid:durableId="248199157">
    <w:abstractNumId w:val="23"/>
  </w:num>
  <w:num w:numId="27" w16cid:durableId="431051435">
    <w:abstractNumId w:val="9"/>
  </w:num>
  <w:num w:numId="28" w16cid:durableId="3625613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0E56"/>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0DB"/>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16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CC5"/>
    <w:rsid w:val="000E5D86"/>
    <w:rsid w:val="000E622F"/>
    <w:rsid w:val="000E672B"/>
    <w:rsid w:val="000E7858"/>
    <w:rsid w:val="000F06FA"/>
    <w:rsid w:val="000F0F7B"/>
    <w:rsid w:val="000F111D"/>
    <w:rsid w:val="000F169B"/>
    <w:rsid w:val="000F3315"/>
    <w:rsid w:val="000F39CA"/>
    <w:rsid w:val="000F45A3"/>
    <w:rsid w:val="000F50E9"/>
    <w:rsid w:val="000F5368"/>
    <w:rsid w:val="000F5597"/>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3EA9"/>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6D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0F93"/>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A13"/>
    <w:rsid w:val="00256B34"/>
    <w:rsid w:val="00257009"/>
    <w:rsid w:val="0025794A"/>
    <w:rsid w:val="00257CE6"/>
    <w:rsid w:val="00260162"/>
    <w:rsid w:val="00260EC7"/>
    <w:rsid w:val="00260FBC"/>
    <w:rsid w:val="00261288"/>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43D"/>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47D8"/>
    <w:rsid w:val="002C4B52"/>
    <w:rsid w:val="002C652B"/>
    <w:rsid w:val="002C6913"/>
    <w:rsid w:val="002C6C1C"/>
    <w:rsid w:val="002C7713"/>
    <w:rsid w:val="002D03E5"/>
    <w:rsid w:val="002D0F9C"/>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B33"/>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1D94"/>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11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082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23C5"/>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4C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67722"/>
    <w:rsid w:val="0057001A"/>
    <w:rsid w:val="005700AD"/>
    <w:rsid w:val="0057050F"/>
    <w:rsid w:val="00570655"/>
    <w:rsid w:val="00570700"/>
    <w:rsid w:val="005708FA"/>
    <w:rsid w:val="005709A7"/>
    <w:rsid w:val="00570B2A"/>
    <w:rsid w:val="00571245"/>
    <w:rsid w:val="005714E7"/>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26C3"/>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2ADF"/>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6388"/>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5D8"/>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0EEA"/>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0DF"/>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7FE"/>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AA4"/>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539"/>
    <w:rsid w:val="008D2919"/>
    <w:rsid w:val="008D3035"/>
    <w:rsid w:val="008D3DF5"/>
    <w:rsid w:val="008D5922"/>
    <w:rsid w:val="008D5980"/>
    <w:rsid w:val="008D5A25"/>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5A"/>
    <w:rsid w:val="008F5D74"/>
    <w:rsid w:val="008F5DDB"/>
    <w:rsid w:val="008F6056"/>
    <w:rsid w:val="008F6AA2"/>
    <w:rsid w:val="008F6AD1"/>
    <w:rsid w:val="008F6E60"/>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41C"/>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1C3"/>
    <w:rsid w:val="009509AA"/>
    <w:rsid w:val="0095139A"/>
    <w:rsid w:val="009524F9"/>
    <w:rsid w:val="009530EC"/>
    <w:rsid w:val="00953E16"/>
    <w:rsid w:val="00953EF9"/>
    <w:rsid w:val="009542AC"/>
    <w:rsid w:val="00954F01"/>
    <w:rsid w:val="00956A19"/>
    <w:rsid w:val="009570F9"/>
    <w:rsid w:val="0095767C"/>
    <w:rsid w:val="009606B5"/>
    <w:rsid w:val="00960703"/>
    <w:rsid w:val="00960B37"/>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B7051"/>
    <w:rsid w:val="009C0727"/>
    <w:rsid w:val="009C15C7"/>
    <w:rsid w:val="009C20AB"/>
    <w:rsid w:val="009C2534"/>
    <w:rsid w:val="009C29D6"/>
    <w:rsid w:val="009C2BF6"/>
    <w:rsid w:val="009C2CFE"/>
    <w:rsid w:val="009C2D1C"/>
    <w:rsid w:val="009C364F"/>
    <w:rsid w:val="009C3C80"/>
    <w:rsid w:val="009C3F80"/>
    <w:rsid w:val="009C45EC"/>
    <w:rsid w:val="009C492F"/>
    <w:rsid w:val="009C4B95"/>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3F41"/>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B01"/>
    <w:rsid w:val="00A9371E"/>
    <w:rsid w:val="00A93F9F"/>
    <w:rsid w:val="00A9420E"/>
    <w:rsid w:val="00A95047"/>
    <w:rsid w:val="00A9505C"/>
    <w:rsid w:val="00A95211"/>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4945"/>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3C7"/>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01A"/>
    <w:rsid w:val="00BC44FE"/>
    <w:rsid w:val="00BC5982"/>
    <w:rsid w:val="00BC5EB8"/>
    <w:rsid w:val="00BC60BF"/>
    <w:rsid w:val="00BC6744"/>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5BF9"/>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188"/>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5F01"/>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B98"/>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1B04"/>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471E2"/>
    <w:rsid w:val="00D47AAA"/>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94F"/>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77100"/>
    <w:rsid w:val="00D803D0"/>
    <w:rsid w:val="00D80786"/>
    <w:rsid w:val="00D80945"/>
    <w:rsid w:val="00D815EA"/>
    <w:rsid w:val="00D81714"/>
    <w:rsid w:val="00D819FD"/>
    <w:rsid w:val="00D81CAB"/>
    <w:rsid w:val="00D829FC"/>
    <w:rsid w:val="00D82C78"/>
    <w:rsid w:val="00D838CC"/>
    <w:rsid w:val="00D840B0"/>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33E"/>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2D11"/>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4709"/>
    <w:rsid w:val="00E1552D"/>
    <w:rsid w:val="00E156FF"/>
    <w:rsid w:val="00E1604E"/>
    <w:rsid w:val="00E160A5"/>
    <w:rsid w:val="00E16C21"/>
    <w:rsid w:val="00E1713D"/>
    <w:rsid w:val="00E20097"/>
    <w:rsid w:val="00E20A43"/>
    <w:rsid w:val="00E21D21"/>
    <w:rsid w:val="00E2215C"/>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BD8"/>
    <w:rsid w:val="00E35F97"/>
    <w:rsid w:val="00E3639C"/>
    <w:rsid w:val="00E363E5"/>
    <w:rsid w:val="00E3672B"/>
    <w:rsid w:val="00E3685C"/>
    <w:rsid w:val="00E368F6"/>
    <w:rsid w:val="00E37BA8"/>
    <w:rsid w:val="00E37FE2"/>
    <w:rsid w:val="00E40C30"/>
    <w:rsid w:val="00E40E90"/>
    <w:rsid w:val="00E41F4F"/>
    <w:rsid w:val="00E43D2E"/>
    <w:rsid w:val="00E45C7E"/>
    <w:rsid w:val="00E45E8B"/>
    <w:rsid w:val="00E4627B"/>
    <w:rsid w:val="00E47BDC"/>
    <w:rsid w:val="00E50EB0"/>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3A39"/>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16AC"/>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A15"/>
    <w:rsid w:val="00F54B15"/>
    <w:rsid w:val="00F55340"/>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8FE"/>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8FE"/>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SGSTableBasic11">
    <w:name w:val="SGS Table Basic 11"/>
    <w:basedOn w:val="TableNormal"/>
    <w:next w:val="TableGrid"/>
    <w:uiPriority w:val="59"/>
    <w:qFormat/>
    <w:rsid w:val="00E14709"/>
    <w:pPr>
      <w:spacing w:after="0" w:line="240" w:lineRule="auto"/>
    </w:pPr>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59"/>
    <w:qFormat/>
    <w:rsid w:val="00E14709"/>
    <w:pPr>
      <w:spacing w:after="0" w:line="240" w:lineRule="auto"/>
    </w:pPr>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uiPriority w:val="59"/>
    <w:qFormat/>
    <w:rsid w:val="002F4B33"/>
    <w:pPr>
      <w:spacing w:after="0" w:line="240" w:lineRule="auto"/>
    </w:pPr>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77721449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schemas.microsoft.com/sharepoint/v3"/>
    <ds:schemaRef ds:uri="d8762117-8292-4133-b1c7-eab5c6487cfd"/>
    <ds:schemaRef ds:uri="2f282d3b-eb4a-4b09-b61f-b9593442e286"/>
    <ds:schemaRef ds:uri="http://purl.org/dc/dcmitype/"/>
    <ds:schemaRef ds:uri="9b239327-9e80-40e4-b1b7-4394fed77a33"/>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CF796C3A-CC82-4036-8901-58DD65B2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2321</TotalTime>
  <Pages>3</Pages>
  <Words>1029</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5900</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139</cp:revision>
  <cp:lastPrinted>2022-08-19T16:29:00Z</cp:lastPrinted>
  <dcterms:created xsi:type="dcterms:W3CDTF">2024-04-08T15:06:00Z</dcterms:created>
  <dcterms:modified xsi:type="dcterms:W3CDTF">2025-03-28T21:39:00Z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