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2C037" w14:textId="433F40C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307">
        <w:rPr>
          <w:rFonts w:ascii="Arial" w:eastAsia="SimSun" w:hAnsi="Arial" w:cs="Times New Roman"/>
          <w:b/>
          <w:sz w:val="24"/>
          <w:szCs w:val="20"/>
        </w:rPr>
        <w:t>4bis</w:t>
      </w:r>
      <w:r w:rsidRPr="008F786B">
        <w:rPr>
          <w:rFonts w:ascii="Arial" w:eastAsia="SimSun" w:hAnsi="Arial" w:cs="Times New Roman"/>
          <w:b/>
          <w:bCs/>
          <w:sz w:val="24"/>
          <w:szCs w:val="20"/>
        </w:rPr>
        <w:tab/>
      </w:r>
      <w:r w:rsidRPr="00516F96">
        <w:rPr>
          <w:rFonts w:ascii="Arial" w:eastAsia="SimSun" w:hAnsi="Arial" w:cs="Times New Roman"/>
          <w:b/>
          <w:bCs/>
          <w:sz w:val="24"/>
          <w:szCs w:val="20"/>
          <w:lang w:eastAsia="ja-JP"/>
        </w:rPr>
        <w:t>R4-</w:t>
      </w:r>
      <w:r w:rsidR="00AE2BA5" w:rsidRPr="00516F96">
        <w:rPr>
          <w:rFonts w:ascii="Arial" w:eastAsia="SimSun" w:hAnsi="Arial" w:cs="Times New Roman"/>
          <w:b/>
          <w:bCs/>
          <w:sz w:val="24"/>
          <w:szCs w:val="20"/>
          <w:lang w:eastAsia="zh-CN"/>
        </w:rPr>
        <w:t>2</w:t>
      </w:r>
      <w:r w:rsidR="00516F96" w:rsidRPr="00516F96">
        <w:rPr>
          <w:rFonts w:ascii="Arial" w:eastAsia="SimSun" w:hAnsi="Arial" w:cs="Times New Roman"/>
          <w:b/>
          <w:bCs/>
          <w:sz w:val="24"/>
          <w:szCs w:val="20"/>
          <w:lang w:eastAsia="zh-CN"/>
        </w:rPr>
        <w:t>504423</w:t>
      </w:r>
    </w:p>
    <w:bookmarkEnd w:id="0"/>
    <w:bookmarkEnd w:id="1"/>
    <w:p w14:paraId="0F24F8CB" w14:textId="77777777" w:rsidR="00B26A8A" w:rsidRPr="00B26A8A" w:rsidRDefault="008668D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China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April</w:t>
      </w:r>
      <w:r w:rsidR="00B26A8A"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00B26A8A" w:rsidRPr="00B26A8A">
        <w:rPr>
          <w:rFonts w:ascii="Arial" w:eastAsia="SimSun" w:hAnsi="Arial" w:cs="Times New Roman"/>
          <w:b/>
          <w:sz w:val="24"/>
          <w:szCs w:val="20"/>
        </w:rPr>
        <w:t>, 2025</w:t>
      </w:r>
    </w:p>
    <w:p w14:paraId="18692C2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5CEEA86"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E07C5CF" w14:textId="0EAB5EC9" w:rsidR="00841BCD" w:rsidRPr="00226926" w:rsidRDefault="00841BCD" w:rsidP="00841BCD">
      <w:pPr>
        <w:ind w:left="1985" w:hanging="1985"/>
        <w:rPr>
          <w:rFonts w:ascii="Arial" w:eastAsia="Calibri" w:hAnsi="Arial" w:cs="Arial"/>
          <w:b/>
          <w:bCs/>
          <w:sz w:val="24"/>
          <w:lang w:val="en-US"/>
        </w:rPr>
      </w:pPr>
      <w:r w:rsidRPr="008F786B">
        <w:rPr>
          <w:rFonts w:ascii="Arial" w:eastAsia="Calibri" w:hAnsi="Arial" w:cs="Arial"/>
          <w:b/>
          <w:bCs/>
          <w:sz w:val="24"/>
        </w:rPr>
        <w:t>Title:</w:t>
      </w:r>
      <w:r w:rsidR="00226926">
        <w:rPr>
          <w:rFonts w:ascii="Arial" w:eastAsia="Calibri" w:hAnsi="Arial" w:cs="Arial"/>
          <w:b/>
          <w:bCs/>
          <w:sz w:val="24"/>
        </w:rPr>
        <w:tab/>
        <w:t>Discussion on the LS Reply regarding DMRS puncturing in NB</w:t>
      </w:r>
      <w:r w:rsidR="00226926" w:rsidRPr="00226926">
        <w:rPr>
          <w:rFonts w:ascii="Arial" w:eastAsia="Calibri" w:hAnsi="Arial" w:cs="Arial"/>
          <w:b/>
          <w:bCs/>
          <w:sz w:val="24"/>
          <w:lang w:val="en-US"/>
        </w:rPr>
        <w:t>-</w:t>
      </w:r>
      <w:r w:rsidR="00226926">
        <w:rPr>
          <w:rFonts w:ascii="Arial" w:eastAsia="Calibri" w:hAnsi="Arial" w:cs="Arial"/>
          <w:b/>
          <w:bCs/>
          <w:sz w:val="24"/>
          <w:lang w:val="en-US"/>
        </w:rPr>
        <w:t>IoT over NTN</w:t>
      </w:r>
    </w:p>
    <w:p w14:paraId="4B3C79B4" w14:textId="205C039A"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226926">
        <w:rPr>
          <w:rFonts w:ascii="Arial" w:eastAsia="MS Mincho" w:hAnsi="Arial" w:cs="Arial"/>
          <w:b/>
          <w:bCs/>
          <w:sz w:val="24"/>
          <w:szCs w:val="20"/>
        </w:rPr>
        <w:t>7.30.2</w:t>
      </w:r>
    </w:p>
    <w:p w14:paraId="6A15D09F"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1F1429F" w14:textId="77777777" w:rsidR="00E323E9" w:rsidRPr="008F786B" w:rsidRDefault="00E323E9" w:rsidP="00841BCD">
      <w:pPr>
        <w:tabs>
          <w:tab w:val="left" w:pos="1985"/>
        </w:tabs>
        <w:rPr>
          <w:rFonts w:ascii="Arial" w:eastAsia="Calibri" w:hAnsi="Arial" w:cs="Arial"/>
          <w:b/>
          <w:bCs/>
          <w:sz w:val="24"/>
        </w:rPr>
      </w:pPr>
    </w:p>
    <w:p w14:paraId="7F95A5F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98BC757" w14:textId="7AFB9A88" w:rsidR="00161022" w:rsidRDefault="00226926" w:rsidP="00161022">
      <w:r>
        <w:t xml:space="preserve">In RAN1 #120, RAN1 has evolved on the discussions regarding the implementation of </w:t>
      </w:r>
      <w:r w:rsidR="00161022">
        <w:t xml:space="preserve">OCC feature in NB-IoT over NTN, which is one of the key objectives in </w:t>
      </w:r>
      <w:r>
        <w:t>the Rel-19 WI IoT_NTN_Ph3-Core</w:t>
      </w:r>
      <w:r w:rsidR="00161022">
        <w:t xml:space="preserve">. </w:t>
      </w:r>
      <w:r w:rsidR="00650309">
        <w:t xml:space="preserve">However, they have reached multiple options in how to guarantee orthogonality of the DMRS for two different UEs that share the same resources when applying OCC 2. </w:t>
      </w:r>
    </w:p>
    <w:p w14:paraId="21C2CF98" w14:textId="4D2BC069" w:rsidR="00650309" w:rsidRDefault="00650309" w:rsidP="00161022">
      <w:proofErr w:type="gramStart"/>
      <w:r>
        <w:t>In order to</w:t>
      </w:r>
      <w:proofErr w:type="gramEnd"/>
      <w:r>
        <w:t xml:space="preserve"> fully assess one of the DMRS allocation options, RAN1 has sent a LS to RAN4 (</w:t>
      </w:r>
      <w:r w:rsidRPr="00650309">
        <w:t>R1-2501622</w:t>
      </w:r>
      <w:r>
        <w:t xml:space="preserve">). In this document we provide our view on the RAN1 question on the </w:t>
      </w:r>
      <w:r w:rsidR="00A8033B">
        <w:t xml:space="preserve">feasibility </w:t>
      </w:r>
      <w:r>
        <w:t xml:space="preserve">of such feature. </w:t>
      </w:r>
    </w:p>
    <w:p w14:paraId="70D702E2" w14:textId="77777777" w:rsidR="0060543D" w:rsidRPr="008F786B" w:rsidRDefault="0060543D" w:rsidP="005C23A4"/>
    <w:p w14:paraId="039696BC" w14:textId="77777777" w:rsidR="00B66B7D" w:rsidRPr="008F786B" w:rsidRDefault="003B659E" w:rsidP="00B66B7D">
      <w:pPr>
        <w:pStyle w:val="RAN4H1"/>
      </w:pPr>
      <w:bookmarkStart w:id="4" w:name="_Toc116995842"/>
      <w:r w:rsidRPr="008F786B">
        <w:t>Discussion</w:t>
      </w:r>
      <w:bookmarkEnd w:id="4"/>
    </w:p>
    <w:p w14:paraId="43215CE0" w14:textId="360FA33E" w:rsidR="00B66B7D" w:rsidRDefault="00650309" w:rsidP="00B66B7D">
      <w:r>
        <w:t>In their LS (</w:t>
      </w:r>
      <w:r w:rsidRPr="00650309">
        <w:t>R1-2501622</w:t>
      </w:r>
      <w:r>
        <w:t>) to RAN4, RAN1 has asked the following:</w:t>
      </w:r>
    </w:p>
    <w:tbl>
      <w:tblPr>
        <w:tblStyle w:val="TableGrid"/>
        <w:tblW w:w="0" w:type="auto"/>
        <w:tblLook w:val="04A0" w:firstRow="1" w:lastRow="0" w:firstColumn="1" w:lastColumn="0" w:noHBand="0" w:noVBand="1"/>
      </w:tblPr>
      <w:tblGrid>
        <w:gridCol w:w="9617"/>
      </w:tblGrid>
      <w:tr w:rsidR="00650309" w14:paraId="364B37C8" w14:textId="77777777" w:rsidTr="00650309">
        <w:tc>
          <w:tcPr>
            <w:tcW w:w="9617" w:type="dxa"/>
          </w:tcPr>
          <w:p w14:paraId="5CEA13E6" w14:textId="77777777" w:rsidR="00650309" w:rsidRDefault="00650309" w:rsidP="00650309">
            <w:pPr>
              <w:snapToGrid w:val="0"/>
              <w:rPr>
                <w:rFonts w:ascii="Arial" w:eastAsia="DengXian" w:hAnsi="Arial" w:cs="Arial"/>
                <w:lang w:val="en-US" w:eastAsia="zh-CN"/>
              </w:rPr>
            </w:pPr>
          </w:p>
          <w:tbl>
            <w:tblPr>
              <w:tblStyle w:val="TableGrid"/>
              <w:tblW w:w="0" w:type="auto"/>
              <w:tblLook w:val="04A0" w:firstRow="1" w:lastRow="0" w:firstColumn="1" w:lastColumn="0" w:noHBand="0" w:noVBand="1"/>
            </w:tblPr>
            <w:tblGrid>
              <w:gridCol w:w="9391"/>
            </w:tblGrid>
            <w:tr w:rsidR="00650309" w14:paraId="73FF76E4" w14:textId="77777777">
              <w:tc>
                <w:tcPr>
                  <w:tcW w:w="9855" w:type="dxa"/>
                </w:tcPr>
                <w:p w14:paraId="1B0A44D6" w14:textId="77777777" w:rsidR="00650309" w:rsidRDefault="00650309" w:rsidP="00650309">
                  <w:pPr>
                    <w:snapToGrid w:val="0"/>
                    <w:rPr>
                      <w:rFonts w:ascii="Arial" w:eastAsia="DengXian" w:hAnsi="Arial" w:cs="Arial"/>
                      <w:lang w:eastAsia="zh-CN"/>
                    </w:rPr>
                  </w:pPr>
                  <w:r w:rsidRPr="00BF26AC">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tc>
            </w:tr>
          </w:tbl>
          <w:p w14:paraId="2A810F07" w14:textId="77777777" w:rsidR="00650309" w:rsidRDefault="00650309" w:rsidP="00650309">
            <w:pPr>
              <w:snapToGrid w:val="0"/>
              <w:rPr>
                <w:rFonts w:ascii="Arial" w:eastAsia="DengXian" w:hAnsi="Arial" w:cs="Arial"/>
                <w:lang w:val="en-US" w:eastAsia="zh-CN"/>
              </w:rPr>
            </w:pPr>
          </w:p>
          <w:p w14:paraId="342A3F4F" w14:textId="77777777" w:rsidR="00650309" w:rsidRPr="00493BBD" w:rsidRDefault="00650309" w:rsidP="00650309">
            <w:pPr>
              <w:snapToGrid w:val="0"/>
              <w:rPr>
                <w:b/>
                <w:bCs/>
              </w:rPr>
            </w:pPr>
            <w:r>
              <w:rPr>
                <w:b/>
                <w:bCs/>
              </w:rPr>
              <w:t>Question</w:t>
            </w:r>
            <w:r w:rsidRPr="00493BBD">
              <w:rPr>
                <w:rFonts w:hint="eastAsia"/>
                <w:b/>
                <w:bCs/>
              </w:rPr>
              <w:t>:</w:t>
            </w:r>
          </w:p>
          <w:p w14:paraId="53CB8347" w14:textId="77777777" w:rsidR="00650309" w:rsidRDefault="00650309" w:rsidP="00650309">
            <w:pPr>
              <w:snapToGrid w:val="0"/>
              <w:rPr>
                <w:lang w:eastAsia="zh-CN"/>
              </w:rPr>
            </w:pP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w:t>
            </w:r>
            <w:r>
              <w:rPr>
                <w:rFonts w:eastAsia="Malgun Gothic"/>
                <w:lang w:val="en-US" w:eastAsia="ko-KR"/>
              </w:rPr>
              <w:t>, as per the description above,</w:t>
            </w:r>
            <w:r w:rsidRPr="0050296E">
              <w:rPr>
                <w:rFonts w:eastAsia="Malgun Gothic" w:hint="eastAsia"/>
                <w:lang w:val="en-US" w:eastAsia="ko-KR"/>
              </w:rPr>
              <w:t xml:space="preserve"> in Rel-19</w:t>
            </w:r>
            <w:r w:rsidRPr="0050296E">
              <w:t>?</w:t>
            </w:r>
          </w:p>
          <w:p w14:paraId="5FAE2195" w14:textId="77777777" w:rsidR="00650309" w:rsidRDefault="00650309" w:rsidP="00B66B7D"/>
        </w:tc>
      </w:tr>
    </w:tbl>
    <w:p w14:paraId="573B4386" w14:textId="77777777" w:rsidR="00650309" w:rsidRDefault="00650309" w:rsidP="00B66B7D"/>
    <w:p w14:paraId="790D3367" w14:textId="0B1A5213" w:rsidR="00650309" w:rsidRDefault="00650309" w:rsidP="00B66B7D">
      <w:r>
        <w:t>The question regards the DMRS solution presented in Figure 1. In this figure, each row represents a different UE. It is possible to see that the goal is to divide the transmission in bursts of 4 slots (“</w:t>
      </w:r>
      <w:proofErr w:type="spellStart"/>
      <w:r>
        <w:t>superslot</w:t>
      </w:r>
      <w:proofErr w:type="spellEnd"/>
      <w:r>
        <w:t xml:space="preserve">”) where in two of them one of the UEs will transmit a DMRS sequence whereas the other UE will “mute” (blank) the symbols where the DMRS should be located. In the other two DMRS opportunities within the slot, the opposite will happen. </w:t>
      </w:r>
    </w:p>
    <w:p w14:paraId="3D904608" w14:textId="77777777" w:rsidR="00650309" w:rsidRDefault="00650309" w:rsidP="00650309">
      <w:pPr>
        <w:keepNext/>
      </w:pPr>
      <w:r>
        <w:rPr>
          <w:noProof/>
        </w:rPr>
        <w:drawing>
          <wp:inline distT="0" distB="0" distL="0" distR="0" wp14:anchorId="42AA9122" wp14:editId="248EA650">
            <wp:extent cx="5915660" cy="685800"/>
            <wp:effectExtent l="0" t="0" r="889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8"/>
                    <a:stretch>
                      <a:fillRect/>
                    </a:stretch>
                  </pic:blipFill>
                  <pic:spPr>
                    <a:xfrm>
                      <a:off x="0" y="0"/>
                      <a:ext cx="5915660" cy="685800"/>
                    </a:xfrm>
                    <a:prstGeom prst="rect">
                      <a:avLst/>
                    </a:prstGeom>
                  </pic:spPr>
                </pic:pic>
              </a:graphicData>
            </a:graphic>
          </wp:inline>
        </w:drawing>
      </w:r>
    </w:p>
    <w:p w14:paraId="2486B280" w14:textId="57C247AB" w:rsidR="00650309" w:rsidRDefault="00650309" w:rsidP="00650309">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Example of “muting” patterns of DMRS sequences</w:t>
      </w:r>
    </w:p>
    <w:p w14:paraId="54185D39" w14:textId="77777777" w:rsidR="006306E3" w:rsidRDefault="00650309" w:rsidP="00650309">
      <w:r>
        <w:t>RAN1 has asked whether the above is “feasible”. RAN4 has not fully assessed with simulations the performance of different DMRS spacing in NTN channel, which tends to vary slower than most of the macro terrestrial channels, due to a dominant component of line of sight and very low delay spreading (5 ns). However, it is expected that with smaller DMRS density the channel estimation at the UE will get poorer</w:t>
      </w:r>
      <w:r w:rsidR="001325F6">
        <w:t xml:space="preserve">. In the best case scenario, i.e. when a flat channel is </w:t>
      </w:r>
      <w:r w:rsidR="001325F6">
        <w:lastRenderedPageBreak/>
        <w:t xml:space="preserve">considered, a reduced number of transmitted sequences for channel estimation will perform </w:t>
      </w:r>
      <w:r w:rsidR="00024364">
        <w:t>on par</w:t>
      </w:r>
      <w:r w:rsidR="001325F6">
        <w:t xml:space="preserve"> when compared to a case where more DMRS sequences is transmitted. </w:t>
      </w:r>
    </w:p>
    <w:p w14:paraId="64895574" w14:textId="4027DB64" w:rsidR="001325F6" w:rsidRDefault="00E107F8" w:rsidP="00516F96">
      <w:pPr>
        <w:pStyle w:val="RAN4observation0"/>
      </w:pPr>
      <w:bookmarkStart w:id="5" w:name="_Toc194068589"/>
      <w:r>
        <w:t xml:space="preserve">UE channel estimation will suffer </w:t>
      </w:r>
      <w:r w:rsidR="00BD0E38">
        <w:t>because of reduced number of DMRS s</w:t>
      </w:r>
      <w:r w:rsidR="006306E3">
        <w:t>ymbols.</w:t>
      </w:r>
      <w:bookmarkEnd w:id="5"/>
    </w:p>
    <w:p w14:paraId="594CE61D" w14:textId="116553E8" w:rsidR="001325F6" w:rsidRDefault="001325F6" w:rsidP="00650309">
      <w:r>
        <w:t xml:space="preserve">In the example above, instead of a density of one DMRS transmission every 7 symbols, there is variable DMRS density across the different slots. Between the second and the third DMRS symbols transmitted by each UE, there </w:t>
      </w:r>
      <w:r w:rsidR="00EC0B7F">
        <w:t xml:space="preserve">are </w:t>
      </w:r>
      <w:r>
        <w:t xml:space="preserve">21 symbols instead of only </w:t>
      </w:r>
      <w:r w:rsidR="00EC0B7F">
        <w:t>seven</w:t>
      </w:r>
      <w:r>
        <w:t xml:space="preserve">. This will certainly account for some performance loss. On the other hand, the system seems feasible from a technical perspective, </w:t>
      </w:r>
      <w:r w:rsidR="00BE49A2">
        <w:t>especially</w:t>
      </w:r>
      <w:r>
        <w:t xml:space="preserve"> considering that the performance loss might not be very significant in some scenarios</w:t>
      </w:r>
      <w:r w:rsidR="00BE49A2">
        <w:t xml:space="preserve">. The performance loss will be </w:t>
      </w:r>
      <w:r>
        <w:t>depend</w:t>
      </w:r>
      <w:r w:rsidR="00BE49A2">
        <w:t>ent</w:t>
      </w:r>
      <w:r>
        <w:t xml:space="preserve"> on </w:t>
      </w:r>
      <w:r w:rsidR="00BE49A2">
        <w:t xml:space="preserve">the </w:t>
      </w:r>
      <w:r>
        <w:t xml:space="preserve">fast fading </w:t>
      </w:r>
      <w:proofErr w:type="spellStart"/>
      <w:r>
        <w:t>behavior</w:t>
      </w:r>
      <w:proofErr w:type="spellEnd"/>
      <w:r>
        <w:t xml:space="preserve"> of the channel. </w:t>
      </w:r>
    </w:p>
    <w:p w14:paraId="0E874EF6" w14:textId="047756DD" w:rsidR="00C61320" w:rsidRDefault="001325F6" w:rsidP="00650309">
      <w:r>
        <w:t xml:space="preserve">Another point to be considered for feasibility, is that in the example above, the channel for UE2 cannot be </w:t>
      </w:r>
      <w:r w:rsidR="000B4838">
        <w:t xml:space="preserve">reliably </w:t>
      </w:r>
      <w:r>
        <w:t xml:space="preserve">estimated until the </w:t>
      </w:r>
      <w:r w:rsidR="000B4838">
        <w:t xml:space="preserve">fourth </w:t>
      </w:r>
      <w:r>
        <w:t>symbol is received</w:t>
      </w:r>
      <w:r w:rsidR="000B4838">
        <w:t xml:space="preserve"> by the </w:t>
      </w:r>
      <w:proofErr w:type="spellStart"/>
      <w:r w:rsidR="000B4838">
        <w:t>eNB</w:t>
      </w:r>
      <w:proofErr w:type="spellEnd"/>
      <w:r>
        <w:t xml:space="preserve">. </w:t>
      </w:r>
      <w:r w:rsidR="000B4838">
        <w:t xml:space="preserve">Given the use of OCC, network must buffer four NPUSCH slots before it can process the </w:t>
      </w:r>
      <w:proofErr w:type="gramStart"/>
      <w:r w:rsidR="000B4838">
        <w:t>payload</w:t>
      </w:r>
      <w:proofErr w:type="gramEnd"/>
      <w:r w:rsidR="000B4838">
        <w:t xml:space="preserve"> and this will not only increase the complexity but also add delay to the HARQ response.</w:t>
      </w:r>
      <w:r w:rsidR="002C3680">
        <w:t xml:space="preserve"> </w:t>
      </w:r>
    </w:p>
    <w:p w14:paraId="6FD61671" w14:textId="399B1FF9" w:rsidR="001325F6" w:rsidRDefault="002C3680" w:rsidP="00516F96">
      <w:pPr>
        <w:pStyle w:val="RAN4observation0"/>
      </w:pPr>
      <w:bookmarkStart w:id="6" w:name="_Toc194068590"/>
      <w:r>
        <w:t xml:space="preserve">There will be additional </w:t>
      </w:r>
      <w:r w:rsidR="00F94966">
        <w:t xml:space="preserve">complexity at the network side because of </w:t>
      </w:r>
      <w:r w:rsidR="00C61320">
        <w:t xml:space="preserve">the need to </w:t>
      </w:r>
      <w:r w:rsidR="00147E0C">
        <w:t>buffer</w:t>
      </w:r>
      <w:r w:rsidR="0022516B">
        <w:t xml:space="preserve"> the payload for at least four slots before network can start decoding</w:t>
      </w:r>
      <w:r w:rsidR="00C61320">
        <w:t>.</w:t>
      </w:r>
      <w:r w:rsidR="00147E0C">
        <w:t xml:space="preserve"> </w:t>
      </w:r>
      <w:bookmarkEnd w:id="6"/>
    </w:p>
    <w:p w14:paraId="08401A8A" w14:textId="2003539D" w:rsidR="009C4AC1" w:rsidRPr="00746FC9" w:rsidRDefault="009C4AC1" w:rsidP="009C4AC1">
      <w:pPr>
        <w:rPr>
          <w:lang w:val="en-US"/>
        </w:rPr>
      </w:pPr>
      <w:r>
        <w:t xml:space="preserve">Phase continuity is one important issue that has been discussed in RAN1 for this case. </w:t>
      </w:r>
      <w:r w:rsidRPr="00746FC9">
        <w:t xml:space="preserve">When TDM muting is performed, the phase continuity that has important function for decoding reliability, high coverage with high energy efficiency, </w:t>
      </w:r>
      <w:r w:rsidR="00CA42CD">
        <w:t>will</w:t>
      </w:r>
      <w:r>
        <w:t xml:space="preserve"> be</w:t>
      </w:r>
      <w:r w:rsidRPr="00746FC9">
        <w:t xml:space="preserve"> </w:t>
      </w:r>
      <w:r>
        <w:t>impacted</w:t>
      </w:r>
      <w:r w:rsidR="00284588">
        <w:t xml:space="preserve">, </w:t>
      </w:r>
      <w:r w:rsidR="00284588" w:rsidRPr="00746FC9">
        <w:t>especially</w:t>
      </w:r>
      <w:r w:rsidRPr="00746FC9">
        <w:t xml:space="preserve"> for single-tone transmission</w:t>
      </w:r>
      <w:r w:rsidR="00284588">
        <w:t>s</w:t>
      </w:r>
      <w:r w:rsidRPr="00746FC9">
        <w:t xml:space="preserve">. </w:t>
      </w:r>
    </w:p>
    <w:p w14:paraId="20A5258E" w14:textId="789FA037" w:rsidR="005D4FE9" w:rsidRDefault="00B50EC7" w:rsidP="00516F96">
      <w:pPr>
        <w:pStyle w:val="RAN4observation0"/>
      </w:pPr>
      <w:bookmarkStart w:id="7" w:name="_Toc194068591"/>
      <w:r>
        <w:t xml:space="preserve">DMRS muting </w:t>
      </w:r>
      <w:r w:rsidR="009C50BB">
        <w:t>will impact the phase continuity</w:t>
      </w:r>
      <w:r w:rsidR="00402215">
        <w:t xml:space="preserve"> that can have </w:t>
      </w:r>
      <w:r w:rsidR="001F4889">
        <w:t xml:space="preserve">additional </w:t>
      </w:r>
      <w:r w:rsidR="009123CC">
        <w:t>impact on the decoding reliability.</w:t>
      </w:r>
      <w:bookmarkStart w:id="8" w:name="_Toc194068592"/>
      <w:bookmarkEnd w:id="7"/>
      <w:bookmarkEnd w:id="8"/>
    </w:p>
    <w:p w14:paraId="3BB947DF" w14:textId="77777777" w:rsidR="001325F6" w:rsidRDefault="001325F6" w:rsidP="00650309">
      <w:r>
        <w:t>Based on the above, we propose:</w:t>
      </w:r>
    </w:p>
    <w:p w14:paraId="2802C2B4" w14:textId="0EB3FFD8" w:rsidR="00893D2E" w:rsidRPr="008F786B" w:rsidRDefault="00466804" w:rsidP="00516F96">
      <w:pPr>
        <w:pStyle w:val="RAN4proposal"/>
        <w:rPr>
          <w:rFonts w:ascii="Arial" w:eastAsia="SimSun" w:hAnsi="Arial" w:cs="Times New Roman"/>
          <w:sz w:val="36"/>
          <w:szCs w:val="20"/>
        </w:rPr>
      </w:pPr>
      <w:bookmarkStart w:id="9" w:name="_Toc194051568"/>
      <w:bookmarkStart w:id="10" w:name="_Toc194068593"/>
      <w:r>
        <w:t xml:space="preserve">More discussing is required in </w:t>
      </w:r>
      <w:r w:rsidR="001325F6">
        <w:t>RAN</w:t>
      </w:r>
      <w:r>
        <w:t>4</w:t>
      </w:r>
      <w:r w:rsidR="001325F6">
        <w:t xml:space="preserve"> </w:t>
      </w:r>
      <w:r>
        <w:t xml:space="preserve">before concluding </w:t>
      </w:r>
      <w:r w:rsidR="001325F6">
        <w:t xml:space="preserve">the </w:t>
      </w:r>
      <w:r w:rsidR="00702C32">
        <w:t xml:space="preserve">feasibility of </w:t>
      </w:r>
      <w:r w:rsidR="001325F6">
        <w:t xml:space="preserve">TDM DMRS solutions </w:t>
      </w:r>
      <w:r w:rsidR="00E474C6">
        <w:t>informed by RAN1</w:t>
      </w:r>
      <w:r w:rsidR="003A4B20">
        <w:t xml:space="preserve"> given the</w:t>
      </w:r>
      <w:r w:rsidR="008616CA">
        <w:t xml:space="preserve"> </w:t>
      </w:r>
      <w:r w:rsidR="001C6DB2">
        <w:t>additional</w:t>
      </w:r>
      <w:r w:rsidR="000C0FA7">
        <w:t xml:space="preserve"> </w:t>
      </w:r>
      <w:r w:rsidR="001325F6">
        <w:t xml:space="preserve">performance loss </w:t>
      </w:r>
      <w:r w:rsidR="00353757">
        <w:t xml:space="preserve">and </w:t>
      </w:r>
      <w:r w:rsidR="00864623">
        <w:t xml:space="preserve">increased </w:t>
      </w:r>
      <w:proofErr w:type="spellStart"/>
      <w:r w:rsidR="00864623">
        <w:t>gNB</w:t>
      </w:r>
      <w:proofErr w:type="spellEnd"/>
      <w:r w:rsidR="00864623">
        <w:t xml:space="preserve"> </w:t>
      </w:r>
      <w:r w:rsidR="006E1049">
        <w:t>complexit</w:t>
      </w:r>
      <w:bookmarkEnd w:id="9"/>
      <w:r w:rsidR="006F3A50">
        <w:t>y.</w:t>
      </w:r>
      <w:bookmarkStart w:id="11" w:name="_Toc116995848"/>
      <w:bookmarkEnd w:id="10"/>
    </w:p>
    <w:p w14:paraId="0CF430E9" w14:textId="77777777" w:rsidR="00CD7492" w:rsidRPr="008F786B" w:rsidRDefault="00CD7492" w:rsidP="00A37002">
      <w:pPr>
        <w:pStyle w:val="RAN4H1"/>
      </w:pPr>
      <w:r w:rsidRPr="008F786B">
        <w:t>Conclusion</w:t>
      </w:r>
      <w:bookmarkEnd w:id="11"/>
    </w:p>
    <w:p w14:paraId="003B691C"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5CE2334F" w14:textId="6BC09654" w:rsidR="00E924D5" w:rsidRDefault="00A4355E">
      <w:pPr>
        <w:pStyle w:val="TOC4"/>
        <w:tabs>
          <w:tab w:val="right" w:leader="dot" w:pos="9617"/>
        </w:tabs>
        <w:rPr>
          <w:rFonts w:asciiTheme="minorHAnsi" w:hAnsiTheme="minorHAnsi"/>
          <w:noProof/>
          <w:kern w:val="2"/>
          <w:sz w:val="24"/>
          <w:szCs w:val="24"/>
          <w:lang w:val="en-US"/>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194068589" w:history="1">
        <w:r w:rsidR="00E924D5" w:rsidRPr="003D1ADC">
          <w:rPr>
            <w:rStyle w:val="Hyperlink"/>
            <w:b/>
            <w:noProof/>
          </w:rPr>
          <w:t>Observation 1:</w:t>
        </w:r>
        <w:r w:rsidR="00E924D5" w:rsidRPr="003D1ADC">
          <w:rPr>
            <w:rStyle w:val="Hyperlink"/>
            <w:noProof/>
          </w:rPr>
          <w:t xml:space="preserve"> UE channel estimation will suffer because of reduced number of DMRS symbols.</w:t>
        </w:r>
      </w:hyperlink>
    </w:p>
    <w:p w14:paraId="6CD74B04" w14:textId="709AC062" w:rsidR="00E924D5" w:rsidRDefault="00E924D5">
      <w:pPr>
        <w:pStyle w:val="TOC4"/>
        <w:tabs>
          <w:tab w:val="right" w:leader="dot" w:pos="9617"/>
        </w:tabs>
        <w:rPr>
          <w:rFonts w:asciiTheme="minorHAnsi" w:hAnsiTheme="minorHAnsi"/>
          <w:noProof/>
          <w:kern w:val="2"/>
          <w:sz w:val="24"/>
          <w:szCs w:val="24"/>
          <w:lang w:val="en-US"/>
          <w14:ligatures w14:val="standardContextual"/>
        </w:rPr>
      </w:pPr>
      <w:hyperlink w:anchor="_Toc194068590" w:history="1">
        <w:r w:rsidRPr="003D1ADC">
          <w:rPr>
            <w:rStyle w:val="Hyperlink"/>
            <w:b/>
            <w:noProof/>
          </w:rPr>
          <w:t>Observation 2:</w:t>
        </w:r>
        <w:r w:rsidRPr="003D1ADC">
          <w:rPr>
            <w:rStyle w:val="Hyperlink"/>
            <w:noProof/>
          </w:rPr>
          <w:t xml:space="preserve"> There will be additional complexity at the network side because of the need to buffer the payload for at least four slots before network can start decoding. </w:t>
        </w:r>
      </w:hyperlink>
    </w:p>
    <w:p w14:paraId="1A65D92F" w14:textId="791627EC" w:rsidR="00E924D5" w:rsidRDefault="00E924D5">
      <w:pPr>
        <w:pStyle w:val="TOC4"/>
        <w:tabs>
          <w:tab w:val="right" w:leader="dot" w:pos="9617"/>
        </w:tabs>
        <w:rPr>
          <w:rFonts w:asciiTheme="minorHAnsi" w:hAnsiTheme="minorHAnsi"/>
          <w:noProof/>
          <w:kern w:val="2"/>
          <w:sz w:val="24"/>
          <w:szCs w:val="24"/>
          <w:lang w:val="en-US"/>
          <w14:ligatures w14:val="standardContextual"/>
        </w:rPr>
      </w:pPr>
      <w:hyperlink w:anchor="_Toc194068591" w:history="1">
        <w:r w:rsidRPr="003D1ADC">
          <w:rPr>
            <w:rStyle w:val="Hyperlink"/>
            <w:noProof/>
          </w:rPr>
          <w:t xml:space="preserve"> DMRS muting will impact the phase continuity that can have additional impact on the decoding reliability.</w:t>
        </w:r>
      </w:hyperlink>
    </w:p>
    <w:p w14:paraId="504995F2" w14:textId="2F2AB7A9" w:rsidR="00E924D5" w:rsidRDefault="00E924D5">
      <w:pPr>
        <w:pStyle w:val="TOC4"/>
        <w:tabs>
          <w:tab w:val="right" w:leader="dot" w:pos="9617"/>
        </w:tabs>
        <w:rPr>
          <w:rFonts w:asciiTheme="minorHAnsi" w:hAnsiTheme="minorHAnsi"/>
          <w:noProof/>
          <w:kern w:val="2"/>
          <w:sz w:val="24"/>
          <w:szCs w:val="24"/>
          <w:lang w:val="en-US"/>
          <w14:ligatures w14:val="standardContextual"/>
        </w:rPr>
      </w:pPr>
      <w:hyperlink w:anchor="_Toc194068592" w:history="1">
        <w:r w:rsidRPr="003D1ADC">
          <w:rPr>
            <w:rStyle w:val="Hyperlink"/>
            <w:b/>
            <w:noProof/>
          </w:rPr>
          <w:t>Observation 3:</w:t>
        </w:r>
      </w:hyperlink>
    </w:p>
    <w:p w14:paraId="320A55C2" w14:textId="3BDF87A3" w:rsidR="00E924D5" w:rsidRDefault="00E924D5">
      <w:pPr>
        <w:pStyle w:val="TOC5"/>
        <w:tabs>
          <w:tab w:val="right" w:leader="dot" w:pos="9617"/>
        </w:tabs>
        <w:rPr>
          <w:rFonts w:asciiTheme="minorHAnsi" w:hAnsiTheme="minorHAnsi"/>
          <w:b w:val="0"/>
          <w:noProof/>
          <w:kern w:val="2"/>
          <w:sz w:val="24"/>
          <w:szCs w:val="24"/>
          <w:lang w:val="en-US"/>
          <w14:ligatures w14:val="standardContextual"/>
        </w:rPr>
      </w:pPr>
      <w:hyperlink w:anchor="_Toc194068593" w:history="1">
        <w:r w:rsidRPr="003D1ADC">
          <w:rPr>
            <w:rStyle w:val="Hyperlink"/>
            <w:rFonts w:eastAsia="SimSun" w:cs="Times New Roman"/>
            <w:noProof/>
          </w:rPr>
          <w:t>Proposal 1:</w:t>
        </w:r>
        <w:r w:rsidRPr="003D1ADC">
          <w:rPr>
            <w:rStyle w:val="Hyperlink"/>
            <w:noProof/>
          </w:rPr>
          <w:t xml:space="preserve"> More discussing is required in RAN4 before concluding the feasibility of TDM DMRS solutions informed by RAN1 given the additional performance loss and increased gNB complexity.</w:t>
        </w:r>
      </w:hyperlink>
    </w:p>
    <w:p w14:paraId="5DC3E079" w14:textId="5188BC15" w:rsidR="00847264" w:rsidRPr="008F786B" w:rsidRDefault="00A4355E" w:rsidP="008C39F7">
      <w:r w:rsidRPr="008F786B">
        <w:fldChar w:fldCharType="end"/>
      </w:r>
      <w:bookmarkStart w:id="12" w:name="_Toc116995849"/>
    </w:p>
    <w:p w14:paraId="3E875F8B" w14:textId="77777777" w:rsidR="003B659E" w:rsidRPr="008F786B" w:rsidRDefault="003B659E" w:rsidP="0060543D">
      <w:pPr>
        <w:pStyle w:val="RAN4H1"/>
        <w:numPr>
          <w:ilvl w:val="0"/>
          <w:numId w:val="0"/>
        </w:numPr>
        <w:ind w:left="360" w:hanging="360"/>
      </w:pPr>
      <w:r w:rsidRPr="008F786B">
        <w:t>References</w:t>
      </w:r>
      <w:bookmarkEnd w:id="12"/>
    </w:p>
    <w:p w14:paraId="3D052743" w14:textId="088D57EE" w:rsidR="00835368" w:rsidRPr="0006452E" w:rsidRDefault="00835368" w:rsidP="00835368">
      <w:pPr>
        <w:pStyle w:val="ListParagraph"/>
        <w:numPr>
          <w:ilvl w:val="0"/>
          <w:numId w:val="21"/>
        </w:numPr>
        <w:ind w:right="-22"/>
      </w:pPr>
      <w:bookmarkStart w:id="13" w:name="_Ref114500673"/>
      <w:bookmarkEnd w:id="13"/>
      <w:r w:rsidRPr="0006452E">
        <w:t>R1-</w:t>
      </w:r>
      <w:r w:rsidR="00AC4092" w:rsidRPr="0006452E">
        <w:t>2501622</w:t>
      </w:r>
      <w:r w:rsidRPr="0006452E">
        <w:t xml:space="preserve">, </w:t>
      </w:r>
      <w:r w:rsidR="00AC4092" w:rsidRPr="0006452E">
        <w:t>LS on TDM DMRS for 3.75KHZ SCS OCC</w:t>
      </w:r>
      <w:r w:rsidRPr="0006452E">
        <w:t xml:space="preserve">, </w:t>
      </w:r>
      <w:r w:rsidR="00C62C59" w:rsidRPr="0006452E">
        <w:t>Sony</w:t>
      </w:r>
      <w:r w:rsidRPr="0006452E">
        <w:t>, RAN</w:t>
      </w:r>
      <w:r w:rsidR="0082126F" w:rsidRPr="0006452E">
        <w:t>1</w:t>
      </w:r>
      <w:r w:rsidRPr="0006452E">
        <w:t>#1</w:t>
      </w:r>
      <w:r w:rsidR="0082126F" w:rsidRPr="0006452E">
        <w:t>20</w:t>
      </w:r>
      <w:r w:rsidRPr="0006452E">
        <w:t xml:space="preserve">, </w:t>
      </w:r>
      <w:r w:rsidR="0082126F" w:rsidRPr="0006452E">
        <w:t>Athens, Greece</w:t>
      </w:r>
      <w:r w:rsidRPr="0006452E">
        <w:t xml:space="preserve">, </w:t>
      </w:r>
      <w:r w:rsidR="00E327EF" w:rsidRPr="0006452E">
        <w:t>Feb</w:t>
      </w:r>
      <w:r w:rsidR="006D5E7E" w:rsidRPr="0006452E">
        <w:t>ruary</w:t>
      </w:r>
      <w:r w:rsidRPr="0006452E">
        <w:t xml:space="preserve"> </w:t>
      </w:r>
      <w:r w:rsidR="005B3BE5" w:rsidRPr="0006452E">
        <w:t>17</w:t>
      </w:r>
      <w:r w:rsidRPr="0006452E">
        <w:t xml:space="preserve"> – </w:t>
      </w:r>
      <w:r w:rsidR="0097562E" w:rsidRPr="0006452E">
        <w:t>February</w:t>
      </w:r>
      <w:r w:rsidRPr="0006452E">
        <w:t xml:space="preserve"> </w:t>
      </w:r>
      <w:r w:rsidR="00C73AB2" w:rsidRPr="0006452E">
        <w:t>2</w:t>
      </w:r>
      <w:r w:rsidRPr="0006452E">
        <w:t>1, 202</w:t>
      </w:r>
      <w:r w:rsidR="0006452E" w:rsidRPr="0006452E">
        <w:t>5</w:t>
      </w:r>
      <w:r w:rsidRPr="0006452E">
        <w:t>.</w:t>
      </w:r>
    </w:p>
    <w:p w14:paraId="40CEDFFB"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E4B93" w14:textId="77777777" w:rsidR="00B91D1F" w:rsidRDefault="00B91D1F" w:rsidP="00001C9B">
      <w:pPr>
        <w:spacing w:after="0" w:line="240" w:lineRule="auto"/>
      </w:pPr>
      <w:r>
        <w:separator/>
      </w:r>
    </w:p>
  </w:endnote>
  <w:endnote w:type="continuationSeparator" w:id="0">
    <w:p w14:paraId="5ED779C1" w14:textId="77777777" w:rsidR="00B91D1F" w:rsidRDefault="00B91D1F" w:rsidP="00001C9B">
      <w:pPr>
        <w:spacing w:after="0" w:line="240" w:lineRule="auto"/>
      </w:pPr>
      <w:r>
        <w:continuationSeparator/>
      </w:r>
    </w:p>
  </w:endnote>
  <w:endnote w:type="continuationNotice" w:id="1">
    <w:p w14:paraId="7FD12C4A" w14:textId="77777777" w:rsidR="00B91D1F" w:rsidRDefault="00B91D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FCF7D" w14:textId="77777777" w:rsidR="00B91D1F" w:rsidRDefault="00B91D1F" w:rsidP="00001C9B">
      <w:pPr>
        <w:spacing w:after="0" w:line="240" w:lineRule="auto"/>
      </w:pPr>
      <w:r>
        <w:separator/>
      </w:r>
    </w:p>
  </w:footnote>
  <w:footnote w:type="continuationSeparator" w:id="0">
    <w:p w14:paraId="64E326C2" w14:textId="77777777" w:rsidR="00B91D1F" w:rsidRDefault="00B91D1F" w:rsidP="00001C9B">
      <w:pPr>
        <w:spacing w:after="0" w:line="240" w:lineRule="auto"/>
      </w:pPr>
      <w:r>
        <w:continuationSeparator/>
      </w:r>
    </w:p>
  </w:footnote>
  <w:footnote w:type="continuationNotice" w:id="1">
    <w:p w14:paraId="7B5446F3" w14:textId="77777777" w:rsidR="00B91D1F" w:rsidRDefault="00B91D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4"/>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5"/>
  </w:num>
  <w:num w:numId="28" w16cid:durableId="2095668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26926"/>
    <w:rsid w:val="00001C9B"/>
    <w:rsid w:val="000040DC"/>
    <w:rsid w:val="00011784"/>
    <w:rsid w:val="000151EF"/>
    <w:rsid w:val="000239F5"/>
    <w:rsid w:val="00024364"/>
    <w:rsid w:val="00061256"/>
    <w:rsid w:val="0006452E"/>
    <w:rsid w:val="00072CCA"/>
    <w:rsid w:val="0007385A"/>
    <w:rsid w:val="0007601C"/>
    <w:rsid w:val="00081544"/>
    <w:rsid w:val="0008612A"/>
    <w:rsid w:val="00090E18"/>
    <w:rsid w:val="000A10BC"/>
    <w:rsid w:val="000A7F53"/>
    <w:rsid w:val="000B0056"/>
    <w:rsid w:val="000B4838"/>
    <w:rsid w:val="000B52E8"/>
    <w:rsid w:val="000C0FA7"/>
    <w:rsid w:val="000C3C7B"/>
    <w:rsid w:val="000D0F93"/>
    <w:rsid w:val="000D6942"/>
    <w:rsid w:val="00106416"/>
    <w:rsid w:val="00110481"/>
    <w:rsid w:val="001127C9"/>
    <w:rsid w:val="00114498"/>
    <w:rsid w:val="00115B88"/>
    <w:rsid w:val="00131463"/>
    <w:rsid w:val="001325F6"/>
    <w:rsid w:val="00132F6A"/>
    <w:rsid w:val="00133913"/>
    <w:rsid w:val="00140221"/>
    <w:rsid w:val="00147E0C"/>
    <w:rsid w:val="001508E7"/>
    <w:rsid w:val="00150B72"/>
    <w:rsid w:val="00161022"/>
    <w:rsid w:val="00161913"/>
    <w:rsid w:val="001642FC"/>
    <w:rsid w:val="0016496B"/>
    <w:rsid w:val="001743E2"/>
    <w:rsid w:val="001745F8"/>
    <w:rsid w:val="001838CF"/>
    <w:rsid w:val="001868EE"/>
    <w:rsid w:val="001A3BA4"/>
    <w:rsid w:val="001A6D1F"/>
    <w:rsid w:val="001B1EA8"/>
    <w:rsid w:val="001C6DB2"/>
    <w:rsid w:val="001E30F6"/>
    <w:rsid w:val="001F4889"/>
    <w:rsid w:val="00216379"/>
    <w:rsid w:val="00217EE5"/>
    <w:rsid w:val="0022516B"/>
    <w:rsid w:val="00226926"/>
    <w:rsid w:val="0023559D"/>
    <w:rsid w:val="00235F5C"/>
    <w:rsid w:val="0024235F"/>
    <w:rsid w:val="002433E2"/>
    <w:rsid w:val="00257FA3"/>
    <w:rsid w:val="00277B56"/>
    <w:rsid w:val="00282A74"/>
    <w:rsid w:val="00284588"/>
    <w:rsid w:val="002849D4"/>
    <w:rsid w:val="00295E70"/>
    <w:rsid w:val="002A19F5"/>
    <w:rsid w:val="002B4922"/>
    <w:rsid w:val="002B69F3"/>
    <w:rsid w:val="002C22C3"/>
    <w:rsid w:val="002C2D19"/>
    <w:rsid w:val="002C3680"/>
    <w:rsid w:val="002D10FA"/>
    <w:rsid w:val="002D43DC"/>
    <w:rsid w:val="002D4C55"/>
    <w:rsid w:val="002E6DED"/>
    <w:rsid w:val="00300956"/>
    <w:rsid w:val="00306861"/>
    <w:rsid w:val="00307EE8"/>
    <w:rsid w:val="00314FE3"/>
    <w:rsid w:val="00317187"/>
    <w:rsid w:val="0032499A"/>
    <w:rsid w:val="003341F7"/>
    <w:rsid w:val="00347FEC"/>
    <w:rsid w:val="003509DF"/>
    <w:rsid w:val="00353757"/>
    <w:rsid w:val="00356F45"/>
    <w:rsid w:val="00366B74"/>
    <w:rsid w:val="003751A0"/>
    <w:rsid w:val="003774C0"/>
    <w:rsid w:val="00381F95"/>
    <w:rsid w:val="003A4B20"/>
    <w:rsid w:val="003A710A"/>
    <w:rsid w:val="003B3D3F"/>
    <w:rsid w:val="003B4307"/>
    <w:rsid w:val="003B4675"/>
    <w:rsid w:val="003B659E"/>
    <w:rsid w:val="003C275E"/>
    <w:rsid w:val="003C4FDE"/>
    <w:rsid w:val="003E1D80"/>
    <w:rsid w:val="003E30D9"/>
    <w:rsid w:val="003E5882"/>
    <w:rsid w:val="003E58DF"/>
    <w:rsid w:val="003F7007"/>
    <w:rsid w:val="004014CF"/>
    <w:rsid w:val="00402215"/>
    <w:rsid w:val="00404C4C"/>
    <w:rsid w:val="0041423F"/>
    <w:rsid w:val="00414F81"/>
    <w:rsid w:val="00426B9A"/>
    <w:rsid w:val="00436A0F"/>
    <w:rsid w:val="00436C0C"/>
    <w:rsid w:val="00437150"/>
    <w:rsid w:val="0043750A"/>
    <w:rsid w:val="00447577"/>
    <w:rsid w:val="00466804"/>
    <w:rsid w:val="004732E9"/>
    <w:rsid w:val="004854BB"/>
    <w:rsid w:val="00494493"/>
    <w:rsid w:val="00496606"/>
    <w:rsid w:val="004D3929"/>
    <w:rsid w:val="004D5087"/>
    <w:rsid w:val="004E5E66"/>
    <w:rsid w:val="004E605A"/>
    <w:rsid w:val="004E7ADB"/>
    <w:rsid w:val="00503B4D"/>
    <w:rsid w:val="00504EE9"/>
    <w:rsid w:val="00514E4F"/>
    <w:rsid w:val="00516F96"/>
    <w:rsid w:val="00521576"/>
    <w:rsid w:val="0052209B"/>
    <w:rsid w:val="005250E6"/>
    <w:rsid w:val="005372ED"/>
    <w:rsid w:val="00542D23"/>
    <w:rsid w:val="0054442C"/>
    <w:rsid w:val="00550285"/>
    <w:rsid w:val="00562492"/>
    <w:rsid w:val="005624E0"/>
    <w:rsid w:val="00572A20"/>
    <w:rsid w:val="005812ED"/>
    <w:rsid w:val="00581618"/>
    <w:rsid w:val="005836F8"/>
    <w:rsid w:val="005918FA"/>
    <w:rsid w:val="00592A86"/>
    <w:rsid w:val="005B3029"/>
    <w:rsid w:val="005B3BE5"/>
    <w:rsid w:val="005B4801"/>
    <w:rsid w:val="005C16D6"/>
    <w:rsid w:val="005C23A4"/>
    <w:rsid w:val="005C7EFA"/>
    <w:rsid w:val="005D1CDF"/>
    <w:rsid w:val="005D2BB7"/>
    <w:rsid w:val="005D4FE9"/>
    <w:rsid w:val="005D6FFE"/>
    <w:rsid w:val="005E61A8"/>
    <w:rsid w:val="005F6419"/>
    <w:rsid w:val="0060301D"/>
    <w:rsid w:val="0060543D"/>
    <w:rsid w:val="006104DD"/>
    <w:rsid w:val="006130B5"/>
    <w:rsid w:val="00614DD8"/>
    <w:rsid w:val="00617400"/>
    <w:rsid w:val="006260BE"/>
    <w:rsid w:val="006306E3"/>
    <w:rsid w:val="00632D29"/>
    <w:rsid w:val="0064171D"/>
    <w:rsid w:val="00650309"/>
    <w:rsid w:val="00664950"/>
    <w:rsid w:val="00683220"/>
    <w:rsid w:val="0068781B"/>
    <w:rsid w:val="00687FA0"/>
    <w:rsid w:val="00695A2E"/>
    <w:rsid w:val="006A3C11"/>
    <w:rsid w:val="006A4827"/>
    <w:rsid w:val="006B7010"/>
    <w:rsid w:val="006C2944"/>
    <w:rsid w:val="006C3095"/>
    <w:rsid w:val="006D049D"/>
    <w:rsid w:val="006D5E7E"/>
    <w:rsid w:val="006E1049"/>
    <w:rsid w:val="006E1151"/>
    <w:rsid w:val="006E3FE5"/>
    <w:rsid w:val="006E6311"/>
    <w:rsid w:val="006F3A50"/>
    <w:rsid w:val="00701D91"/>
    <w:rsid w:val="00702C32"/>
    <w:rsid w:val="00703E77"/>
    <w:rsid w:val="007145FF"/>
    <w:rsid w:val="00715B2A"/>
    <w:rsid w:val="00733B21"/>
    <w:rsid w:val="007359C5"/>
    <w:rsid w:val="007376A9"/>
    <w:rsid w:val="007450F1"/>
    <w:rsid w:val="00751515"/>
    <w:rsid w:val="007626B7"/>
    <w:rsid w:val="0078212B"/>
    <w:rsid w:val="00784C3F"/>
    <w:rsid w:val="00784DF6"/>
    <w:rsid w:val="00785232"/>
    <w:rsid w:val="007A2588"/>
    <w:rsid w:val="007B186C"/>
    <w:rsid w:val="007C1696"/>
    <w:rsid w:val="007C3ED0"/>
    <w:rsid w:val="007C48C4"/>
    <w:rsid w:val="007C5971"/>
    <w:rsid w:val="007E42DC"/>
    <w:rsid w:val="007E4431"/>
    <w:rsid w:val="007E4668"/>
    <w:rsid w:val="007E47BE"/>
    <w:rsid w:val="007F54B9"/>
    <w:rsid w:val="007F7B58"/>
    <w:rsid w:val="00806A76"/>
    <w:rsid w:val="00811C9D"/>
    <w:rsid w:val="00816C80"/>
    <w:rsid w:val="0081797B"/>
    <w:rsid w:val="0082126F"/>
    <w:rsid w:val="0082796A"/>
    <w:rsid w:val="00835368"/>
    <w:rsid w:val="0083707A"/>
    <w:rsid w:val="00841BCD"/>
    <w:rsid w:val="00847264"/>
    <w:rsid w:val="00851A8E"/>
    <w:rsid w:val="0085365B"/>
    <w:rsid w:val="008616CA"/>
    <w:rsid w:val="00864623"/>
    <w:rsid w:val="008668DA"/>
    <w:rsid w:val="008826C1"/>
    <w:rsid w:val="00883DFD"/>
    <w:rsid w:val="0089210C"/>
    <w:rsid w:val="00893D2E"/>
    <w:rsid w:val="008A1BF7"/>
    <w:rsid w:val="008A5B0E"/>
    <w:rsid w:val="008B0961"/>
    <w:rsid w:val="008C39F7"/>
    <w:rsid w:val="008F786B"/>
    <w:rsid w:val="0090091A"/>
    <w:rsid w:val="00902A30"/>
    <w:rsid w:val="0090373B"/>
    <w:rsid w:val="009042BD"/>
    <w:rsid w:val="00904FE4"/>
    <w:rsid w:val="0090593F"/>
    <w:rsid w:val="00910B96"/>
    <w:rsid w:val="009123CC"/>
    <w:rsid w:val="00923865"/>
    <w:rsid w:val="00927740"/>
    <w:rsid w:val="00936159"/>
    <w:rsid w:val="0097562E"/>
    <w:rsid w:val="00977E1D"/>
    <w:rsid w:val="009A23C9"/>
    <w:rsid w:val="009A32FE"/>
    <w:rsid w:val="009A3856"/>
    <w:rsid w:val="009B0573"/>
    <w:rsid w:val="009B6E11"/>
    <w:rsid w:val="009B7B4B"/>
    <w:rsid w:val="009B7C21"/>
    <w:rsid w:val="009C4AC1"/>
    <w:rsid w:val="009C50BB"/>
    <w:rsid w:val="009E4E6E"/>
    <w:rsid w:val="009E5FA9"/>
    <w:rsid w:val="00A038B9"/>
    <w:rsid w:val="00A04992"/>
    <w:rsid w:val="00A147AA"/>
    <w:rsid w:val="00A21D71"/>
    <w:rsid w:val="00A22B78"/>
    <w:rsid w:val="00A246F7"/>
    <w:rsid w:val="00A25AE5"/>
    <w:rsid w:val="00A26442"/>
    <w:rsid w:val="00A37002"/>
    <w:rsid w:val="00A4355E"/>
    <w:rsid w:val="00A520D9"/>
    <w:rsid w:val="00A64DA0"/>
    <w:rsid w:val="00A8033B"/>
    <w:rsid w:val="00A92BCD"/>
    <w:rsid w:val="00A96FA7"/>
    <w:rsid w:val="00AA1B0E"/>
    <w:rsid w:val="00AA47B6"/>
    <w:rsid w:val="00AC06C0"/>
    <w:rsid w:val="00AC163B"/>
    <w:rsid w:val="00AC4092"/>
    <w:rsid w:val="00AC5CA7"/>
    <w:rsid w:val="00AC6058"/>
    <w:rsid w:val="00AD1F99"/>
    <w:rsid w:val="00AE2BA5"/>
    <w:rsid w:val="00AE56B1"/>
    <w:rsid w:val="00AE6D09"/>
    <w:rsid w:val="00AF7A7C"/>
    <w:rsid w:val="00B02070"/>
    <w:rsid w:val="00B26A8A"/>
    <w:rsid w:val="00B408B6"/>
    <w:rsid w:val="00B50EC7"/>
    <w:rsid w:val="00B52BB9"/>
    <w:rsid w:val="00B542DA"/>
    <w:rsid w:val="00B66A7F"/>
    <w:rsid w:val="00B66B7D"/>
    <w:rsid w:val="00B73862"/>
    <w:rsid w:val="00B73F43"/>
    <w:rsid w:val="00B75BBF"/>
    <w:rsid w:val="00B80719"/>
    <w:rsid w:val="00B81CDC"/>
    <w:rsid w:val="00B87DA3"/>
    <w:rsid w:val="00B91D1F"/>
    <w:rsid w:val="00BA308C"/>
    <w:rsid w:val="00BA6B66"/>
    <w:rsid w:val="00BA6E48"/>
    <w:rsid w:val="00BC5FA1"/>
    <w:rsid w:val="00BD0E38"/>
    <w:rsid w:val="00BE0AF6"/>
    <w:rsid w:val="00BE1F03"/>
    <w:rsid w:val="00BE49A2"/>
    <w:rsid w:val="00BE58A7"/>
    <w:rsid w:val="00BF2218"/>
    <w:rsid w:val="00C0426B"/>
    <w:rsid w:val="00C045DF"/>
    <w:rsid w:val="00C10B6D"/>
    <w:rsid w:val="00C16CD0"/>
    <w:rsid w:val="00C26D43"/>
    <w:rsid w:val="00C35173"/>
    <w:rsid w:val="00C40E8C"/>
    <w:rsid w:val="00C43F4A"/>
    <w:rsid w:val="00C46548"/>
    <w:rsid w:val="00C573A4"/>
    <w:rsid w:val="00C574D5"/>
    <w:rsid w:val="00C61320"/>
    <w:rsid w:val="00C62C59"/>
    <w:rsid w:val="00C73AB2"/>
    <w:rsid w:val="00C73F32"/>
    <w:rsid w:val="00C851E4"/>
    <w:rsid w:val="00C87462"/>
    <w:rsid w:val="00CA180C"/>
    <w:rsid w:val="00CA42CD"/>
    <w:rsid w:val="00CB22B2"/>
    <w:rsid w:val="00CB71FA"/>
    <w:rsid w:val="00CC3EE2"/>
    <w:rsid w:val="00CD6C0E"/>
    <w:rsid w:val="00CD7492"/>
    <w:rsid w:val="00CE3A6B"/>
    <w:rsid w:val="00D00211"/>
    <w:rsid w:val="00D006D1"/>
    <w:rsid w:val="00D0153A"/>
    <w:rsid w:val="00D025AE"/>
    <w:rsid w:val="00D06309"/>
    <w:rsid w:val="00D06A75"/>
    <w:rsid w:val="00D16970"/>
    <w:rsid w:val="00D22EF1"/>
    <w:rsid w:val="00D351EA"/>
    <w:rsid w:val="00D4010C"/>
    <w:rsid w:val="00D40288"/>
    <w:rsid w:val="00D43403"/>
    <w:rsid w:val="00D50A6B"/>
    <w:rsid w:val="00D5270B"/>
    <w:rsid w:val="00D62E71"/>
    <w:rsid w:val="00D6430D"/>
    <w:rsid w:val="00D66188"/>
    <w:rsid w:val="00D731F6"/>
    <w:rsid w:val="00D740CA"/>
    <w:rsid w:val="00D816F8"/>
    <w:rsid w:val="00D85728"/>
    <w:rsid w:val="00D95481"/>
    <w:rsid w:val="00D96E40"/>
    <w:rsid w:val="00DC7A13"/>
    <w:rsid w:val="00DE7064"/>
    <w:rsid w:val="00DF17C4"/>
    <w:rsid w:val="00DF2997"/>
    <w:rsid w:val="00E107F8"/>
    <w:rsid w:val="00E10BC4"/>
    <w:rsid w:val="00E1415D"/>
    <w:rsid w:val="00E213BD"/>
    <w:rsid w:val="00E233D3"/>
    <w:rsid w:val="00E323E9"/>
    <w:rsid w:val="00E327EF"/>
    <w:rsid w:val="00E32FB6"/>
    <w:rsid w:val="00E34018"/>
    <w:rsid w:val="00E437D2"/>
    <w:rsid w:val="00E43BF9"/>
    <w:rsid w:val="00E474C6"/>
    <w:rsid w:val="00E47BC6"/>
    <w:rsid w:val="00E51930"/>
    <w:rsid w:val="00E54B70"/>
    <w:rsid w:val="00E55751"/>
    <w:rsid w:val="00E5652C"/>
    <w:rsid w:val="00E7398E"/>
    <w:rsid w:val="00E82B94"/>
    <w:rsid w:val="00E87217"/>
    <w:rsid w:val="00E924D5"/>
    <w:rsid w:val="00EA2311"/>
    <w:rsid w:val="00EC023C"/>
    <w:rsid w:val="00EC0B7F"/>
    <w:rsid w:val="00EC7BC3"/>
    <w:rsid w:val="00ED5F4A"/>
    <w:rsid w:val="00ED7600"/>
    <w:rsid w:val="00EE1150"/>
    <w:rsid w:val="00EF6073"/>
    <w:rsid w:val="00EF698B"/>
    <w:rsid w:val="00F1362C"/>
    <w:rsid w:val="00F414F1"/>
    <w:rsid w:val="00F508B8"/>
    <w:rsid w:val="00F51319"/>
    <w:rsid w:val="00F70E81"/>
    <w:rsid w:val="00F72CB1"/>
    <w:rsid w:val="00F8215E"/>
    <w:rsid w:val="00F824F5"/>
    <w:rsid w:val="00F90FAB"/>
    <w:rsid w:val="00F9374D"/>
    <w:rsid w:val="00F94966"/>
    <w:rsid w:val="00FB6924"/>
    <w:rsid w:val="00FC29B9"/>
    <w:rsid w:val="00FC6FD3"/>
    <w:rsid w:val="00FE305C"/>
    <w:rsid w:val="00FE7781"/>
    <w:rsid w:val="00FF0301"/>
    <w:rsid w:val="00FF1477"/>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16B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algun Gothic" w:hAnsi="Malgun Gothic"/>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A8033B"/>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EE11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35D68-28AE-43AE-839E-2F17FB48D087}">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775</Words>
  <Characters>4418</Characters>
  <Application>Microsoft Office Word</Application>
  <DocSecurity>0</DocSecurity>
  <Lines>36</Lines>
  <Paragraphs>10</Paragraphs>
  <ScaleCrop>false</ScaleCrop>
  <Company/>
  <LinksUpToDate>false</LinksUpToDate>
  <CharactersWithSpaces>5183</CharactersWithSpaces>
  <SharedDoc>false</SharedDoc>
  <HLinks>
    <vt:vector size="36" baseType="variant">
      <vt:variant>
        <vt:i4>2031670</vt:i4>
      </vt:variant>
      <vt:variant>
        <vt:i4>17</vt:i4>
      </vt:variant>
      <vt:variant>
        <vt:i4>0</vt:i4>
      </vt:variant>
      <vt:variant>
        <vt:i4>5</vt:i4>
      </vt:variant>
      <vt:variant>
        <vt:lpwstr/>
      </vt:variant>
      <vt:variant>
        <vt:lpwstr>_Toc194068593</vt:lpwstr>
      </vt:variant>
      <vt:variant>
        <vt:i4>2031670</vt:i4>
      </vt:variant>
      <vt:variant>
        <vt:i4>14</vt:i4>
      </vt:variant>
      <vt:variant>
        <vt:i4>0</vt:i4>
      </vt:variant>
      <vt:variant>
        <vt:i4>5</vt:i4>
      </vt:variant>
      <vt:variant>
        <vt:lpwstr/>
      </vt:variant>
      <vt:variant>
        <vt:lpwstr>_Toc194068592</vt:lpwstr>
      </vt:variant>
      <vt:variant>
        <vt:i4>2031670</vt:i4>
      </vt:variant>
      <vt:variant>
        <vt:i4>11</vt:i4>
      </vt:variant>
      <vt:variant>
        <vt:i4>0</vt:i4>
      </vt:variant>
      <vt:variant>
        <vt:i4>5</vt:i4>
      </vt:variant>
      <vt:variant>
        <vt:lpwstr/>
      </vt:variant>
      <vt:variant>
        <vt:lpwstr>_Toc194068591</vt:lpwstr>
      </vt:variant>
      <vt:variant>
        <vt:i4>2031670</vt:i4>
      </vt:variant>
      <vt:variant>
        <vt:i4>8</vt:i4>
      </vt:variant>
      <vt:variant>
        <vt:i4>0</vt:i4>
      </vt:variant>
      <vt:variant>
        <vt:i4>5</vt:i4>
      </vt:variant>
      <vt:variant>
        <vt:lpwstr/>
      </vt:variant>
      <vt:variant>
        <vt:lpwstr>_Toc194068590</vt:lpwstr>
      </vt:variant>
      <vt:variant>
        <vt:i4>1966134</vt:i4>
      </vt:variant>
      <vt:variant>
        <vt:i4>5</vt:i4>
      </vt:variant>
      <vt:variant>
        <vt:i4>0</vt:i4>
      </vt:variant>
      <vt:variant>
        <vt:i4>5</vt:i4>
      </vt:variant>
      <vt:variant>
        <vt:lpwstr/>
      </vt:variant>
      <vt:variant>
        <vt:lpwstr>_Toc194068589</vt:lpwstr>
      </vt:variant>
      <vt:variant>
        <vt:i4>3014727</vt:i4>
      </vt:variant>
      <vt:variant>
        <vt:i4>0</vt:i4>
      </vt:variant>
      <vt:variant>
        <vt:i4>0</vt:i4>
      </vt:variant>
      <vt:variant>
        <vt:i4>5</vt:i4>
      </vt:variant>
      <vt:variant>
        <vt:lpwstr>mailto:rafhael.medeiros_de_amorim@nokia.com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2025-03-28T15:10:00Z</dcterms:created>
  <dcterms:modified xsi:type="dcterms:W3CDTF">2025-03-28T15:11:00Z</dcterms:modified>
</cp:coreProperties>
</file>