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053BF69F"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00BC2B35">
        <w:rPr>
          <w:rFonts w:cs="Arial"/>
          <w:b/>
          <w:sz w:val="24"/>
          <w:lang w:val="en-US" w:eastAsia="zh-CN"/>
        </w:rPr>
        <w:t>bis</w:t>
      </w:r>
      <w:r w:rsidRPr="007D4E93">
        <w:rPr>
          <w:rFonts w:cs="Arial"/>
          <w:b/>
          <w:sz w:val="24"/>
          <w:lang w:val="en-US" w:eastAsia="zh-CN"/>
        </w:rPr>
        <w:tab/>
      </w:r>
      <w:r w:rsidR="00AF4F95" w:rsidRPr="00AF4F95">
        <w:rPr>
          <w:rFonts w:eastAsia="宋体" w:cs="Arial"/>
          <w:b/>
          <w:sz w:val="24"/>
          <w:lang w:val="en-US" w:eastAsia="zh-CN"/>
        </w:rPr>
        <w:t>R4-2503886</w:t>
      </w:r>
    </w:p>
    <w:p w14:paraId="4C418454" w14:textId="56B09116" w:rsidR="00CA2A57" w:rsidRPr="001F5A72" w:rsidRDefault="00BC2B35" w:rsidP="002C3C7C">
      <w:pPr>
        <w:pStyle w:val="Header"/>
        <w:tabs>
          <w:tab w:val="left" w:pos="2160"/>
        </w:tabs>
        <w:ind w:left="2127" w:hanging="2127"/>
        <w:jc w:val="both"/>
        <w:rPr>
          <w:rFonts w:eastAsia="宋体" w:cs="Arial"/>
          <w:noProof w:val="0"/>
          <w:sz w:val="24"/>
        </w:rPr>
      </w:pPr>
      <w:r w:rsidRPr="00BC2B35">
        <w:rPr>
          <w:rFonts w:cs="Arial"/>
          <w:noProof w:val="0"/>
          <w:sz w:val="24"/>
        </w:rPr>
        <w:t>Wuhan, China, April 7 – 11, 2025</w:t>
      </w:r>
      <w:r w:rsidR="00F83D93" w:rsidRPr="00F83D93">
        <w:rPr>
          <w:rFonts w:cs="Arial"/>
          <w:noProof w:val="0"/>
          <w:sz w:val="24"/>
        </w:rPr>
        <w:t xml:space="preserve">   </w:t>
      </w:r>
    </w:p>
    <w:bookmarkEnd w:id="0"/>
    <w:bookmarkEnd w:id="1"/>
    <w:p w14:paraId="05625486" w14:textId="77777777" w:rsidR="00070561" w:rsidRPr="008337C3" w:rsidRDefault="00070561" w:rsidP="00F90E24">
      <w:pPr>
        <w:pStyle w:val="Footer"/>
        <w:jc w:val="both"/>
        <w:rPr>
          <w:rFonts w:eastAsiaTheme="minorEastAsia"/>
          <w:noProof w:val="0"/>
        </w:rPr>
      </w:pPr>
    </w:p>
    <w:p w14:paraId="28513F45" w14:textId="7996CDB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9E0" w:rsidRPr="005C69E0">
        <w:rPr>
          <w:rFonts w:ascii="Arial" w:eastAsia="Batang" w:hAnsi="Arial" w:cs="Arial"/>
          <w:b/>
          <w:sz w:val="24"/>
          <w:szCs w:val="24"/>
          <w:lang w:eastAsia="zh-CN"/>
        </w:rPr>
        <w:t xml:space="preserve">Discussion on </w:t>
      </w:r>
      <w:r w:rsidR="00715BEE" w:rsidRPr="00715BEE">
        <w:rPr>
          <w:rFonts w:ascii="Arial" w:eastAsia="Batang" w:hAnsi="Arial" w:cs="Arial"/>
          <w:b/>
          <w:sz w:val="24"/>
          <w:szCs w:val="24"/>
          <w:lang w:eastAsia="zh-CN"/>
        </w:rPr>
        <w:t xml:space="preserve">general aspects in AIML mobility </w:t>
      </w:r>
      <w:bookmarkStart w:id="2" w:name="_Hlk178340133"/>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C63B92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BC2B35">
        <w:rPr>
          <w:rFonts w:ascii="Arial" w:eastAsia="宋体" w:hAnsi="Arial"/>
          <w:b/>
          <w:sz w:val="24"/>
          <w:lang w:val="en-US" w:eastAsia="zh-CN"/>
        </w:rPr>
        <w:t>21</w:t>
      </w:r>
      <w:r w:rsidR="00764AC6">
        <w:rPr>
          <w:rFonts w:ascii="Arial" w:eastAsia="宋体" w:hAnsi="Arial"/>
          <w:b/>
          <w:sz w:val="24"/>
          <w:lang w:val="en-US" w:eastAsia="zh-CN"/>
        </w:rPr>
        <w:t>.</w:t>
      </w:r>
      <w:r w:rsidR="00715BEE">
        <w:rPr>
          <w:rFonts w:ascii="Arial" w:eastAsia="宋体" w:hAnsi="Arial"/>
          <w:b/>
          <w:sz w:val="24"/>
          <w:lang w:val="en-US" w:eastAsia="zh-CN"/>
        </w:rPr>
        <w:t>1</w:t>
      </w:r>
    </w:p>
    <w:p w14:paraId="10F51582" w14:textId="1EA3DB46" w:rsidR="00070561"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0BE7AD50" w14:textId="77777777" w:rsidR="00715BEE" w:rsidRDefault="00715BEE" w:rsidP="00715BEE">
      <w:pPr>
        <w:pStyle w:val="Heading1"/>
        <w:tabs>
          <w:tab w:val="clear" w:pos="2412"/>
          <w:tab w:val="num" w:pos="432"/>
        </w:tabs>
        <w:ind w:left="432"/>
        <w:jc w:val="both"/>
        <w:rPr>
          <w:lang w:val="en-US"/>
        </w:rPr>
      </w:pPr>
      <w:r>
        <w:rPr>
          <w:lang w:val="en-US"/>
        </w:rPr>
        <w:t>Introduction</w:t>
      </w:r>
    </w:p>
    <w:p w14:paraId="5C283863" w14:textId="66E25423" w:rsidR="00FF0469" w:rsidRDefault="002D40D1" w:rsidP="007D51AC">
      <w:pPr>
        <w:jc w:val="both"/>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w:t>
      </w:r>
      <w:r w:rsidR="007D51AC">
        <w:rPr>
          <w:lang w:eastAsia="zh-CN"/>
        </w:rPr>
        <w:t xml:space="preserve">For mobility enhancement, AI is introduced to predict the RRM measurement and event prediction. The identified use cases are AI based cell-level/beam-level measurement prediction, AI based HO </w:t>
      </w:r>
      <w:r w:rsidR="007D51AC" w:rsidRPr="006F23C0">
        <w:rPr>
          <w:lang w:eastAsia="zh-CN"/>
        </w:rPr>
        <w:t>failure/RLF prediction</w:t>
      </w:r>
      <w:r w:rsidR="007D51AC">
        <w:rPr>
          <w:lang w:eastAsia="zh-CN"/>
        </w:rPr>
        <w:t xml:space="preserve"> and AI based measurement event prediction.</w:t>
      </w:r>
      <w:r w:rsidR="00FF0469">
        <w:rPr>
          <w:lang w:eastAsia="zh-CN"/>
        </w:rPr>
        <w:t xml:space="preserve"> </w:t>
      </w:r>
      <w:r w:rsidR="00FF0469">
        <w:rPr>
          <w:rFonts w:eastAsiaTheme="minorEastAsia"/>
          <w:lang w:val="en-US" w:eastAsia="zh-CN"/>
        </w:rPr>
        <w:t xml:space="preserve">RAN4 </w:t>
      </w:r>
      <w:r w:rsidR="00FF0469">
        <w:rPr>
          <w:rFonts w:eastAsiaTheme="minorEastAsia" w:hint="eastAsia"/>
          <w:lang w:val="en-US" w:eastAsia="zh-CN"/>
        </w:rPr>
        <w:t>is</w:t>
      </w:r>
      <w:r w:rsidR="00FF0469">
        <w:rPr>
          <w:rFonts w:eastAsiaTheme="minorEastAsia"/>
          <w:lang w:val="en-US" w:eastAsia="zh-CN"/>
        </w:rPr>
        <w:t xml:space="preserve"> </w:t>
      </w:r>
      <w:r w:rsidR="00FF0469">
        <w:rPr>
          <w:rFonts w:eastAsiaTheme="minorEastAsia" w:hint="eastAsia"/>
          <w:lang w:val="en-US" w:eastAsia="zh-CN"/>
        </w:rPr>
        <w:t>ex</w:t>
      </w:r>
      <w:r w:rsidR="00FF0469">
        <w:rPr>
          <w:rFonts w:eastAsiaTheme="minorEastAsia"/>
          <w:lang w:val="en-US" w:eastAsia="zh-CN"/>
        </w:rPr>
        <w:t xml:space="preserve">pected </w:t>
      </w:r>
      <w:r w:rsidR="00FF0469">
        <w:rPr>
          <w:rFonts w:eastAsiaTheme="minorEastAsia" w:hint="eastAsia"/>
          <w:lang w:val="en-US" w:eastAsia="zh-CN"/>
        </w:rPr>
        <w:t>t</w:t>
      </w:r>
      <w:r w:rsidR="00FF0469">
        <w:rPr>
          <w:rFonts w:eastAsiaTheme="minorEastAsia"/>
          <w:lang w:val="en-US" w:eastAsia="zh-CN"/>
        </w:rPr>
        <w:t>o e</w:t>
      </w:r>
      <w:r w:rsidR="00FF0469" w:rsidRPr="00FF0469">
        <w:rPr>
          <w:rFonts w:eastAsiaTheme="minorEastAsia"/>
          <w:lang w:val="en-US" w:eastAsia="zh-CN"/>
        </w:rPr>
        <w:t>valuate testability, interoperabili</w:t>
      </w:r>
      <w:r w:rsidR="00FF0469">
        <w:rPr>
          <w:rFonts w:eastAsiaTheme="minorEastAsia"/>
          <w:lang w:val="en-US" w:eastAsia="zh-CN"/>
        </w:rPr>
        <w:t>ty</w:t>
      </w:r>
      <w:r w:rsidR="00FF0469" w:rsidRPr="00FF0469">
        <w:rPr>
          <w:rFonts w:eastAsiaTheme="minorEastAsia"/>
          <w:lang w:val="en-US" w:eastAsia="zh-CN"/>
        </w:rPr>
        <w:t>, and impacts on RRM requirements and performance</w:t>
      </w:r>
      <w:r w:rsidR="00FF0469">
        <w:rPr>
          <w:rFonts w:eastAsiaTheme="minorEastAsia"/>
          <w:lang w:val="en-US" w:eastAsia="zh-CN"/>
        </w:rPr>
        <w:t>.</w:t>
      </w:r>
    </w:p>
    <w:tbl>
      <w:tblPr>
        <w:tblStyle w:val="TableGrid"/>
        <w:tblW w:w="9641" w:type="dxa"/>
        <w:tblLook w:val="04A0" w:firstRow="1" w:lastRow="0" w:firstColumn="1" w:lastColumn="0" w:noHBand="0" w:noVBand="1"/>
      </w:tblPr>
      <w:tblGrid>
        <w:gridCol w:w="9641"/>
      </w:tblGrid>
      <w:tr w:rsidR="007D51AC" w14:paraId="69F0D83F" w14:textId="77777777" w:rsidTr="00FF0469">
        <w:trPr>
          <w:trHeight w:val="2870"/>
        </w:trPr>
        <w:tc>
          <w:tcPr>
            <w:tcW w:w="9641" w:type="dxa"/>
          </w:tcPr>
          <w:p w14:paraId="3E74A531" w14:textId="77777777" w:rsidR="007D51AC" w:rsidRDefault="007D51AC" w:rsidP="00383383">
            <w:pPr>
              <w:spacing w:after="0"/>
              <w:rPr>
                <w:rFonts w:eastAsia="Yu Mincho"/>
                <w:sz w:val="16"/>
                <w:lang w:eastAsia="ja-JP"/>
              </w:rPr>
            </w:pPr>
            <w:r>
              <w:rPr>
                <w:rFonts w:eastAsia="Yu Mincho"/>
                <w:sz w:val="16"/>
                <w:lang w:eastAsia="ja-JP"/>
              </w:rPr>
              <w:t>R</w:t>
            </w:r>
            <w:r w:rsidRPr="00D34CD6">
              <w:rPr>
                <w:rFonts w:eastAsia="Yu Mincho"/>
                <w:sz w:val="16"/>
                <w:lang w:eastAsia="ja-JP"/>
              </w:rPr>
              <w:t xml:space="preserve">evised SID on AIML for mobility </w:t>
            </w:r>
            <w:r>
              <w:rPr>
                <w:rFonts w:eastAsia="Yu Mincho"/>
                <w:sz w:val="16"/>
                <w:lang w:eastAsia="ja-JP"/>
              </w:rPr>
              <w:t>[1]</w:t>
            </w:r>
            <w:r w:rsidRPr="00426329">
              <w:rPr>
                <w:rFonts w:eastAsia="Yu Mincho"/>
                <w:sz w:val="16"/>
                <w:lang w:eastAsia="ja-JP"/>
              </w:rPr>
              <w:t>:</w:t>
            </w:r>
          </w:p>
          <w:p w14:paraId="1BF22CFC" w14:textId="77777777" w:rsidR="007D51AC" w:rsidRPr="00D447E5" w:rsidRDefault="007D51AC" w:rsidP="00383383">
            <w:pPr>
              <w:spacing w:after="0"/>
              <w:rPr>
                <w:bCs/>
                <w:sz w:val="16"/>
                <w:szCs w:val="16"/>
              </w:rPr>
            </w:pPr>
            <w:r w:rsidRPr="00D447E5">
              <w:rPr>
                <w:rFonts w:eastAsia="Calibri"/>
                <w:bCs/>
                <w:sz w:val="16"/>
                <w:szCs w:val="16"/>
              </w:rPr>
              <w:t>Study and evaluate potential benefits and gains of AI/ML aided mobility for network triggered L3-based handover, considering the following aspects:</w:t>
            </w:r>
          </w:p>
          <w:p w14:paraId="34B46D67" w14:textId="77777777" w:rsidR="007D51AC" w:rsidRPr="00D447E5" w:rsidRDefault="007D51AC" w:rsidP="00383383">
            <w:pPr>
              <w:numPr>
                <w:ilvl w:val="0"/>
                <w:numId w:val="12"/>
              </w:numPr>
              <w:spacing w:after="0"/>
              <w:jc w:val="both"/>
              <w:rPr>
                <w:bCs/>
                <w:sz w:val="16"/>
                <w:szCs w:val="16"/>
              </w:rPr>
            </w:pPr>
            <w:r w:rsidRPr="00D447E5">
              <w:rPr>
                <w:rFonts w:eastAsia="Calibri"/>
                <w:bCs/>
                <w:sz w:val="16"/>
                <w:szCs w:val="16"/>
              </w:rPr>
              <w:t xml:space="preserve">AI/ML based RRM measurement and event prediction, </w:t>
            </w:r>
          </w:p>
          <w:p w14:paraId="08D5E88E" w14:textId="77777777" w:rsidR="007D51AC" w:rsidRPr="00D447E5" w:rsidRDefault="007D51AC" w:rsidP="00383383">
            <w:pPr>
              <w:numPr>
                <w:ilvl w:val="1"/>
                <w:numId w:val="12"/>
              </w:numPr>
              <w:spacing w:after="0"/>
              <w:jc w:val="both"/>
              <w:rPr>
                <w:rFonts w:eastAsia="等线"/>
                <w:bCs/>
                <w:sz w:val="16"/>
                <w:szCs w:val="16"/>
              </w:rPr>
            </w:pPr>
            <w:r w:rsidRPr="00D447E5">
              <w:rPr>
                <w:rFonts w:eastAsia="Calibri"/>
                <w:bCs/>
                <w:sz w:val="16"/>
                <w:szCs w:val="16"/>
              </w:rPr>
              <w:t>Cell-level measurement prediction including intra and inter-frequency (UE sided and NW sided model) [RAN2]</w:t>
            </w:r>
          </w:p>
          <w:p w14:paraId="114744CA" w14:textId="77777777" w:rsidR="007D51AC" w:rsidRPr="00D447E5" w:rsidRDefault="007D51AC" w:rsidP="00383383">
            <w:pPr>
              <w:numPr>
                <w:ilvl w:val="2"/>
                <w:numId w:val="12"/>
              </w:numPr>
              <w:spacing w:after="0"/>
              <w:jc w:val="both"/>
              <w:rPr>
                <w:rFonts w:eastAsia="等线"/>
                <w:bCs/>
                <w:sz w:val="16"/>
                <w:szCs w:val="16"/>
              </w:rPr>
            </w:pPr>
            <w:r w:rsidRPr="00D447E5">
              <w:rPr>
                <w:rFonts w:eastAsia="Calibri"/>
                <w:bCs/>
                <w:sz w:val="16"/>
                <w:szCs w:val="16"/>
              </w:rPr>
              <w:t>Inter-cell Beam-level measurement prediction for L3 Mobility (UE sided and NW sided model) [RAN2]</w:t>
            </w:r>
          </w:p>
          <w:p w14:paraId="7626AB82" w14:textId="77777777" w:rsidR="007D51AC" w:rsidRPr="00B9708A" w:rsidRDefault="007D51AC" w:rsidP="00383383">
            <w:pPr>
              <w:numPr>
                <w:ilvl w:val="1"/>
                <w:numId w:val="12"/>
              </w:numPr>
              <w:spacing w:after="0"/>
              <w:jc w:val="both"/>
              <w:rPr>
                <w:bCs/>
                <w:sz w:val="16"/>
                <w:szCs w:val="16"/>
              </w:rPr>
            </w:pPr>
            <w:r w:rsidRPr="00D447E5">
              <w:rPr>
                <w:rFonts w:eastAsia="Calibri"/>
                <w:bCs/>
                <w:sz w:val="16"/>
                <w:szCs w:val="16"/>
              </w:rPr>
              <w:t>HO failure/RLF prediction (UE sided model) [RAN2]</w:t>
            </w:r>
          </w:p>
          <w:p w14:paraId="31A58414" w14:textId="77777777" w:rsidR="00FF0469" w:rsidRPr="00FF0469" w:rsidRDefault="007D51AC" w:rsidP="00FF0469">
            <w:pPr>
              <w:numPr>
                <w:ilvl w:val="1"/>
                <w:numId w:val="12"/>
              </w:numPr>
              <w:spacing w:after="0"/>
              <w:jc w:val="both"/>
              <w:rPr>
                <w:bCs/>
                <w:sz w:val="16"/>
                <w:szCs w:val="16"/>
              </w:rPr>
            </w:pPr>
            <w:r w:rsidRPr="00B9708A">
              <w:rPr>
                <w:rFonts w:eastAsia="Calibri"/>
                <w:bCs/>
                <w:sz w:val="16"/>
                <w:szCs w:val="16"/>
              </w:rPr>
              <w:t>Measurement events prediction (UE sided model) [RAN2]</w:t>
            </w:r>
          </w:p>
          <w:p w14:paraId="5F8141C9" w14:textId="77777777" w:rsidR="00FF0469" w:rsidRDefault="00FF0469" w:rsidP="00FF0469">
            <w:pPr>
              <w:spacing w:after="0"/>
              <w:jc w:val="both"/>
              <w:rPr>
                <w:bCs/>
                <w:sz w:val="16"/>
                <w:szCs w:val="16"/>
              </w:rPr>
            </w:pPr>
            <w:r>
              <w:rPr>
                <w:bCs/>
                <w:sz w:val="16"/>
                <w:szCs w:val="16"/>
              </w:rPr>
              <w:t xml:space="preserve">         …</w:t>
            </w:r>
          </w:p>
          <w:p w14:paraId="338F387E" w14:textId="77777777" w:rsidR="00FF0469" w:rsidRPr="00FF0469" w:rsidRDefault="00FF0469" w:rsidP="00FF0469">
            <w:pPr>
              <w:widowControl w:val="0"/>
              <w:numPr>
                <w:ilvl w:val="0"/>
                <w:numId w:val="12"/>
              </w:numPr>
              <w:spacing w:after="0"/>
              <w:ind w:hanging="357"/>
              <w:jc w:val="both"/>
              <w:rPr>
                <w:bCs/>
                <w:sz w:val="16"/>
                <w:szCs w:val="16"/>
                <w:highlight w:val="yellow"/>
              </w:rPr>
            </w:pPr>
            <w:bookmarkStart w:id="4" w:name="_Hlk153472406"/>
            <w:r w:rsidRPr="00FF0469">
              <w:rPr>
                <w:bCs/>
                <w:sz w:val="16"/>
                <w:szCs w:val="16"/>
                <w:highlight w:val="yellow"/>
                <w:lang w:eastAsia="zh-CN"/>
              </w:rPr>
              <w:t>Evaluate testability, interoperability,</w:t>
            </w:r>
            <w:bookmarkEnd w:id="4"/>
            <w:r w:rsidRPr="00FF0469">
              <w:rPr>
                <w:bCs/>
                <w:sz w:val="16"/>
                <w:szCs w:val="16"/>
                <w:highlight w:val="yellow"/>
                <w:lang w:eastAsia="zh-CN"/>
              </w:rPr>
              <w:t xml:space="preserve"> and </w:t>
            </w:r>
            <w:r w:rsidRPr="00FF0469">
              <w:rPr>
                <w:bCs/>
                <w:sz w:val="16"/>
                <w:szCs w:val="16"/>
                <w:highlight w:val="yellow"/>
              </w:rPr>
              <w:t>impacts on RRM requirements and performance</w:t>
            </w:r>
            <w:r w:rsidRPr="00FF0469">
              <w:rPr>
                <w:bCs/>
                <w:sz w:val="16"/>
                <w:szCs w:val="16"/>
                <w:highlight w:val="yellow"/>
                <w:lang w:eastAsia="zh-CN"/>
              </w:rPr>
              <w:t xml:space="preserve"> [RAN4]</w:t>
            </w:r>
          </w:p>
          <w:p w14:paraId="18771078"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 xml:space="preserve">Study the impacts on requirements based on RAN2 assumptions, and coordinate with RAN2 if needed </w:t>
            </w:r>
          </w:p>
          <w:p w14:paraId="2ABF8524" w14:textId="77777777" w:rsidR="00FF0469" w:rsidRPr="00FF0469" w:rsidRDefault="00FF0469" w:rsidP="00FF0469">
            <w:pPr>
              <w:widowControl w:val="0"/>
              <w:numPr>
                <w:ilvl w:val="1"/>
                <w:numId w:val="12"/>
              </w:numPr>
              <w:tabs>
                <w:tab w:val="left" w:pos="720"/>
              </w:tabs>
              <w:spacing w:after="0"/>
              <w:jc w:val="both"/>
              <w:rPr>
                <w:bCs/>
                <w:sz w:val="16"/>
                <w:szCs w:val="16"/>
                <w:lang w:val="en-US"/>
              </w:rPr>
            </w:pPr>
            <w:r w:rsidRPr="00FF0469">
              <w:rPr>
                <w:rFonts w:hint="eastAsia"/>
                <w:bCs/>
                <w:sz w:val="16"/>
                <w:szCs w:val="16"/>
                <w:lang w:val="en-US"/>
              </w:rPr>
              <w:t>Study the testability and interoperability based on RAN2 framework (e.g., number of cells to measure, beams etc.)</w:t>
            </w:r>
          </w:p>
          <w:p w14:paraId="10637CBD" w14:textId="77777777"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color w:val="0000FF"/>
                <w:sz w:val="16"/>
                <w:szCs w:val="16"/>
                <w:lang w:val="en-US"/>
              </w:rPr>
              <w:t>N</w:t>
            </w:r>
            <w:r w:rsidRPr="00FF0469">
              <w:rPr>
                <w:bCs/>
                <w:color w:val="0000FF"/>
                <w:sz w:val="16"/>
                <w:szCs w:val="16"/>
                <w:lang w:val="en-US"/>
              </w:rPr>
              <w:t>OTE</w:t>
            </w:r>
            <w:r w:rsidRPr="00FF0469">
              <w:rPr>
                <w:rFonts w:hint="eastAsia"/>
                <w:bCs/>
                <w:color w:val="0000FF"/>
                <w:sz w:val="16"/>
                <w:szCs w:val="16"/>
                <w:lang w:val="en-US"/>
              </w:rPr>
              <w:t xml:space="preserve"> </w:t>
            </w:r>
            <w:r w:rsidRPr="00FF0469">
              <w:rPr>
                <w:bCs/>
                <w:color w:val="0000FF"/>
                <w:sz w:val="16"/>
                <w:szCs w:val="16"/>
                <w:lang w:val="en-US"/>
              </w:rPr>
              <w:t>4</w:t>
            </w:r>
            <w:r w:rsidRPr="00FF0469">
              <w:rPr>
                <w:rFonts w:hint="eastAsia"/>
                <w:bCs/>
                <w:color w:val="0000FF"/>
                <w:sz w:val="16"/>
                <w:szCs w:val="16"/>
                <w:lang w:val="en-US"/>
              </w:rPr>
              <w:t>: Leverage the work from “AI/ML for NR air interface” led by RAN1 and avoid the duplicate study for testability and interoperability.</w:t>
            </w:r>
            <w:r w:rsidRPr="00FF0469">
              <w:rPr>
                <w:rFonts w:hint="eastAsia"/>
                <w:bCs/>
                <w:sz w:val="16"/>
                <w:szCs w:val="16"/>
                <w:lang w:val="en-US"/>
              </w:rPr>
              <w:t xml:space="preserve"> </w:t>
            </w:r>
          </w:p>
          <w:p w14:paraId="2B013F94" w14:textId="0DBF9311" w:rsidR="00FF0469" w:rsidRPr="00FF0469" w:rsidRDefault="00FF0469" w:rsidP="00FF0469">
            <w:pPr>
              <w:pStyle w:val="ListParagraph"/>
              <w:widowControl w:val="0"/>
              <w:numPr>
                <w:ilvl w:val="1"/>
                <w:numId w:val="12"/>
              </w:numPr>
              <w:contextualSpacing w:val="0"/>
              <w:jc w:val="both"/>
              <w:rPr>
                <w:bCs/>
                <w:sz w:val="16"/>
                <w:szCs w:val="16"/>
                <w:lang w:val="en-US"/>
              </w:rPr>
            </w:pPr>
            <w:r w:rsidRPr="00FF0469">
              <w:rPr>
                <w:rFonts w:hint="eastAsia"/>
                <w:bCs/>
                <w:sz w:val="16"/>
                <w:szCs w:val="16"/>
                <w:lang w:val="en-US"/>
              </w:rPr>
              <w:t>N</w:t>
            </w:r>
            <w:r w:rsidRPr="00FF0469">
              <w:rPr>
                <w:bCs/>
                <w:sz w:val="16"/>
                <w:szCs w:val="16"/>
                <w:lang w:val="en-US"/>
              </w:rPr>
              <w:t>OTE</w:t>
            </w:r>
            <w:r w:rsidRPr="00FF0469">
              <w:rPr>
                <w:rFonts w:hint="eastAsia"/>
                <w:bCs/>
                <w:sz w:val="16"/>
                <w:szCs w:val="16"/>
                <w:lang w:val="en-US"/>
              </w:rPr>
              <w:t xml:space="preserve"> </w:t>
            </w:r>
            <w:r w:rsidRPr="00FF0469">
              <w:rPr>
                <w:bCs/>
                <w:sz w:val="16"/>
                <w:szCs w:val="16"/>
                <w:lang w:val="en-US"/>
              </w:rPr>
              <w:t>5</w:t>
            </w:r>
            <w:r w:rsidRPr="00FF0469">
              <w:rPr>
                <w:rFonts w:hint="eastAsia"/>
                <w:bCs/>
                <w:sz w:val="16"/>
                <w:szCs w:val="16"/>
                <w:lang w:val="en-US"/>
              </w:rPr>
              <w:t>: Avoid the overlaps with RAN2 work for evaluation</w:t>
            </w:r>
          </w:p>
        </w:tc>
      </w:tr>
    </w:tbl>
    <w:p w14:paraId="4C835E11" w14:textId="1111FDC7" w:rsidR="00BF4F02" w:rsidRDefault="003D3E2B" w:rsidP="007D51AC">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RAN4#112bis meeting, 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440642">
        <w:rPr>
          <w:rFonts w:eastAsiaTheme="minorEastAsia"/>
          <w:lang w:val="en-US" w:eastAsia="zh-CN"/>
        </w:rPr>
        <w:t>study</w:t>
      </w:r>
      <w:r w:rsidR="00F71AAF">
        <w:rPr>
          <w:rFonts w:eastAsiaTheme="minorEastAsia"/>
          <w:lang w:val="en-US" w:eastAsia="zh-CN"/>
        </w:rPr>
        <w:t>, and will carry out</w:t>
      </w:r>
      <w:r w:rsidR="00440642">
        <w:rPr>
          <w:rFonts w:eastAsiaTheme="minorEastAsia"/>
          <w:lang w:val="en-US" w:eastAsia="zh-CN"/>
        </w:rPr>
        <w:t xml:space="preserve"> the discussion on</w:t>
      </w:r>
      <w:r w:rsidR="00F71AAF">
        <w:rPr>
          <w:rFonts w:eastAsiaTheme="minorEastAsia"/>
          <w:lang w:val="en-US" w:eastAsia="zh-CN"/>
        </w:rPr>
        <w:t xml:space="preserve"> measurement event prediction and </w:t>
      </w:r>
      <w:r w:rsidR="00F71AAF" w:rsidRPr="005C69E0">
        <w:rPr>
          <w:rFonts w:eastAsia="Calibri"/>
          <w:bCs/>
          <w:lang w:val="en-US"/>
        </w:rPr>
        <w:t>RLF prediction</w:t>
      </w:r>
      <w:r w:rsidR="00F71AAF">
        <w:rPr>
          <w:rFonts w:eastAsia="Calibri"/>
          <w:bCs/>
          <w:lang w:val="en-US"/>
        </w:rPr>
        <w:t xml:space="preserve"> </w:t>
      </w:r>
      <w:r w:rsidR="00C46C83">
        <w:rPr>
          <w:rFonts w:eastAsia="Calibri"/>
          <w:bCs/>
          <w:lang w:val="en-US"/>
        </w:rPr>
        <w:t>from</w:t>
      </w:r>
      <w:r w:rsidR="00F71AAF">
        <w:rPr>
          <w:rFonts w:eastAsia="Calibri"/>
          <w:bCs/>
          <w:lang w:val="en-US"/>
        </w:rPr>
        <w:t xml:space="preserve"> 2025</w:t>
      </w:r>
      <w:r w:rsidR="00C46C83">
        <w:rPr>
          <w:rFonts w:eastAsia="Calibri"/>
          <w:bCs/>
          <w:lang w:val="en-US"/>
        </w:rPr>
        <w:t xml:space="preserve"> if sufficient progress is achieved in RAN2</w:t>
      </w:r>
      <w:r w:rsidR="00440642">
        <w:rPr>
          <w:rFonts w:eastAsia="Calibri"/>
          <w:bCs/>
          <w:lang w:val="en-US"/>
        </w:rPr>
        <w:t xml:space="preserve"> [2]</w:t>
      </w:r>
      <w:r w:rsidR="00F71AAF">
        <w:rPr>
          <w:rFonts w:eastAsia="Calibri"/>
          <w:bCs/>
          <w:lang w:val="en-US"/>
        </w:rPr>
        <w:t>.</w:t>
      </w:r>
    </w:p>
    <w:tbl>
      <w:tblPr>
        <w:tblStyle w:val="TableGrid"/>
        <w:tblW w:w="0" w:type="auto"/>
        <w:tblLook w:val="04A0" w:firstRow="1" w:lastRow="0" w:firstColumn="1" w:lastColumn="0" w:noHBand="0" w:noVBand="1"/>
      </w:tblPr>
      <w:tblGrid>
        <w:gridCol w:w="9621"/>
      </w:tblGrid>
      <w:tr w:rsidR="002E7FCE" w14:paraId="7DEBD72B" w14:textId="77777777" w:rsidTr="002E7FCE">
        <w:tc>
          <w:tcPr>
            <w:tcW w:w="9621" w:type="dxa"/>
          </w:tcPr>
          <w:p w14:paraId="7D147758" w14:textId="64E1A617" w:rsidR="007D51AC" w:rsidRPr="007D51AC" w:rsidRDefault="007D51AC" w:rsidP="007D51AC">
            <w:pPr>
              <w:pStyle w:val="3GPPNormalText"/>
              <w:spacing w:after="0"/>
              <w:rPr>
                <w:rFonts w:eastAsiaTheme="minorEastAsia"/>
                <w:sz w:val="16"/>
                <w:szCs w:val="20"/>
                <w:lang w:val="en-GB"/>
              </w:rPr>
            </w:pPr>
            <w:r w:rsidRPr="007D51AC">
              <w:rPr>
                <w:rFonts w:eastAsia="Yu Mincho"/>
                <w:sz w:val="16"/>
                <w:szCs w:val="20"/>
                <w:lang w:val="en-GB" w:eastAsia="ja-JP"/>
              </w:rPr>
              <w:t>RAN4#112bis WF</w:t>
            </w:r>
            <w:r>
              <w:rPr>
                <w:rFonts w:eastAsia="Yu Mincho"/>
                <w:sz w:val="16"/>
                <w:szCs w:val="20"/>
                <w:lang w:val="en-GB" w:eastAsia="ja-JP"/>
              </w:rPr>
              <w:t xml:space="preserve"> </w:t>
            </w:r>
            <w:r w:rsidRPr="007D51AC">
              <w:rPr>
                <w:rFonts w:eastAsia="Yu Mincho" w:hint="eastAsia"/>
                <w:sz w:val="16"/>
                <w:szCs w:val="20"/>
                <w:lang w:val="en-GB" w:eastAsia="ja-JP"/>
              </w:rPr>
              <w:t>[</w:t>
            </w:r>
            <w:r w:rsidRPr="007D51AC">
              <w:rPr>
                <w:rFonts w:eastAsia="Yu Mincho"/>
                <w:sz w:val="16"/>
                <w:szCs w:val="20"/>
                <w:lang w:val="en-GB" w:eastAsia="ja-JP"/>
              </w:rPr>
              <w:t>2</w:t>
            </w:r>
            <w:r>
              <w:rPr>
                <w:rFonts w:eastAsia="Yu Mincho"/>
                <w:sz w:val="16"/>
                <w:szCs w:val="20"/>
                <w:lang w:val="en-GB" w:eastAsia="ja-JP"/>
              </w:rPr>
              <w:t>]</w:t>
            </w:r>
            <w:r>
              <w:rPr>
                <w:rFonts w:eastAsiaTheme="minorEastAsia" w:hint="eastAsia"/>
                <w:sz w:val="16"/>
                <w:szCs w:val="20"/>
                <w:lang w:val="en-GB"/>
              </w:rPr>
              <w:t>:</w:t>
            </w:r>
          </w:p>
          <w:p w14:paraId="5BAA87E0" w14:textId="221AE6C9" w:rsidR="002E7FCE" w:rsidRPr="007D51AC" w:rsidRDefault="002E7FCE" w:rsidP="007D51AC">
            <w:pPr>
              <w:pStyle w:val="3GPPNormalText"/>
              <w:spacing w:after="0"/>
              <w:rPr>
                <w:b/>
                <w:bCs/>
                <w:sz w:val="16"/>
                <w:szCs w:val="16"/>
                <w:u w:val="single"/>
                <w:lang w:val="en-US"/>
              </w:rPr>
            </w:pPr>
            <w:r w:rsidRPr="007D51AC">
              <w:rPr>
                <w:b/>
                <w:bCs/>
                <w:sz w:val="16"/>
                <w:szCs w:val="16"/>
                <w:u w:val="single"/>
                <w:lang w:val="en-US"/>
              </w:rPr>
              <w:t>Issue 1-1-1: Priorities of different use cases</w:t>
            </w:r>
          </w:p>
          <w:p w14:paraId="382B94EF"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7AFD78A0" w14:textId="77777777" w:rsidR="002E7FCE" w:rsidRPr="007D51AC" w:rsidRDefault="002E7FCE" w:rsidP="007D51AC">
            <w:pPr>
              <w:pStyle w:val="ListParagraph"/>
              <w:numPr>
                <w:ilvl w:val="1"/>
                <w:numId w:val="11"/>
              </w:numPr>
              <w:snapToGrid w:val="0"/>
              <w:contextualSpacing w:val="0"/>
              <w:rPr>
                <w:sz w:val="16"/>
                <w:szCs w:val="16"/>
              </w:rPr>
            </w:pPr>
            <w:r w:rsidRPr="007D51AC">
              <w:rPr>
                <w:sz w:val="16"/>
                <w:szCs w:val="16"/>
              </w:rPr>
              <w:t>RAN4 to start the discussion with RRM measurement prediction use-case from RAN4 #112bis meeting.</w:t>
            </w:r>
          </w:p>
          <w:p w14:paraId="6909903A" w14:textId="77777777" w:rsidR="002E7FCE" w:rsidRPr="007D51AC" w:rsidRDefault="002E7FCE" w:rsidP="007D51AC">
            <w:pPr>
              <w:spacing w:after="0"/>
              <w:rPr>
                <w:color w:val="000000" w:themeColor="text1"/>
                <w:sz w:val="16"/>
                <w:szCs w:val="16"/>
                <w:lang w:eastAsia="zh-CN"/>
              </w:rPr>
            </w:pPr>
          </w:p>
          <w:p w14:paraId="2EEEF5E3" w14:textId="77777777" w:rsidR="002E7FCE" w:rsidRPr="007D51AC" w:rsidRDefault="002E7FCE" w:rsidP="007D51AC">
            <w:pPr>
              <w:snapToGrid w:val="0"/>
              <w:spacing w:after="0"/>
              <w:rPr>
                <w:sz w:val="16"/>
                <w:szCs w:val="16"/>
                <w:lang w:eastAsia="zh-CN"/>
              </w:rPr>
            </w:pPr>
            <w:r w:rsidRPr="007D51AC">
              <w:rPr>
                <w:rFonts w:hint="eastAsia"/>
                <w:sz w:val="16"/>
                <w:szCs w:val="16"/>
                <w:highlight w:val="green"/>
                <w:lang w:eastAsia="zh-CN"/>
              </w:rPr>
              <w:t>A</w:t>
            </w:r>
            <w:r w:rsidRPr="007D51AC">
              <w:rPr>
                <w:sz w:val="16"/>
                <w:szCs w:val="16"/>
                <w:highlight w:val="green"/>
                <w:lang w:eastAsia="zh-CN"/>
              </w:rPr>
              <w:t>greement</w:t>
            </w:r>
            <w:r w:rsidRPr="007D51AC">
              <w:rPr>
                <w:sz w:val="16"/>
                <w:szCs w:val="16"/>
                <w:lang w:eastAsia="zh-CN"/>
              </w:rPr>
              <w:t>:</w:t>
            </w:r>
          </w:p>
          <w:p w14:paraId="205BBFC3" w14:textId="77777777" w:rsidR="002E7FCE" w:rsidRPr="007D51AC" w:rsidRDefault="002E7FCE" w:rsidP="007D51AC">
            <w:pPr>
              <w:pStyle w:val="ListParagraph"/>
              <w:numPr>
                <w:ilvl w:val="1"/>
                <w:numId w:val="11"/>
              </w:numPr>
              <w:snapToGrid w:val="0"/>
              <w:contextualSpacing w:val="0"/>
              <w:rPr>
                <w:sz w:val="16"/>
                <w:szCs w:val="16"/>
              </w:rPr>
            </w:pPr>
            <w:r w:rsidRPr="007D51AC">
              <w:rPr>
                <w:sz w:val="16"/>
                <w:szCs w:val="16"/>
              </w:rPr>
              <w:t>RAN4 to only start the discussion of Measurement event prediction use-case and</w:t>
            </w:r>
            <w:r w:rsidRPr="007D51AC">
              <w:rPr>
                <w:bCs/>
                <w:sz w:val="16"/>
                <w:szCs w:val="16"/>
              </w:rPr>
              <w:t xml:space="preserve"> RLF use-case</w:t>
            </w:r>
            <w:r w:rsidRPr="007D51AC">
              <w:rPr>
                <w:sz w:val="16"/>
                <w:szCs w:val="16"/>
              </w:rPr>
              <w:t xml:space="preserve"> if sufficient progress in RAN2.</w:t>
            </w:r>
          </w:p>
          <w:p w14:paraId="46A49FD5" w14:textId="77777777" w:rsidR="007D51AC" w:rsidRDefault="002E7FCE" w:rsidP="007D51AC">
            <w:pPr>
              <w:pStyle w:val="ListParagraph"/>
              <w:numPr>
                <w:ilvl w:val="1"/>
                <w:numId w:val="11"/>
              </w:numPr>
              <w:snapToGrid w:val="0"/>
              <w:contextualSpacing w:val="0"/>
              <w:rPr>
                <w:sz w:val="16"/>
                <w:szCs w:val="16"/>
              </w:rPr>
            </w:pPr>
            <w:r w:rsidRPr="007D51AC">
              <w:rPr>
                <w:rFonts w:hint="eastAsia"/>
                <w:sz w:val="16"/>
                <w:szCs w:val="16"/>
              </w:rPr>
              <w:t>T</w:t>
            </w:r>
            <w:r w:rsidRPr="007D51AC">
              <w:rPr>
                <w:sz w:val="16"/>
                <w:szCs w:val="16"/>
              </w:rPr>
              <w:t>he earliest time to start the discussion for Measurement event prediction use-case is RAN4#114 meeting (Feb 2025).</w:t>
            </w:r>
          </w:p>
          <w:p w14:paraId="3EDB4B7D" w14:textId="3858EDB9" w:rsidR="002E7FCE" w:rsidRPr="007D51AC" w:rsidRDefault="002E7FCE" w:rsidP="007D51AC">
            <w:pPr>
              <w:pStyle w:val="ListParagraph"/>
              <w:numPr>
                <w:ilvl w:val="1"/>
                <w:numId w:val="11"/>
              </w:numPr>
              <w:snapToGrid w:val="0"/>
              <w:contextualSpacing w:val="0"/>
              <w:rPr>
                <w:sz w:val="16"/>
                <w:szCs w:val="16"/>
              </w:rPr>
            </w:pPr>
            <w:r w:rsidRPr="007D51AC">
              <w:rPr>
                <w:rFonts w:hint="eastAsia"/>
                <w:sz w:val="16"/>
                <w:szCs w:val="16"/>
              </w:rPr>
              <w:t>T</w:t>
            </w:r>
            <w:r w:rsidRPr="007D51AC">
              <w:rPr>
                <w:sz w:val="16"/>
                <w:szCs w:val="16"/>
              </w:rPr>
              <w:t xml:space="preserve">he earliest time to start the discussion for </w:t>
            </w:r>
            <w:r w:rsidRPr="007D51AC">
              <w:rPr>
                <w:bCs/>
                <w:sz w:val="16"/>
                <w:szCs w:val="16"/>
              </w:rPr>
              <w:t xml:space="preserve">RLF use-case is </w:t>
            </w:r>
            <w:r w:rsidRPr="007D51AC">
              <w:rPr>
                <w:sz w:val="16"/>
                <w:szCs w:val="16"/>
              </w:rPr>
              <w:t>from RAN4#114bis meeting (Apr 2025).</w:t>
            </w:r>
          </w:p>
        </w:tc>
      </w:tr>
    </w:tbl>
    <w:p w14:paraId="3EF7E290" w14:textId="2AEF86F7" w:rsidR="00861A15" w:rsidRDefault="00861A15" w:rsidP="007D51AC">
      <w:pPr>
        <w:spacing w:before="120" w:after="120"/>
        <w:rPr>
          <w:rFonts w:eastAsiaTheme="minorEastAsia"/>
          <w:lang w:val="en-US" w:eastAsia="zh-CN"/>
        </w:rPr>
      </w:pPr>
      <w:r>
        <w:rPr>
          <w:rFonts w:eastAsiaTheme="minorEastAsia"/>
          <w:lang w:val="en-US" w:eastAsia="zh-CN"/>
        </w:rPr>
        <w:t xml:space="preserve">In RAN4#114 meeting, RAN4 agreed to start the study on </w:t>
      </w:r>
      <w:r>
        <w:rPr>
          <w:rFonts w:eastAsiaTheme="minorEastAsia"/>
          <w:lang w:val="en-US" w:eastAsia="zh-CN"/>
        </w:rPr>
        <w:t>measurement event prediction</w:t>
      </w:r>
      <w:r>
        <w:rPr>
          <w:rFonts w:eastAsiaTheme="minorEastAsia"/>
          <w:lang w:val="en-US" w:eastAsia="zh-CN"/>
        </w:rPr>
        <w:t xml:space="preserve"> from RAN4 #114bis. It is observed that RAN2 agreed not to study RLF prediction last meeting.</w:t>
      </w:r>
    </w:p>
    <w:tbl>
      <w:tblPr>
        <w:tblStyle w:val="TableGrid"/>
        <w:tblW w:w="0" w:type="auto"/>
        <w:tblLook w:val="04A0" w:firstRow="1" w:lastRow="0" w:firstColumn="1" w:lastColumn="0" w:noHBand="0" w:noVBand="1"/>
      </w:tblPr>
      <w:tblGrid>
        <w:gridCol w:w="9621"/>
      </w:tblGrid>
      <w:tr w:rsidR="00861A15" w14:paraId="27E90B17" w14:textId="77777777" w:rsidTr="00861A15">
        <w:tc>
          <w:tcPr>
            <w:tcW w:w="9621" w:type="dxa"/>
          </w:tcPr>
          <w:p w14:paraId="35B51F7E" w14:textId="2AFD9B33" w:rsidR="00861A15" w:rsidRPr="007D51AC" w:rsidRDefault="00861A15" w:rsidP="00861A15">
            <w:pPr>
              <w:pStyle w:val="3GPPNormalText"/>
              <w:spacing w:after="0"/>
              <w:rPr>
                <w:rFonts w:eastAsiaTheme="minorEastAsia"/>
                <w:sz w:val="16"/>
                <w:szCs w:val="20"/>
                <w:lang w:val="en-GB"/>
              </w:rPr>
            </w:pPr>
            <w:r w:rsidRPr="007D51AC">
              <w:rPr>
                <w:rFonts w:eastAsia="Yu Mincho"/>
                <w:sz w:val="16"/>
                <w:szCs w:val="20"/>
                <w:lang w:val="en-GB" w:eastAsia="ja-JP"/>
              </w:rPr>
              <w:t>RAN4#11</w:t>
            </w:r>
            <w:r>
              <w:rPr>
                <w:rFonts w:eastAsia="Yu Mincho"/>
                <w:sz w:val="16"/>
                <w:szCs w:val="20"/>
                <w:lang w:val="en-GB" w:eastAsia="ja-JP"/>
              </w:rPr>
              <w:t>4</w:t>
            </w:r>
            <w:r w:rsidRPr="007D51AC">
              <w:rPr>
                <w:rFonts w:eastAsia="Yu Mincho"/>
                <w:sz w:val="16"/>
                <w:szCs w:val="20"/>
                <w:lang w:val="en-GB" w:eastAsia="ja-JP"/>
              </w:rPr>
              <w:t xml:space="preserve"> WF</w:t>
            </w:r>
            <w:r>
              <w:rPr>
                <w:rFonts w:eastAsia="Yu Mincho"/>
                <w:sz w:val="16"/>
                <w:szCs w:val="20"/>
                <w:lang w:val="en-GB" w:eastAsia="ja-JP"/>
              </w:rPr>
              <w:t xml:space="preserve"> </w:t>
            </w:r>
            <w:r w:rsidRPr="007D51AC">
              <w:rPr>
                <w:rFonts w:eastAsia="Yu Mincho" w:hint="eastAsia"/>
                <w:sz w:val="16"/>
                <w:szCs w:val="20"/>
                <w:lang w:val="en-GB" w:eastAsia="ja-JP"/>
              </w:rPr>
              <w:t>[</w:t>
            </w:r>
            <w:r>
              <w:rPr>
                <w:rFonts w:eastAsia="Yu Mincho"/>
                <w:sz w:val="16"/>
                <w:szCs w:val="20"/>
                <w:lang w:val="en-GB" w:eastAsia="ja-JP"/>
              </w:rPr>
              <w:t>3</w:t>
            </w:r>
            <w:r>
              <w:rPr>
                <w:rFonts w:eastAsia="Yu Mincho"/>
                <w:sz w:val="16"/>
                <w:szCs w:val="20"/>
                <w:lang w:val="en-GB" w:eastAsia="ja-JP"/>
              </w:rPr>
              <w:t>]</w:t>
            </w:r>
            <w:r>
              <w:rPr>
                <w:rFonts w:eastAsiaTheme="minorEastAsia" w:hint="eastAsia"/>
                <w:sz w:val="16"/>
                <w:szCs w:val="20"/>
                <w:lang w:val="en-GB"/>
              </w:rPr>
              <w:t>:</w:t>
            </w:r>
          </w:p>
          <w:p w14:paraId="218471D8" w14:textId="77777777" w:rsidR="00425B25" w:rsidRPr="00425B25" w:rsidRDefault="00425B25" w:rsidP="00425B25">
            <w:pPr>
              <w:pStyle w:val="3GPPNormalText"/>
              <w:spacing w:after="0"/>
              <w:rPr>
                <w:b/>
                <w:bCs/>
                <w:sz w:val="16"/>
                <w:szCs w:val="16"/>
                <w:u w:val="single"/>
                <w:lang w:val="en-US"/>
              </w:rPr>
            </w:pPr>
            <w:r w:rsidRPr="00425B25">
              <w:rPr>
                <w:b/>
                <w:bCs/>
                <w:sz w:val="16"/>
                <w:szCs w:val="16"/>
                <w:u w:val="single"/>
                <w:lang w:val="en-US"/>
              </w:rPr>
              <w:t>Issue 1-1-1: Measurement event prediction use case</w:t>
            </w:r>
          </w:p>
          <w:p w14:paraId="71101DF8" w14:textId="77777777" w:rsidR="00425B25" w:rsidRPr="00425B25" w:rsidRDefault="00425B25" w:rsidP="00425B25">
            <w:pPr>
              <w:snapToGrid w:val="0"/>
              <w:spacing w:after="0"/>
              <w:rPr>
                <w:sz w:val="16"/>
                <w:szCs w:val="16"/>
                <w:highlight w:val="green"/>
                <w:lang w:eastAsia="zh-CN"/>
              </w:rPr>
            </w:pPr>
            <w:r w:rsidRPr="00425B25">
              <w:rPr>
                <w:sz w:val="16"/>
                <w:szCs w:val="16"/>
                <w:highlight w:val="green"/>
                <w:lang w:eastAsia="zh-CN"/>
              </w:rPr>
              <w:t>Agreement:</w:t>
            </w:r>
          </w:p>
          <w:p w14:paraId="6A25BEA1" w14:textId="77777777" w:rsidR="00861A15" w:rsidRPr="00425B25" w:rsidRDefault="00425B25" w:rsidP="00425B25">
            <w:pPr>
              <w:pStyle w:val="ListParagraph"/>
              <w:numPr>
                <w:ilvl w:val="1"/>
                <w:numId w:val="11"/>
              </w:numPr>
              <w:snapToGrid w:val="0"/>
              <w:contextualSpacing w:val="0"/>
              <w:rPr>
                <w:sz w:val="16"/>
                <w:szCs w:val="16"/>
              </w:rPr>
            </w:pPr>
            <w:r w:rsidRPr="00425B25">
              <w:rPr>
                <w:sz w:val="16"/>
                <w:szCs w:val="16"/>
              </w:rPr>
              <w:t>RAN4 will start the discussion on measurement event prediction use case in RAN4#114bis meeting.</w:t>
            </w:r>
          </w:p>
          <w:p w14:paraId="5E6F424A" w14:textId="62FB3AF8" w:rsidR="00425B25" w:rsidRDefault="00425B25" w:rsidP="002C1F80">
            <w:pPr>
              <w:pStyle w:val="3GPPNormalText"/>
              <w:spacing w:after="0"/>
              <w:rPr>
                <w:rFonts w:eastAsia="Yu Mincho"/>
                <w:sz w:val="16"/>
                <w:szCs w:val="20"/>
                <w:lang w:val="en-GB" w:eastAsia="ja-JP"/>
              </w:rPr>
            </w:pPr>
            <w:r w:rsidRPr="002C1F80">
              <w:rPr>
                <w:rFonts w:eastAsia="Yu Mincho"/>
                <w:sz w:val="16"/>
                <w:szCs w:val="20"/>
                <w:lang w:val="en-GB" w:eastAsia="ja-JP"/>
              </w:rPr>
              <w:t xml:space="preserve">RAN2 </w:t>
            </w:r>
            <w:r w:rsidR="002C1F80" w:rsidRPr="002C1F80">
              <w:rPr>
                <w:rFonts w:eastAsia="Yu Mincho"/>
                <w:sz w:val="16"/>
                <w:szCs w:val="20"/>
                <w:lang w:val="en-GB" w:eastAsia="ja-JP"/>
              </w:rPr>
              <w:t xml:space="preserve">#129 </w:t>
            </w:r>
            <w:r w:rsidR="002C1F80">
              <w:rPr>
                <w:rFonts w:eastAsia="Yu Mincho"/>
                <w:sz w:val="16"/>
                <w:szCs w:val="20"/>
                <w:lang w:val="en-GB" w:eastAsia="ja-JP"/>
              </w:rPr>
              <w:t>Chairman notes</w:t>
            </w:r>
            <w:r w:rsidR="002C1F80" w:rsidRPr="002C1F80">
              <w:rPr>
                <w:rFonts w:eastAsia="Yu Mincho"/>
                <w:sz w:val="16"/>
                <w:szCs w:val="20"/>
                <w:lang w:val="en-GB" w:eastAsia="ja-JP"/>
              </w:rPr>
              <w:t>:</w:t>
            </w:r>
          </w:p>
          <w:p w14:paraId="09C11BC7" w14:textId="77777777" w:rsidR="002C1F80" w:rsidRPr="002C1F80" w:rsidRDefault="002C1F80" w:rsidP="002C1F80">
            <w:pPr>
              <w:snapToGrid w:val="0"/>
              <w:spacing w:after="0"/>
              <w:rPr>
                <w:sz w:val="16"/>
                <w:szCs w:val="16"/>
                <w:highlight w:val="green"/>
                <w:lang w:eastAsia="zh-CN"/>
              </w:rPr>
            </w:pPr>
            <w:r w:rsidRPr="002C1F80">
              <w:rPr>
                <w:sz w:val="16"/>
                <w:szCs w:val="16"/>
                <w:highlight w:val="green"/>
                <w:lang w:eastAsia="zh-CN"/>
              </w:rPr>
              <w:t xml:space="preserve">Agreements on priority </w:t>
            </w:r>
          </w:p>
          <w:p w14:paraId="29E3EC32" w14:textId="02794913" w:rsidR="002C1F80" w:rsidRPr="002C1F80" w:rsidRDefault="002C1F80" w:rsidP="002C1F80">
            <w:pPr>
              <w:pStyle w:val="ListParagraph"/>
              <w:numPr>
                <w:ilvl w:val="1"/>
                <w:numId w:val="11"/>
              </w:numPr>
              <w:snapToGrid w:val="0"/>
              <w:contextualSpacing w:val="0"/>
              <w:rPr>
                <w:rFonts w:eastAsia="MS Mincho"/>
                <w:bCs/>
                <w:lang w:eastAsia="en-GB"/>
              </w:rPr>
            </w:pPr>
            <w:r w:rsidRPr="002C1F80">
              <w:rPr>
                <w:sz w:val="16"/>
                <w:szCs w:val="16"/>
              </w:rPr>
              <w:t>RLF prediction will not be studied in Rel-19</w:t>
            </w:r>
          </w:p>
        </w:tc>
      </w:tr>
    </w:tbl>
    <w:p w14:paraId="42198161" w14:textId="7225BB9F" w:rsidR="00861A15" w:rsidRDefault="002C1F80" w:rsidP="007D51AC">
      <w:pPr>
        <w:spacing w:before="120" w:after="120"/>
        <w:rPr>
          <w:rFonts w:eastAsiaTheme="minorEastAsia"/>
          <w:lang w:val="en-US" w:eastAsia="zh-CN"/>
        </w:rPr>
      </w:pPr>
      <w:r>
        <w:rPr>
          <w:rFonts w:eastAsiaTheme="minorEastAsia"/>
          <w:lang w:val="en-US" w:eastAsia="zh-CN"/>
        </w:rPr>
        <w:t xml:space="preserve">Therefore, RAN4 can follow RAN2’s priority and will not start the </w:t>
      </w:r>
      <w:r w:rsidRPr="002C1F80">
        <w:rPr>
          <w:rFonts w:eastAsiaTheme="minorEastAsia"/>
          <w:lang w:val="en-US" w:eastAsia="zh-CN"/>
        </w:rPr>
        <w:t>discussion of RLF use-case</w:t>
      </w:r>
      <w:r>
        <w:rPr>
          <w:rFonts w:eastAsiaTheme="minorEastAsia"/>
          <w:lang w:val="en-US" w:eastAsia="zh-CN"/>
        </w:rPr>
        <w:t>.</w:t>
      </w:r>
    </w:p>
    <w:p w14:paraId="2C9BBB06" w14:textId="04DB8EAF" w:rsidR="002C1F80" w:rsidRPr="002C1F80" w:rsidRDefault="002C1F80" w:rsidP="002C1F80">
      <w:pPr>
        <w:spacing w:before="120"/>
        <w:jc w:val="both"/>
        <w:rPr>
          <w:b/>
          <w:iCs/>
          <w:color w:val="000000" w:themeColor="text1"/>
        </w:rPr>
      </w:pPr>
      <w:r w:rsidRPr="00AB01B7">
        <w:rPr>
          <w:b/>
          <w:iCs/>
          <w:color w:val="000000" w:themeColor="text1"/>
        </w:rPr>
        <w:t xml:space="preserve">Proposal 1: RAN4 </w:t>
      </w:r>
      <w:r>
        <w:rPr>
          <w:b/>
          <w:iCs/>
          <w:color w:val="000000" w:themeColor="text1"/>
        </w:rPr>
        <w:t xml:space="preserve">will not </w:t>
      </w:r>
      <w:r w:rsidRPr="00AB01B7">
        <w:rPr>
          <w:b/>
          <w:iCs/>
          <w:color w:val="000000" w:themeColor="text1"/>
        </w:rPr>
        <w:t xml:space="preserve">start the study </w:t>
      </w:r>
      <w:r>
        <w:rPr>
          <w:b/>
          <w:iCs/>
          <w:color w:val="000000" w:themeColor="text1"/>
        </w:rPr>
        <w:t>of RLF use-case in R19</w:t>
      </w:r>
      <w:r w:rsidRPr="00AB01B7">
        <w:rPr>
          <w:b/>
          <w:iCs/>
          <w:color w:val="000000" w:themeColor="text1"/>
        </w:rPr>
        <w:t xml:space="preserve">. </w:t>
      </w:r>
    </w:p>
    <w:p w14:paraId="62ACA1A8" w14:textId="7A41877E" w:rsidR="005B7F51" w:rsidRPr="00496D0F" w:rsidRDefault="005B7F51" w:rsidP="007D51AC">
      <w:pPr>
        <w:spacing w:before="120" w:after="120"/>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715BEE">
        <w:rPr>
          <w:rFonts w:eastAsiaTheme="minorEastAsia"/>
          <w:lang w:val="en-US" w:eastAsia="zh-CN"/>
        </w:rPr>
        <w:t>general aspects</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p w14:paraId="46E7B739" w14:textId="5FBFC465" w:rsidR="00715BEE" w:rsidRDefault="00190D72" w:rsidP="007D51AC">
      <w:pPr>
        <w:pStyle w:val="Heading1"/>
        <w:keepLines w:val="0"/>
        <w:numPr>
          <w:ilvl w:val="0"/>
          <w:numId w:val="0"/>
        </w:numPr>
        <w:pBdr>
          <w:top w:val="none" w:sz="0" w:space="0" w:color="auto"/>
        </w:pBdr>
        <w:autoSpaceDE w:val="0"/>
        <w:autoSpaceDN w:val="0"/>
        <w:adjustRightInd w:val="0"/>
        <w:snapToGrid w:val="0"/>
        <w:spacing w:before="120" w:after="120"/>
        <w:jc w:val="both"/>
        <w:rPr>
          <w:rFonts w:eastAsia="宋体"/>
        </w:rPr>
      </w:pPr>
      <w:bookmarkStart w:id="5" w:name="OLE_LINK232"/>
      <w:bookmarkStart w:id="6" w:name="OLE_LINK233"/>
      <w:bookmarkStart w:id="7" w:name="OLE_LINK665"/>
      <w:bookmarkStart w:id="8" w:name="OLE_LINK666"/>
      <w:bookmarkStart w:id="9" w:name="OLE_LINK667"/>
      <w:r>
        <w:rPr>
          <w:rFonts w:eastAsia="宋体"/>
        </w:rPr>
        <w:lastRenderedPageBreak/>
        <w:t xml:space="preserve">2. </w:t>
      </w:r>
      <w:r w:rsidR="00715BEE">
        <w:rPr>
          <w:rFonts w:eastAsia="宋体"/>
        </w:rPr>
        <w:t xml:space="preserve">General aspects of AI mobility in RAN4 </w:t>
      </w:r>
    </w:p>
    <w:p w14:paraId="5A79E8CB" w14:textId="30B4A2B6" w:rsidR="000522FC" w:rsidRPr="000522FC" w:rsidRDefault="000522FC" w:rsidP="000522FC">
      <w:pPr>
        <w:pStyle w:val="Heading2"/>
        <w:numPr>
          <w:ilvl w:val="0"/>
          <w:numId w:val="0"/>
        </w:numPr>
        <w:rPr>
          <w:szCs w:val="24"/>
        </w:rPr>
      </w:pPr>
      <w:r w:rsidRPr="003C59C3">
        <w:rPr>
          <w:szCs w:val="24"/>
        </w:rPr>
        <w:t xml:space="preserve">2.1 </w:t>
      </w:r>
      <w:r>
        <w:rPr>
          <w:szCs w:val="24"/>
        </w:rPr>
        <w:t>Scenario and sub-use case priorities</w:t>
      </w:r>
      <w:r w:rsidRPr="003C59C3">
        <w:rPr>
          <w:szCs w:val="24"/>
        </w:rPr>
        <w:t xml:space="preserve"> </w:t>
      </w:r>
    </w:p>
    <w:p w14:paraId="5ADE3DDE" w14:textId="7957F356" w:rsidR="0063082A" w:rsidRDefault="000522FC" w:rsidP="000522FC">
      <w:pPr>
        <w:jc w:val="both"/>
        <w:rPr>
          <w:rFonts w:eastAsia="Yu Mincho"/>
        </w:rPr>
      </w:pPr>
      <w:r>
        <w:rPr>
          <w:rFonts w:eastAsia="Yu Mincho"/>
        </w:rPr>
        <w:t xml:space="preserve">According to TR 38.744, </w:t>
      </w:r>
      <w:r w:rsidRPr="000522FC">
        <w:rPr>
          <w:rFonts w:eastAsia="Yu Mincho"/>
        </w:rPr>
        <w:t>scenarios 2, 3</w:t>
      </w:r>
      <w:r>
        <w:rPr>
          <w:rFonts w:eastAsia="Yu Mincho"/>
        </w:rPr>
        <w:t xml:space="preserve"> </w:t>
      </w:r>
      <w:r w:rsidRPr="000522FC">
        <w:rPr>
          <w:rFonts w:eastAsia="Yu Mincho"/>
        </w:rPr>
        <w:t>and 4 are considered with high priority in RAN2</w:t>
      </w:r>
      <w:r>
        <w:rPr>
          <w:rFonts w:eastAsia="Yu Mincho"/>
        </w:rPr>
        <w:t>. These scenarios are also selected to start the study in RAN4 at RAN4 #112bis. According to Moderator’s summary in RAN4 #113 [3], scenario and sub-use case priorities in RAN4 are suggested to be further discussed.</w:t>
      </w:r>
    </w:p>
    <w:p w14:paraId="3E1F202E" w14:textId="35A84C58" w:rsidR="00AB01B7" w:rsidRPr="00AB01B7" w:rsidRDefault="00AB01B7" w:rsidP="00AB01B7">
      <w:pPr>
        <w:pStyle w:val="ListParagraph"/>
        <w:numPr>
          <w:ilvl w:val="0"/>
          <w:numId w:val="32"/>
        </w:numPr>
        <w:spacing w:after="120"/>
        <w:jc w:val="both"/>
        <w:rPr>
          <w:rFonts w:eastAsia="Yu Mincho"/>
          <w:b/>
          <w:sz w:val="20"/>
        </w:rPr>
      </w:pPr>
      <w:r w:rsidRPr="00AB01B7">
        <w:rPr>
          <w:rFonts w:eastAsia="Yu Mincho"/>
          <w:b/>
          <w:sz w:val="20"/>
        </w:rPr>
        <w:t xml:space="preserve">Scenario priority </w:t>
      </w:r>
    </w:p>
    <w:tbl>
      <w:tblPr>
        <w:tblStyle w:val="TableGrid"/>
        <w:tblW w:w="0" w:type="auto"/>
        <w:tblLook w:val="04A0" w:firstRow="1" w:lastRow="0" w:firstColumn="1" w:lastColumn="0" w:noHBand="0" w:noVBand="1"/>
      </w:tblPr>
      <w:tblGrid>
        <w:gridCol w:w="9621"/>
      </w:tblGrid>
      <w:tr w:rsidR="000522FC" w14:paraId="6FB09A39" w14:textId="77777777" w:rsidTr="000522FC">
        <w:trPr>
          <w:trHeight w:val="1178"/>
        </w:trPr>
        <w:tc>
          <w:tcPr>
            <w:tcW w:w="9621" w:type="dxa"/>
          </w:tcPr>
          <w:p w14:paraId="538E56A3" w14:textId="37AAFA4D" w:rsidR="000522FC" w:rsidRPr="000522FC" w:rsidRDefault="000522FC" w:rsidP="000522FC">
            <w:pPr>
              <w:pStyle w:val="3GPPNormalText"/>
              <w:rPr>
                <w:rFonts w:eastAsiaTheme="minorEastAsia"/>
                <w:b/>
                <w:sz w:val="16"/>
                <w:szCs w:val="20"/>
                <w:lang w:val="en-GB"/>
              </w:rPr>
            </w:pPr>
            <w:r w:rsidRPr="000522FC">
              <w:rPr>
                <w:rFonts w:eastAsia="Yu Mincho"/>
                <w:b/>
                <w:sz w:val="16"/>
                <w:szCs w:val="20"/>
                <w:lang w:val="en-GB" w:eastAsia="ja-JP"/>
              </w:rPr>
              <w:t>Table 5.2.1-1 in TR 38.744</w:t>
            </w:r>
            <w:r w:rsidRPr="000522FC">
              <w:rPr>
                <w:rFonts w:eastAsiaTheme="minorEastAsia" w:hint="eastAsia"/>
                <w:b/>
                <w:sz w:val="16"/>
                <w:szCs w:val="20"/>
                <w:lang w:val="en-GB"/>
              </w:rPr>
              <w:t>:</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0522FC" w14:paraId="2B62C153"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BD02933" w14:textId="77777777" w:rsidR="000522FC" w:rsidRPr="000522FC" w:rsidRDefault="000522FC" w:rsidP="000522FC">
                  <w:pPr>
                    <w:spacing w:after="160" w:line="259" w:lineRule="auto"/>
                    <w:rPr>
                      <w:b/>
                      <w:bCs/>
                      <w:sz w:val="16"/>
                      <w:szCs w:val="16"/>
                    </w:rPr>
                  </w:pPr>
                  <w:r w:rsidRPr="000522FC">
                    <w:rPr>
                      <w:b/>
                      <w:bCs/>
                      <w:sz w:val="16"/>
                      <w:szCs w:val="16"/>
                    </w:rPr>
                    <w:t>Scenario number</w:t>
                  </w:r>
                </w:p>
              </w:tc>
              <w:tc>
                <w:tcPr>
                  <w:tcW w:w="1278" w:type="dxa"/>
                  <w:tcBorders>
                    <w:top w:val="single" w:sz="4" w:space="0" w:color="auto"/>
                    <w:left w:val="single" w:sz="4" w:space="0" w:color="auto"/>
                    <w:bottom w:val="single" w:sz="4" w:space="0" w:color="auto"/>
                    <w:right w:val="single" w:sz="4" w:space="0" w:color="auto"/>
                  </w:tcBorders>
                </w:tcPr>
                <w:p w14:paraId="1BC94D6A" w14:textId="77777777" w:rsidR="000522FC" w:rsidRPr="000522FC" w:rsidRDefault="000522FC" w:rsidP="000522FC">
                  <w:pPr>
                    <w:spacing w:after="160" w:line="259" w:lineRule="auto"/>
                    <w:rPr>
                      <w:b/>
                      <w:bCs/>
                      <w:sz w:val="16"/>
                      <w:szCs w:val="16"/>
                    </w:rPr>
                  </w:pPr>
                  <w:r w:rsidRPr="000522FC">
                    <w:rPr>
                      <w:b/>
                      <w:bCs/>
                      <w:sz w:val="16"/>
                      <w:szCs w:val="16"/>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14ABA4B7" w14:textId="77777777" w:rsidR="000522FC" w:rsidRPr="000522FC" w:rsidRDefault="000522FC" w:rsidP="000522FC">
                  <w:pPr>
                    <w:spacing w:after="160" w:line="259" w:lineRule="auto"/>
                    <w:rPr>
                      <w:b/>
                      <w:bCs/>
                      <w:sz w:val="16"/>
                      <w:szCs w:val="16"/>
                    </w:rPr>
                  </w:pPr>
                  <w:r w:rsidRPr="000522FC">
                    <w:rPr>
                      <w:b/>
                      <w:bCs/>
                      <w:sz w:val="16"/>
                      <w:szCs w:val="16"/>
                    </w:rPr>
                    <w:t>Evaluation scenario</w:t>
                  </w:r>
                </w:p>
              </w:tc>
              <w:tc>
                <w:tcPr>
                  <w:tcW w:w="1262" w:type="dxa"/>
                  <w:tcBorders>
                    <w:top w:val="single" w:sz="4" w:space="0" w:color="auto"/>
                    <w:left w:val="single" w:sz="4" w:space="0" w:color="auto"/>
                    <w:bottom w:val="single" w:sz="4" w:space="0" w:color="auto"/>
                    <w:right w:val="single" w:sz="4" w:space="0" w:color="auto"/>
                  </w:tcBorders>
                </w:tcPr>
                <w:p w14:paraId="17DAC5B8" w14:textId="77777777" w:rsidR="000522FC" w:rsidRPr="000522FC" w:rsidRDefault="000522FC" w:rsidP="000522FC">
                  <w:pPr>
                    <w:spacing w:after="160" w:line="259" w:lineRule="auto"/>
                    <w:rPr>
                      <w:b/>
                      <w:bCs/>
                      <w:sz w:val="16"/>
                      <w:szCs w:val="16"/>
                    </w:rPr>
                  </w:pPr>
                  <w:r w:rsidRPr="000522FC">
                    <w:rPr>
                      <w:b/>
                      <w:bCs/>
                      <w:sz w:val="16"/>
                      <w:szCs w:val="16"/>
                    </w:rPr>
                    <w:t>Target study goal</w:t>
                  </w:r>
                </w:p>
              </w:tc>
              <w:tc>
                <w:tcPr>
                  <w:tcW w:w="1339" w:type="dxa"/>
                  <w:tcBorders>
                    <w:top w:val="single" w:sz="4" w:space="0" w:color="auto"/>
                    <w:left w:val="single" w:sz="4" w:space="0" w:color="auto"/>
                    <w:bottom w:val="single" w:sz="4" w:space="0" w:color="auto"/>
                    <w:right w:val="single" w:sz="4" w:space="0" w:color="auto"/>
                  </w:tcBorders>
                </w:tcPr>
                <w:p w14:paraId="3EDFD107" w14:textId="77777777" w:rsidR="000522FC" w:rsidRPr="000522FC" w:rsidRDefault="000522FC" w:rsidP="000522FC">
                  <w:pPr>
                    <w:spacing w:after="160" w:line="259" w:lineRule="auto"/>
                    <w:rPr>
                      <w:b/>
                      <w:bCs/>
                      <w:sz w:val="16"/>
                      <w:szCs w:val="16"/>
                    </w:rPr>
                  </w:pPr>
                  <w:r w:rsidRPr="000522FC">
                    <w:rPr>
                      <w:b/>
                      <w:bCs/>
                      <w:sz w:val="16"/>
                      <w:szCs w:val="16"/>
                    </w:rPr>
                    <w:t>Methodology</w:t>
                  </w:r>
                </w:p>
              </w:tc>
            </w:tr>
            <w:tr w:rsidR="000522FC" w14:paraId="3F9A6798"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69F6772" w14:textId="77777777" w:rsidR="000522FC" w:rsidRPr="000522FC" w:rsidRDefault="000522FC" w:rsidP="000522FC">
                  <w:pPr>
                    <w:spacing w:after="160" w:line="259" w:lineRule="auto"/>
                    <w:rPr>
                      <w:sz w:val="16"/>
                      <w:szCs w:val="16"/>
                    </w:rPr>
                  </w:pPr>
                  <w:r w:rsidRPr="000522FC">
                    <w:rPr>
                      <w:sz w:val="16"/>
                      <w:szCs w:val="16"/>
                    </w:rPr>
                    <w:t>1</w:t>
                  </w:r>
                </w:p>
              </w:tc>
              <w:tc>
                <w:tcPr>
                  <w:tcW w:w="1278" w:type="dxa"/>
                  <w:tcBorders>
                    <w:top w:val="single" w:sz="4" w:space="0" w:color="auto"/>
                    <w:left w:val="single" w:sz="4" w:space="0" w:color="auto"/>
                    <w:bottom w:val="single" w:sz="4" w:space="0" w:color="auto"/>
                    <w:right w:val="single" w:sz="4" w:space="0" w:color="auto"/>
                  </w:tcBorders>
                </w:tcPr>
                <w:p w14:paraId="2C502F2C"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1B2E6BA6" w14:textId="77777777" w:rsidR="000522FC" w:rsidRPr="000522FC" w:rsidRDefault="000522FC" w:rsidP="000522FC">
                  <w:pPr>
                    <w:spacing w:after="160" w:line="259" w:lineRule="auto"/>
                    <w:rPr>
                      <w:sz w:val="16"/>
                      <w:szCs w:val="16"/>
                    </w:rPr>
                  </w:pPr>
                  <w:r w:rsidRPr="000522FC">
                    <w:rPr>
                      <w:sz w:val="16"/>
                      <w:szCs w:val="16"/>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EE48FC7"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016CA248" w14:textId="77777777" w:rsidR="000522FC" w:rsidRPr="000522FC" w:rsidRDefault="000522FC" w:rsidP="000522FC">
                  <w:pPr>
                    <w:spacing w:after="160" w:line="259" w:lineRule="auto"/>
                    <w:rPr>
                      <w:sz w:val="16"/>
                      <w:szCs w:val="16"/>
                    </w:rPr>
                  </w:pPr>
                  <w:r w:rsidRPr="000522FC">
                    <w:rPr>
                      <w:sz w:val="16"/>
                      <w:szCs w:val="16"/>
                    </w:rPr>
                    <w:t>TBD</w:t>
                  </w:r>
                </w:p>
              </w:tc>
            </w:tr>
            <w:tr w:rsidR="000522FC" w14:paraId="46A7CF6C"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184F7FB" w14:textId="77777777" w:rsidR="000522FC" w:rsidRPr="000522FC" w:rsidRDefault="000522FC" w:rsidP="000522FC">
                  <w:pPr>
                    <w:spacing w:after="160" w:line="259" w:lineRule="auto"/>
                    <w:rPr>
                      <w:sz w:val="16"/>
                      <w:szCs w:val="16"/>
                    </w:rPr>
                  </w:pPr>
                  <w:r w:rsidRPr="000522FC">
                    <w:rPr>
                      <w:sz w:val="16"/>
                      <w:szCs w:val="16"/>
                    </w:rPr>
                    <w:t>2</w:t>
                  </w:r>
                </w:p>
              </w:tc>
              <w:tc>
                <w:tcPr>
                  <w:tcW w:w="1278" w:type="dxa"/>
                  <w:tcBorders>
                    <w:top w:val="single" w:sz="4" w:space="0" w:color="auto"/>
                    <w:left w:val="single" w:sz="4" w:space="0" w:color="auto"/>
                    <w:bottom w:val="single" w:sz="4" w:space="0" w:color="auto"/>
                    <w:right w:val="single" w:sz="4" w:space="0" w:color="auto"/>
                  </w:tcBorders>
                </w:tcPr>
                <w:p w14:paraId="052A1B4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3B64092B" w14:textId="77777777" w:rsidR="000522FC" w:rsidRPr="000522FC" w:rsidRDefault="000522FC" w:rsidP="000522FC">
                  <w:pPr>
                    <w:spacing w:after="160" w:line="259" w:lineRule="auto"/>
                    <w:rPr>
                      <w:sz w:val="16"/>
                      <w:szCs w:val="16"/>
                    </w:rPr>
                  </w:pPr>
                  <w:r w:rsidRPr="000522FC">
                    <w:rPr>
                      <w:sz w:val="16"/>
                      <w:szCs w:val="16"/>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7C082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F67A813" w14:textId="77777777" w:rsidR="000522FC" w:rsidRPr="000522FC" w:rsidRDefault="000522FC" w:rsidP="000522FC">
                  <w:pPr>
                    <w:spacing w:after="160" w:line="259" w:lineRule="auto"/>
                    <w:rPr>
                      <w:sz w:val="16"/>
                      <w:szCs w:val="16"/>
                      <w:vertAlign w:val="superscript"/>
                    </w:rPr>
                  </w:pPr>
                  <w:r w:rsidRPr="000522FC">
                    <w:rPr>
                      <w:sz w:val="16"/>
                      <w:szCs w:val="16"/>
                    </w:rPr>
                    <w:t>Intra-cell</w:t>
                  </w:r>
                </w:p>
              </w:tc>
            </w:tr>
            <w:tr w:rsidR="000522FC" w14:paraId="416A1269"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2ECD3914" w14:textId="77777777" w:rsidR="000522FC" w:rsidRPr="000522FC" w:rsidRDefault="000522FC" w:rsidP="000522FC">
                  <w:pPr>
                    <w:spacing w:after="160" w:line="259" w:lineRule="auto"/>
                    <w:rPr>
                      <w:sz w:val="16"/>
                      <w:szCs w:val="16"/>
                    </w:rPr>
                  </w:pPr>
                  <w:r w:rsidRPr="000522FC">
                    <w:rPr>
                      <w:sz w:val="16"/>
                      <w:szCs w:val="16"/>
                    </w:rPr>
                    <w:t>3</w:t>
                  </w:r>
                </w:p>
              </w:tc>
              <w:tc>
                <w:tcPr>
                  <w:tcW w:w="1278" w:type="dxa"/>
                  <w:tcBorders>
                    <w:top w:val="single" w:sz="4" w:space="0" w:color="auto"/>
                    <w:left w:val="single" w:sz="4" w:space="0" w:color="auto"/>
                    <w:bottom w:val="single" w:sz="4" w:space="0" w:color="auto"/>
                    <w:right w:val="single" w:sz="4" w:space="0" w:color="auto"/>
                  </w:tcBorders>
                </w:tcPr>
                <w:p w14:paraId="12137BC0"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107F332B" w14:textId="77777777" w:rsidR="000522FC" w:rsidRPr="000522FC" w:rsidRDefault="000522FC" w:rsidP="000522FC">
                  <w:pPr>
                    <w:spacing w:after="160" w:line="259" w:lineRule="auto"/>
                    <w:rPr>
                      <w:sz w:val="16"/>
                      <w:szCs w:val="16"/>
                    </w:rPr>
                  </w:pPr>
                  <w:r w:rsidRPr="000522FC">
                    <w:rPr>
                      <w:sz w:val="16"/>
                      <w:szCs w:val="16"/>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7ADAB7DB"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3CC5873" w14:textId="77777777" w:rsidR="000522FC" w:rsidRPr="000522FC" w:rsidRDefault="000522FC" w:rsidP="000522FC">
                  <w:pPr>
                    <w:spacing w:after="160" w:line="259" w:lineRule="auto"/>
                    <w:rPr>
                      <w:sz w:val="16"/>
                      <w:szCs w:val="16"/>
                    </w:rPr>
                  </w:pPr>
                  <w:r w:rsidRPr="000522FC">
                    <w:rPr>
                      <w:sz w:val="16"/>
                      <w:szCs w:val="16"/>
                    </w:rPr>
                    <w:t xml:space="preserve">Inter-cell </w:t>
                  </w:r>
                </w:p>
              </w:tc>
            </w:tr>
            <w:tr w:rsidR="000522FC" w14:paraId="7A87A66E"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1D512FCC" w14:textId="77777777" w:rsidR="000522FC" w:rsidRPr="000522FC" w:rsidRDefault="000522FC" w:rsidP="000522FC">
                  <w:pPr>
                    <w:spacing w:after="160" w:line="259" w:lineRule="auto"/>
                    <w:rPr>
                      <w:sz w:val="16"/>
                      <w:szCs w:val="16"/>
                    </w:rPr>
                  </w:pPr>
                  <w:r w:rsidRPr="000522FC">
                    <w:rPr>
                      <w:sz w:val="16"/>
                      <w:szCs w:val="16"/>
                    </w:rPr>
                    <w:t>4</w:t>
                  </w:r>
                </w:p>
              </w:tc>
              <w:tc>
                <w:tcPr>
                  <w:tcW w:w="1278" w:type="dxa"/>
                  <w:tcBorders>
                    <w:top w:val="single" w:sz="4" w:space="0" w:color="auto"/>
                    <w:left w:val="single" w:sz="4" w:space="0" w:color="auto"/>
                    <w:bottom w:val="single" w:sz="4" w:space="0" w:color="auto"/>
                    <w:right w:val="single" w:sz="4" w:space="0" w:color="auto"/>
                  </w:tcBorders>
                </w:tcPr>
                <w:p w14:paraId="4EA35CEE" w14:textId="77777777" w:rsidR="000522FC" w:rsidRPr="000522FC" w:rsidRDefault="000522FC" w:rsidP="000522FC">
                  <w:pPr>
                    <w:spacing w:after="160" w:line="259" w:lineRule="auto"/>
                    <w:rPr>
                      <w:sz w:val="16"/>
                      <w:szCs w:val="16"/>
                    </w:rPr>
                  </w:pPr>
                  <w:r w:rsidRPr="000522FC">
                    <w:rPr>
                      <w:sz w:val="16"/>
                      <w:szCs w:val="16"/>
                    </w:rPr>
                    <w:t>High</w:t>
                  </w:r>
                </w:p>
              </w:tc>
              <w:tc>
                <w:tcPr>
                  <w:tcW w:w="3769" w:type="dxa"/>
                  <w:tcBorders>
                    <w:top w:val="single" w:sz="4" w:space="0" w:color="auto"/>
                    <w:left w:val="single" w:sz="4" w:space="0" w:color="auto"/>
                    <w:bottom w:val="single" w:sz="4" w:space="0" w:color="auto"/>
                    <w:right w:val="single" w:sz="4" w:space="0" w:color="auto"/>
                  </w:tcBorders>
                </w:tcPr>
                <w:p w14:paraId="6C30FCA9" w14:textId="77777777" w:rsidR="000522FC" w:rsidRPr="000522FC" w:rsidRDefault="000522FC" w:rsidP="000522FC">
                  <w:pPr>
                    <w:spacing w:after="160" w:line="259" w:lineRule="auto"/>
                    <w:rPr>
                      <w:sz w:val="16"/>
                      <w:szCs w:val="16"/>
                    </w:rPr>
                  </w:pPr>
                  <w:r w:rsidRPr="000522FC">
                    <w:rPr>
                      <w:sz w:val="16"/>
                      <w:szCs w:val="16"/>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2E59D64F" w14:textId="77777777" w:rsidR="000522FC" w:rsidRPr="000522FC" w:rsidRDefault="000522FC" w:rsidP="000522FC">
                  <w:pPr>
                    <w:spacing w:after="160" w:line="259" w:lineRule="auto"/>
                    <w:rPr>
                      <w:sz w:val="16"/>
                      <w:szCs w:val="16"/>
                    </w:rPr>
                  </w:pPr>
                  <w:r w:rsidRPr="000522FC">
                    <w:rPr>
                      <w:sz w:val="16"/>
                      <w:szCs w:val="16"/>
                    </w:rPr>
                    <w:t>2</w:t>
                  </w:r>
                  <w:r w:rsidRPr="000522FC">
                    <w:rPr>
                      <w:sz w:val="16"/>
                      <w:szCs w:val="16"/>
                      <w:vertAlign w:val="superscript"/>
                    </w:rPr>
                    <w:t>nd</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77F525D" w14:textId="77777777" w:rsidR="000522FC" w:rsidRPr="000522FC" w:rsidRDefault="000522FC" w:rsidP="000522FC">
                  <w:pPr>
                    <w:spacing w:after="160" w:line="259" w:lineRule="auto"/>
                    <w:rPr>
                      <w:sz w:val="16"/>
                      <w:szCs w:val="16"/>
                    </w:rPr>
                  </w:pPr>
                  <w:r w:rsidRPr="000522FC">
                    <w:rPr>
                      <w:sz w:val="16"/>
                      <w:szCs w:val="16"/>
                    </w:rPr>
                    <w:t>Intra-cell</w:t>
                  </w:r>
                </w:p>
              </w:tc>
            </w:tr>
            <w:tr w:rsidR="000522FC" w14:paraId="311BB102"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4108B256" w14:textId="77777777" w:rsidR="000522FC" w:rsidRPr="000522FC" w:rsidRDefault="000522FC" w:rsidP="000522FC">
                  <w:pPr>
                    <w:spacing w:after="160" w:line="259" w:lineRule="auto"/>
                    <w:rPr>
                      <w:sz w:val="16"/>
                      <w:szCs w:val="16"/>
                    </w:rPr>
                  </w:pPr>
                  <w:r w:rsidRPr="000522FC">
                    <w:rPr>
                      <w:sz w:val="16"/>
                      <w:szCs w:val="16"/>
                    </w:rPr>
                    <w:t>5</w:t>
                  </w:r>
                </w:p>
              </w:tc>
              <w:tc>
                <w:tcPr>
                  <w:tcW w:w="1278" w:type="dxa"/>
                  <w:tcBorders>
                    <w:top w:val="single" w:sz="4" w:space="0" w:color="auto"/>
                    <w:left w:val="single" w:sz="4" w:space="0" w:color="auto"/>
                    <w:bottom w:val="single" w:sz="4" w:space="0" w:color="auto"/>
                    <w:right w:val="single" w:sz="4" w:space="0" w:color="auto"/>
                  </w:tcBorders>
                </w:tcPr>
                <w:p w14:paraId="05AE6822" w14:textId="77777777" w:rsidR="000522FC" w:rsidRPr="000522FC" w:rsidRDefault="000522FC" w:rsidP="000522FC">
                  <w:pPr>
                    <w:spacing w:after="160" w:line="259" w:lineRule="auto"/>
                    <w:rPr>
                      <w:sz w:val="16"/>
                      <w:szCs w:val="16"/>
                    </w:rPr>
                  </w:pPr>
                  <w:r w:rsidRPr="000522FC">
                    <w:rPr>
                      <w:sz w:val="16"/>
                      <w:szCs w:val="16"/>
                    </w:rPr>
                    <w:t>Low</w:t>
                  </w:r>
                </w:p>
              </w:tc>
              <w:tc>
                <w:tcPr>
                  <w:tcW w:w="3769" w:type="dxa"/>
                  <w:tcBorders>
                    <w:top w:val="single" w:sz="4" w:space="0" w:color="auto"/>
                    <w:left w:val="single" w:sz="4" w:space="0" w:color="auto"/>
                    <w:bottom w:val="single" w:sz="4" w:space="0" w:color="auto"/>
                    <w:right w:val="single" w:sz="4" w:space="0" w:color="auto"/>
                  </w:tcBorders>
                </w:tcPr>
                <w:p w14:paraId="0EDDA07E" w14:textId="77777777" w:rsidR="000522FC" w:rsidRPr="000522FC" w:rsidRDefault="000522FC" w:rsidP="000522FC">
                  <w:pPr>
                    <w:spacing w:after="160" w:line="259" w:lineRule="auto"/>
                    <w:rPr>
                      <w:sz w:val="16"/>
                      <w:szCs w:val="16"/>
                    </w:rPr>
                  </w:pPr>
                  <w:r w:rsidRPr="000522FC">
                    <w:rPr>
                      <w:sz w:val="16"/>
                      <w:szCs w:val="16"/>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762C7D4"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539909D9" w14:textId="77777777" w:rsidR="000522FC" w:rsidRPr="000522FC" w:rsidRDefault="000522FC" w:rsidP="000522FC">
                  <w:pPr>
                    <w:spacing w:after="160" w:line="259" w:lineRule="auto"/>
                    <w:rPr>
                      <w:sz w:val="16"/>
                      <w:szCs w:val="16"/>
                    </w:rPr>
                  </w:pPr>
                  <w:r w:rsidRPr="000522FC">
                    <w:rPr>
                      <w:sz w:val="16"/>
                      <w:szCs w:val="16"/>
                    </w:rPr>
                    <w:t>TBD</w:t>
                  </w:r>
                </w:p>
              </w:tc>
            </w:tr>
            <w:tr w:rsidR="000522FC" w14:paraId="75D83350" w14:textId="77777777" w:rsidTr="00383383">
              <w:trPr>
                <w:jc w:val="center"/>
              </w:trPr>
              <w:tc>
                <w:tcPr>
                  <w:tcW w:w="1146" w:type="dxa"/>
                  <w:tcBorders>
                    <w:top w:val="single" w:sz="4" w:space="0" w:color="auto"/>
                    <w:left w:val="single" w:sz="4" w:space="0" w:color="auto"/>
                    <w:bottom w:val="single" w:sz="4" w:space="0" w:color="auto"/>
                    <w:right w:val="single" w:sz="4" w:space="0" w:color="auto"/>
                  </w:tcBorders>
                </w:tcPr>
                <w:p w14:paraId="0E627824" w14:textId="77777777" w:rsidR="000522FC" w:rsidRPr="000522FC" w:rsidRDefault="000522FC" w:rsidP="000522FC">
                  <w:pPr>
                    <w:spacing w:after="160" w:line="259" w:lineRule="auto"/>
                    <w:rPr>
                      <w:sz w:val="16"/>
                      <w:szCs w:val="16"/>
                    </w:rPr>
                  </w:pPr>
                  <w:r w:rsidRPr="000522FC">
                    <w:rPr>
                      <w:sz w:val="16"/>
                      <w:szCs w:val="16"/>
                    </w:rPr>
                    <w:t>6</w:t>
                  </w:r>
                </w:p>
              </w:tc>
              <w:tc>
                <w:tcPr>
                  <w:tcW w:w="1278" w:type="dxa"/>
                  <w:tcBorders>
                    <w:top w:val="single" w:sz="4" w:space="0" w:color="auto"/>
                    <w:left w:val="single" w:sz="4" w:space="0" w:color="auto"/>
                    <w:bottom w:val="single" w:sz="4" w:space="0" w:color="auto"/>
                    <w:right w:val="single" w:sz="4" w:space="0" w:color="auto"/>
                  </w:tcBorders>
                </w:tcPr>
                <w:p w14:paraId="72A7AB75" w14:textId="77777777" w:rsidR="000522FC" w:rsidRPr="000522FC" w:rsidRDefault="000522FC" w:rsidP="000522FC">
                  <w:pPr>
                    <w:spacing w:after="160" w:line="259" w:lineRule="auto"/>
                    <w:rPr>
                      <w:sz w:val="16"/>
                      <w:szCs w:val="16"/>
                    </w:rPr>
                  </w:pPr>
                  <w:r w:rsidRPr="000522FC">
                    <w:rPr>
                      <w:sz w:val="16"/>
                      <w:szCs w:val="16"/>
                    </w:rPr>
                    <w:t>Middle</w:t>
                  </w:r>
                </w:p>
              </w:tc>
              <w:tc>
                <w:tcPr>
                  <w:tcW w:w="3769" w:type="dxa"/>
                  <w:tcBorders>
                    <w:top w:val="single" w:sz="4" w:space="0" w:color="auto"/>
                    <w:left w:val="single" w:sz="4" w:space="0" w:color="auto"/>
                    <w:bottom w:val="single" w:sz="4" w:space="0" w:color="auto"/>
                    <w:right w:val="single" w:sz="4" w:space="0" w:color="auto"/>
                  </w:tcBorders>
                </w:tcPr>
                <w:p w14:paraId="2569920E" w14:textId="77777777" w:rsidR="000522FC" w:rsidRPr="000522FC" w:rsidRDefault="000522FC" w:rsidP="000522FC">
                  <w:pPr>
                    <w:spacing w:after="160" w:line="259" w:lineRule="auto"/>
                    <w:rPr>
                      <w:sz w:val="16"/>
                      <w:szCs w:val="16"/>
                    </w:rPr>
                  </w:pPr>
                  <w:r w:rsidRPr="000522FC">
                    <w:rPr>
                      <w:sz w:val="16"/>
                      <w:szCs w:val="16"/>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5E14E1F3" w14:textId="77777777" w:rsidR="000522FC" w:rsidRPr="000522FC" w:rsidRDefault="000522FC" w:rsidP="000522FC">
                  <w:pPr>
                    <w:spacing w:after="160" w:line="259" w:lineRule="auto"/>
                    <w:rPr>
                      <w:sz w:val="16"/>
                      <w:szCs w:val="16"/>
                    </w:rPr>
                  </w:pPr>
                  <w:r w:rsidRPr="000522FC">
                    <w:rPr>
                      <w:sz w:val="16"/>
                      <w:szCs w:val="16"/>
                    </w:rPr>
                    <w:t>1</w:t>
                  </w:r>
                  <w:r w:rsidRPr="000522FC">
                    <w:rPr>
                      <w:sz w:val="16"/>
                      <w:szCs w:val="16"/>
                      <w:vertAlign w:val="superscript"/>
                    </w:rPr>
                    <w:t>st</w:t>
                  </w:r>
                  <w:r w:rsidRPr="000522FC">
                    <w:rPr>
                      <w:sz w:val="16"/>
                      <w:szCs w:val="16"/>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22D1053" w14:textId="77777777" w:rsidR="000522FC" w:rsidRPr="000522FC" w:rsidRDefault="000522FC" w:rsidP="000522FC">
                  <w:pPr>
                    <w:spacing w:after="160" w:line="259" w:lineRule="auto"/>
                    <w:rPr>
                      <w:sz w:val="16"/>
                      <w:szCs w:val="16"/>
                    </w:rPr>
                  </w:pPr>
                  <w:r w:rsidRPr="000522FC">
                    <w:rPr>
                      <w:sz w:val="16"/>
                      <w:szCs w:val="16"/>
                    </w:rPr>
                    <w:t>Intra-cell</w:t>
                  </w:r>
                </w:p>
              </w:tc>
            </w:tr>
          </w:tbl>
          <w:p w14:paraId="4B4BFE4A" w14:textId="77777777" w:rsidR="000522FC" w:rsidRPr="000522FC" w:rsidRDefault="000522FC" w:rsidP="000522FC">
            <w:pPr>
              <w:snapToGrid w:val="0"/>
              <w:spacing w:before="120" w:after="0"/>
              <w:rPr>
                <w:rFonts w:eastAsiaTheme="minorEastAsia"/>
                <w:b/>
                <w:sz w:val="16"/>
                <w:szCs w:val="16"/>
                <w:lang w:eastAsia="zh-CN"/>
              </w:rPr>
            </w:pPr>
            <w:r w:rsidRPr="000522FC">
              <w:rPr>
                <w:b/>
                <w:sz w:val="16"/>
                <w:szCs w:val="16"/>
              </w:rPr>
              <w:t>Moderator summary in RAN4 #113</w:t>
            </w:r>
            <w:r w:rsidRPr="000522FC">
              <w:rPr>
                <w:rFonts w:eastAsiaTheme="minorEastAsia" w:hint="eastAsia"/>
                <w:b/>
                <w:sz w:val="16"/>
                <w:szCs w:val="16"/>
                <w:lang w:eastAsia="zh-CN"/>
              </w:rPr>
              <w:t xml:space="preserve"> </w:t>
            </w:r>
            <w:r w:rsidRPr="000522FC">
              <w:rPr>
                <w:rFonts w:eastAsiaTheme="minorEastAsia"/>
                <w:b/>
                <w:sz w:val="16"/>
                <w:szCs w:val="16"/>
                <w:lang w:eastAsia="zh-CN"/>
              </w:rPr>
              <w:t>[3]:</w:t>
            </w:r>
          </w:p>
          <w:p w14:paraId="0DC48EE3" w14:textId="48AA4AB8" w:rsidR="000522FC" w:rsidRPr="000522FC" w:rsidRDefault="000522FC" w:rsidP="000522FC">
            <w:pPr>
              <w:snapToGrid w:val="0"/>
              <w:spacing w:after="0"/>
              <w:ind w:left="284"/>
              <w:rPr>
                <w:rFonts w:eastAsiaTheme="minorEastAsia"/>
                <w:sz w:val="16"/>
                <w:szCs w:val="16"/>
                <w:lang w:eastAsia="zh-CN"/>
              </w:rPr>
            </w:pPr>
            <w:r w:rsidRPr="000522FC">
              <w:rPr>
                <w:rFonts w:eastAsiaTheme="minorEastAsia"/>
                <w:sz w:val="16"/>
                <w:szCs w:val="16"/>
                <w:lang w:eastAsia="zh-CN"/>
              </w:rPr>
              <w:t>Companies to discuss if Proposal 1 is agreeable.</w:t>
            </w:r>
          </w:p>
          <w:p w14:paraId="4C0179F5" w14:textId="788425DD" w:rsidR="000522FC" w:rsidRPr="000522FC" w:rsidRDefault="000522FC" w:rsidP="000522FC">
            <w:pPr>
              <w:pStyle w:val="ListParagraph"/>
              <w:numPr>
                <w:ilvl w:val="0"/>
                <w:numId w:val="11"/>
              </w:numPr>
              <w:rPr>
                <w:rFonts w:eastAsiaTheme="minorEastAsia"/>
                <w:sz w:val="16"/>
                <w:szCs w:val="16"/>
                <w:lang w:eastAsia="zh-CN"/>
              </w:rPr>
            </w:pPr>
            <w:r w:rsidRPr="000522FC">
              <w:rPr>
                <w:rFonts w:eastAsiaTheme="minorEastAsia"/>
                <w:sz w:val="16"/>
                <w:szCs w:val="16"/>
                <w:lang w:eastAsia="zh-CN"/>
              </w:rPr>
              <w:t xml:space="preserve">Proposal </w:t>
            </w:r>
            <w:r>
              <w:rPr>
                <w:rFonts w:eastAsiaTheme="minorEastAsia"/>
                <w:sz w:val="16"/>
                <w:szCs w:val="16"/>
                <w:lang w:eastAsia="zh-CN"/>
              </w:rPr>
              <w:t>1</w:t>
            </w:r>
            <w:r w:rsidRPr="000522FC">
              <w:rPr>
                <w:rFonts w:eastAsiaTheme="minorEastAsia"/>
                <w:sz w:val="16"/>
                <w:szCs w:val="16"/>
                <w:lang w:eastAsia="zh-CN"/>
              </w:rPr>
              <w:t>: RAN4 to include FR2 to FR2 intra-frequency spatial domain scenario 6 into the scope of the Rel-19 study.</w:t>
            </w:r>
          </w:p>
        </w:tc>
      </w:tr>
    </w:tbl>
    <w:p w14:paraId="51DD7D6F" w14:textId="7EEAEF97" w:rsidR="000522FC" w:rsidRDefault="000522FC" w:rsidP="000522FC">
      <w:pPr>
        <w:spacing w:before="120"/>
        <w:jc w:val="both"/>
      </w:pPr>
      <w:r>
        <w:t xml:space="preserve">For scenario priority, it is observed that </w:t>
      </w:r>
      <w:r w:rsidR="00AB01B7">
        <w:t>in FR2, the goal of handover performance improvement goes with the first priority in RAN2 compared to goal of measurement reduction. RAN4 can follow RAN2’s priorit</w:t>
      </w:r>
      <w:r w:rsidR="00BA4320">
        <w:t>y</w:t>
      </w:r>
      <w:r w:rsidR="00AB01B7">
        <w:t xml:space="preserve"> and start to study scenario 6 if RAN2 achieves sufficient progress. In addition, </w:t>
      </w:r>
      <w:r>
        <w:t xml:space="preserve">similar issues related to scenario 6 are under study in Rel-19 AI beam management, including testability of </w:t>
      </w:r>
      <w:r w:rsidR="007E7CC5" w:rsidRPr="007E7CC5">
        <w:t xml:space="preserve">multiple </w:t>
      </w:r>
      <w:proofErr w:type="spellStart"/>
      <w:r w:rsidR="007E7CC5" w:rsidRPr="007E7CC5">
        <w:t>AoAs</w:t>
      </w:r>
      <w:proofErr w:type="spellEnd"/>
      <w:r w:rsidR="007E7CC5" w:rsidRPr="007E7CC5">
        <w:t xml:space="preserve"> </w:t>
      </w:r>
      <w:r w:rsidR="007E7CC5">
        <w:t xml:space="preserve">for </w:t>
      </w:r>
      <w:r>
        <w:t xml:space="preserve">test setup. </w:t>
      </w:r>
      <w:r w:rsidR="00AB01B7">
        <w:t xml:space="preserve">The ground truth </w:t>
      </w:r>
      <w:r w:rsidR="00AB01B7" w:rsidRPr="00AB01B7">
        <w:t>definition</w:t>
      </w:r>
      <w:r w:rsidR="00AB01B7">
        <w:t xml:space="preserve"> and minimum requirement definition</w:t>
      </w:r>
      <w:r w:rsidR="00AB01B7" w:rsidRPr="00AB01B7">
        <w:t xml:space="preserve"> of L3-RSRP</w:t>
      </w:r>
      <w:r w:rsidR="00AB01B7">
        <w:t xml:space="preserve"> in other scenarios can also be reused in scenario 6. </w:t>
      </w:r>
      <w:r w:rsidR="00AB01B7" w:rsidRPr="00AB01B7">
        <w:t xml:space="preserve">In order to avoid </w:t>
      </w:r>
      <w:r w:rsidR="00AB01B7">
        <w:t>duplicate work, RAN4 can</w:t>
      </w:r>
      <w:r w:rsidR="00BA4320">
        <w:t xml:space="preserve"> directly</w:t>
      </w:r>
      <w:r w:rsidR="00AB01B7">
        <w:t xml:space="preserve"> leverage the work from other scenarios if needed. </w:t>
      </w:r>
    </w:p>
    <w:p w14:paraId="22FA376F" w14:textId="4537E270" w:rsidR="000522FC" w:rsidRDefault="00AB01B7" w:rsidP="00AB01B7">
      <w:pPr>
        <w:spacing w:before="120"/>
        <w:jc w:val="both"/>
        <w:rPr>
          <w:b/>
          <w:iCs/>
          <w:color w:val="000000" w:themeColor="text1"/>
        </w:rPr>
      </w:pPr>
      <w:r w:rsidRPr="00AB01B7">
        <w:rPr>
          <w:b/>
          <w:iCs/>
          <w:color w:val="000000" w:themeColor="text1"/>
        </w:rPr>
        <w:t xml:space="preserve">Proposal </w:t>
      </w:r>
      <w:r w:rsidR="002C1F80">
        <w:rPr>
          <w:b/>
          <w:iCs/>
          <w:color w:val="000000" w:themeColor="text1"/>
        </w:rPr>
        <w:t>2</w:t>
      </w:r>
      <w:bookmarkStart w:id="10" w:name="_GoBack"/>
      <w:bookmarkEnd w:id="10"/>
      <w:r w:rsidRPr="00AB01B7">
        <w:rPr>
          <w:b/>
          <w:iCs/>
          <w:color w:val="000000" w:themeColor="text1"/>
        </w:rPr>
        <w:t xml:space="preserve">: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C8BF3F6" w14:textId="13DF107C" w:rsidR="00AB01B7" w:rsidRPr="00AB01B7" w:rsidRDefault="00AB01B7" w:rsidP="00AB01B7">
      <w:pPr>
        <w:pStyle w:val="ListParagraph"/>
        <w:numPr>
          <w:ilvl w:val="0"/>
          <w:numId w:val="32"/>
        </w:numPr>
        <w:spacing w:after="120"/>
        <w:jc w:val="both"/>
        <w:rPr>
          <w:rFonts w:eastAsia="Yu Mincho"/>
          <w:b/>
          <w:sz w:val="20"/>
        </w:rPr>
      </w:pPr>
      <w:r>
        <w:rPr>
          <w:rFonts w:eastAsia="Yu Mincho"/>
          <w:b/>
          <w:sz w:val="20"/>
        </w:rPr>
        <w:t>Sub-use case</w:t>
      </w:r>
      <w:r w:rsidRPr="00AB01B7">
        <w:rPr>
          <w:rFonts w:eastAsia="Yu Mincho"/>
          <w:b/>
          <w:sz w:val="20"/>
        </w:rPr>
        <w:t xml:space="preserve"> priority </w:t>
      </w:r>
    </w:p>
    <w:tbl>
      <w:tblPr>
        <w:tblStyle w:val="TableGrid"/>
        <w:tblW w:w="0" w:type="auto"/>
        <w:tblLook w:val="04A0" w:firstRow="1" w:lastRow="0" w:firstColumn="1" w:lastColumn="0" w:noHBand="0" w:noVBand="1"/>
      </w:tblPr>
      <w:tblGrid>
        <w:gridCol w:w="9621"/>
      </w:tblGrid>
      <w:tr w:rsidR="00BA4320" w14:paraId="601481AF" w14:textId="77777777" w:rsidTr="00383383">
        <w:tc>
          <w:tcPr>
            <w:tcW w:w="9621" w:type="dxa"/>
          </w:tcPr>
          <w:p w14:paraId="50A118CE" w14:textId="77777777" w:rsidR="00BA4320" w:rsidRPr="00BA4320" w:rsidRDefault="00BA4320" w:rsidP="00BA4320">
            <w:pPr>
              <w:snapToGrid w:val="0"/>
              <w:spacing w:after="0"/>
              <w:rPr>
                <w:rFonts w:eastAsiaTheme="minorEastAsia"/>
                <w:b/>
                <w:sz w:val="16"/>
                <w:szCs w:val="16"/>
                <w:lang w:eastAsia="zh-CN"/>
              </w:rPr>
            </w:pPr>
            <w:r w:rsidRPr="00BA4320">
              <w:rPr>
                <w:b/>
                <w:sz w:val="16"/>
                <w:szCs w:val="16"/>
              </w:rPr>
              <w:t>Moderator summary in RAN4 #113</w:t>
            </w:r>
            <w:r w:rsidRPr="00BA4320">
              <w:rPr>
                <w:rFonts w:eastAsiaTheme="minorEastAsia"/>
                <w:b/>
                <w:sz w:val="16"/>
                <w:szCs w:val="16"/>
                <w:lang w:eastAsia="zh-CN"/>
              </w:rPr>
              <w:t xml:space="preserve"> [3]:</w:t>
            </w:r>
          </w:p>
          <w:p w14:paraId="2D706E0B" w14:textId="77777777" w:rsidR="00BA4320" w:rsidRPr="00BA4320" w:rsidRDefault="00BA4320" w:rsidP="00BA4320">
            <w:pPr>
              <w:pStyle w:val="ListParagraph"/>
              <w:numPr>
                <w:ilvl w:val="0"/>
                <w:numId w:val="11"/>
              </w:numPr>
              <w:ind w:left="720"/>
              <w:contextualSpacing w:val="0"/>
              <w:rPr>
                <w:rFonts w:eastAsia="宋体"/>
                <w:sz w:val="16"/>
                <w:szCs w:val="16"/>
                <w:lang w:eastAsia="zh-CN"/>
              </w:rPr>
            </w:pPr>
            <w:r w:rsidRPr="00BA4320">
              <w:rPr>
                <w:rFonts w:eastAsia="宋体"/>
                <w:sz w:val="16"/>
                <w:szCs w:val="16"/>
                <w:lang w:eastAsia="zh-CN"/>
              </w:rPr>
              <w:t>Proposals and Observations:</w:t>
            </w:r>
          </w:p>
          <w:p w14:paraId="4D3A6FC4"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Proposal 1 (Nokia): RAN4 to consider the sub-use case 2 (L3 Cell-level measurement result(s) are predicted based on actual L3 cell-level measurement result(s)) as a baseline for the study of scenarios 2, 3, and 4 for cell-level prediction.</w:t>
            </w:r>
          </w:p>
          <w:p w14:paraId="55DE8EE3"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 xml:space="preserve">Proposal 2 (Ericsson): </w:t>
            </w:r>
            <w:r w:rsidRPr="00BA4320">
              <w:rPr>
                <w:sz w:val="16"/>
                <w:szCs w:val="16"/>
              </w:rPr>
              <w:t>For intra-frequency intra-cell temporal prediction scenarios (scenario 2 and 4 agreed in RAN4#112bis), RAN4 to prioritize evaluation of impact of sub-use case 2 on RAN4 requirements.</w:t>
            </w:r>
          </w:p>
          <w:p w14:paraId="561C8EC1" w14:textId="77777777" w:rsidR="00BA4320" w:rsidRPr="00BA4320" w:rsidRDefault="00BA4320" w:rsidP="00BA4320">
            <w:pPr>
              <w:pStyle w:val="ListParagraph"/>
              <w:numPr>
                <w:ilvl w:val="1"/>
                <w:numId w:val="11"/>
              </w:numPr>
              <w:snapToGrid w:val="0"/>
              <w:rPr>
                <w:i/>
                <w:iCs/>
                <w:sz w:val="16"/>
                <w:szCs w:val="16"/>
              </w:rPr>
            </w:pPr>
            <w:r w:rsidRPr="00BA4320">
              <w:rPr>
                <w:rFonts w:eastAsia="Yu Mincho"/>
                <w:sz w:val="16"/>
                <w:szCs w:val="16"/>
              </w:rPr>
              <w:t xml:space="preserve">Proposal 3 (Ericsson): </w:t>
            </w:r>
            <w:r w:rsidRPr="00BA4320">
              <w:rPr>
                <w:sz w:val="16"/>
                <w:szCs w:val="16"/>
              </w:rPr>
              <w:t>Update agreement from RAN4#112bis on sub-use cases for cell level measurement prediction as:</w:t>
            </w:r>
          </w:p>
          <w:p w14:paraId="209D585C" w14:textId="77777777" w:rsidR="00BA4320" w:rsidRPr="00BA4320" w:rsidRDefault="00BA4320" w:rsidP="00BA4320">
            <w:pPr>
              <w:pStyle w:val="ListParagraph"/>
              <w:numPr>
                <w:ilvl w:val="2"/>
                <w:numId w:val="11"/>
              </w:numPr>
              <w:snapToGrid w:val="0"/>
              <w:rPr>
                <w:i/>
                <w:iCs/>
                <w:sz w:val="16"/>
                <w:szCs w:val="16"/>
              </w:rPr>
            </w:pPr>
            <w:r w:rsidRPr="00BA4320">
              <w:rPr>
                <w:i/>
                <w:iCs/>
                <w:sz w:val="16"/>
                <w:szCs w:val="16"/>
              </w:rPr>
              <w:t>Scenario 2, 3 and 4, the 3 sub-cases can be discussed:</w:t>
            </w:r>
          </w:p>
          <w:p w14:paraId="4F537785"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1: L1 beam-level measurement result(s) is predicted based on actual L1 beam-level measurement result(s) and then L3 cell-level measurement result is generated</w:t>
            </w:r>
          </w:p>
          <w:p w14:paraId="501D08B3"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2: L3 Cell-level measurement result(s) is predicted based on actual L3 cell-level measurement result(s)</w:t>
            </w:r>
          </w:p>
          <w:p w14:paraId="04E39DA3" w14:textId="77777777" w:rsidR="00BA4320" w:rsidRPr="00BA4320" w:rsidRDefault="00BA4320" w:rsidP="00BA4320">
            <w:pPr>
              <w:pStyle w:val="ListParagraph"/>
              <w:numPr>
                <w:ilvl w:val="3"/>
                <w:numId w:val="11"/>
              </w:numPr>
              <w:snapToGrid w:val="0"/>
              <w:rPr>
                <w:i/>
                <w:iCs/>
                <w:sz w:val="16"/>
                <w:szCs w:val="16"/>
              </w:rPr>
            </w:pPr>
            <w:r w:rsidRPr="00BA4320">
              <w:rPr>
                <w:i/>
                <w:iCs/>
                <w:sz w:val="16"/>
                <w:szCs w:val="16"/>
              </w:rPr>
              <w:t>Sub-use case 3: L3 Cell-level measurement result(s) is predicted based on actual L1 beam-level measurement result(s)</w:t>
            </w:r>
          </w:p>
          <w:p w14:paraId="2B232B31" w14:textId="77777777" w:rsidR="00BA4320" w:rsidRPr="00BA4320" w:rsidRDefault="00BA4320" w:rsidP="00BA4320">
            <w:pPr>
              <w:pStyle w:val="ListParagraph"/>
              <w:numPr>
                <w:ilvl w:val="3"/>
                <w:numId w:val="11"/>
              </w:numPr>
              <w:snapToGrid w:val="0"/>
              <w:rPr>
                <w:i/>
                <w:iCs/>
                <w:sz w:val="16"/>
                <w:szCs w:val="16"/>
              </w:rPr>
            </w:pPr>
            <w:r w:rsidRPr="00BA4320">
              <w:rPr>
                <w:i/>
                <w:iCs/>
                <w:strike/>
                <w:sz w:val="16"/>
                <w:szCs w:val="16"/>
                <w:highlight w:val="green"/>
              </w:rPr>
              <w:t xml:space="preserve">Follow the latest definition of the sub use-cases in RAN2. </w:t>
            </w:r>
            <w:r w:rsidRPr="00BA4320">
              <w:rPr>
                <w:i/>
                <w:iCs/>
                <w:sz w:val="16"/>
                <w:szCs w:val="16"/>
              </w:rPr>
              <w:t>Further clarification on the sub use-cases from RAN4 perspective can be discussed.</w:t>
            </w:r>
          </w:p>
          <w:p w14:paraId="7F3CBA62" w14:textId="77777777" w:rsidR="00BA4320" w:rsidRPr="00BA4320" w:rsidRDefault="00BA4320" w:rsidP="00BA4320">
            <w:pPr>
              <w:pStyle w:val="ListParagraph"/>
              <w:numPr>
                <w:ilvl w:val="1"/>
                <w:numId w:val="11"/>
              </w:numPr>
              <w:snapToGrid w:val="0"/>
              <w:rPr>
                <w:rFonts w:eastAsia="Yu Mincho"/>
                <w:sz w:val="16"/>
                <w:szCs w:val="16"/>
              </w:rPr>
            </w:pPr>
            <w:r w:rsidRPr="00BA4320">
              <w:rPr>
                <w:rFonts w:eastAsia="Yu Mincho"/>
                <w:sz w:val="16"/>
                <w:szCs w:val="16"/>
              </w:rPr>
              <w:t>Proposal 4 (Qualcomm): RAN4 to consider all three sub-use cases, with higher prioritization given to sub-use case 2 and 3.</w:t>
            </w:r>
          </w:p>
          <w:p w14:paraId="57C73BA9" w14:textId="77777777" w:rsidR="00BA4320" w:rsidRPr="00BA4320" w:rsidRDefault="00BA4320" w:rsidP="00BA4320">
            <w:pPr>
              <w:pStyle w:val="ListParagraph"/>
              <w:numPr>
                <w:ilvl w:val="0"/>
                <w:numId w:val="11"/>
              </w:numPr>
              <w:ind w:left="720"/>
              <w:contextualSpacing w:val="0"/>
              <w:rPr>
                <w:rFonts w:eastAsia="宋体"/>
                <w:sz w:val="16"/>
                <w:szCs w:val="16"/>
                <w:lang w:eastAsia="zh-CN"/>
              </w:rPr>
            </w:pPr>
            <w:r w:rsidRPr="00BA4320">
              <w:rPr>
                <w:rFonts w:eastAsia="宋体"/>
                <w:sz w:val="16"/>
                <w:szCs w:val="16"/>
                <w:lang w:eastAsia="zh-CN"/>
              </w:rPr>
              <w:t>Recommended WF:</w:t>
            </w:r>
          </w:p>
          <w:p w14:paraId="0D3908D5" w14:textId="4035C26E" w:rsidR="00BA4320" w:rsidRPr="00BA4320" w:rsidRDefault="00BA4320" w:rsidP="00BA4320">
            <w:pPr>
              <w:pStyle w:val="ListParagraph"/>
              <w:numPr>
                <w:ilvl w:val="1"/>
                <w:numId w:val="11"/>
              </w:numPr>
              <w:contextualSpacing w:val="0"/>
              <w:rPr>
                <w:color w:val="000000" w:themeColor="text1"/>
                <w:sz w:val="16"/>
                <w:szCs w:val="16"/>
                <w:lang w:eastAsia="zh-CN"/>
              </w:rPr>
            </w:pPr>
            <w:r w:rsidRPr="00BA4320">
              <w:rPr>
                <w:color w:val="000000" w:themeColor="text1"/>
                <w:sz w:val="16"/>
                <w:szCs w:val="16"/>
                <w:lang w:eastAsia="zh-CN"/>
              </w:rPr>
              <w:t>Companies to further discuss above listed proposal.</w:t>
            </w:r>
          </w:p>
        </w:tc>
      </w:tr>
    </w:tbl>
    <w:p w14:paraId="23CC8D5D" w14:textId="6970DA23" w:rsidR="00AB01B7" w:rsidRDefault="00AB01B7" w:rsidP="00AB01B7">
      <w:pPr>
        <w:spacing w:before="120"/>
        <w:jc w:val="both"/>
      </w:pPr>
      <w:r>
        <w:rPr>
          <w:rFonts w:eastAsia="Yu Mincho"/>
        </w:rPr>
        <w:t xml:space="preserve">According to Moderator’s summary in RAN4 #113 [3], </w:t>
      </w:r>
      <w:r>
        <w:t xml:space="preserve">some companies suggest to prioritize </w:t>
      </w:r>
      <w:r w:rsidRPr="00AB01B7">
        <w:t>sub-use case 2</w:t>
      </w:r>
      <w:r>
        <w:t xml:space="preserve"> or sub-use case 2 and 3.</w:t>
      </w:r>
      <w:r w:rsidR="00FD1C53">
        <w:t xml:space="preserve"> In sub-use case 2, the model output is the </w:t>
      </w:r>
      <w:r w:rsidR="00FD1C53" w:rsidRPr="00FD1C53">
        <w:t>prediction of L3 cell-level measurement result</w:t>
      </w:r>
      <w:r w:rsidR="00FD1C53">
        <w:t xml:space="preserve">. In sub-use case 1 and 3, </w:t>
      </w:r>
      <w:r w:rsidR="00FD1C53" w:rsidRPr="00FD1C53">
        <w:t>prediction of</w:t>
      </w:r>
      <w:r w:rsidR="00FD1C53">
        <w:t xml:space="preserve"> </w:t>
      </w:r>
      <w:r w:rsidR="00FD1C53" w:rsidRPr="00FD1C53">
        <w:t>L3 cell-level measurement result</w:t>
      </w:r>
      <w:r w:rsidR="00FD1C53">
        <w:t xml:space="preserve"> needs to be derived based on model output. </w:t>
      </w:r>
      <w:r w:rsidR="00465DFC">
        <w:t xml:space="preserve">Though the eventual KPI is calculated regarding to </w:t>
      </w:r>
      <w:r w:rsidR="00465DFC" w:rsidRPr="00FD1C53">
        <w:t>L3 cell-level measurement</w:t>
      </w:r>
      <w:r w:rsidR="00465DFC">
        <w:t xml:space="preserve"> prediction accuracy, requirement of prediction accuracy may be different due to different model inputs and outputs. NW may require different prediction accuracy or different side conditions for different purpose</w:t>
      </w:r>
      <w:r w:rsidR="00602E30">
        <w:t>s</w:t>
      </w:r>
      <w:r w:rsidR="00465DFC">
        <w:t xml:space="preserve">. </w:t>
      </w:r>
      <w:r w:rsidR="00602E30">
        <w:t xml:space="preserve">Considering that RAN2 did not priority any sub-use case, it is suggested that RAN4 </w:t>
      </w:r>
      <w:r w:rsidR="00602E30" w:rsidRPr="00602E30">
        <w:t>to consider all three sub-use cases</w:t>
      </w:r>
      <w:r w:rsidR="00602E30">
        <w:t>.</w:t>
      </w:r>
    </w:p>
    <w:p w14:paraId="3359710C" w14:textId="7A922708" w:rsidR="00602E30" w:rsidRPr="00602E30" w:rsidRDefault="00602E30" w:rsidP="00AB01B7">
      <w:pPr>
        <w:spacing w:before="120"/>
        <w:jc w:val="both"/>
        <w:rPr>
          <w:b/>
          <w:iCs/>
          <w:color w:val="000000" w:themeColor="text1"/>
        </w:rPr>
      </w:pPr>
      <w:r w:rsidRPr="00AB01B7">
        <w:rPr>
          <w:b/>
          <w:iCs/>
          <w:color w:val="000000" w:themeColor="text1"/>
        </w:rPr>
        <w:lastRenderedPageBreak/>
        <w:t xml:space="preserve">Proposal </w:t>
      </w:r>
      <w:r w:rsidR="002C1F80">
        <w:rPr>
          <w:b/>
          <w:iCs/>
          <w:color w:val="000000" w:themeColor="text1"/>
        </w:rPr>
        <w:t>3</w:t>
      </w:r>
      <w:r w:rsidRPr="00AB01B7">
        <w:rPr>
          <w:b/>
          <w:iCs/>
          <w:color w:val="000000" w:themeColor="text1"/>
        </w:rPr>
        <w:t xml:space="preserve">: RAN4 to </w:t>
      </w:r>
      <w:r w:rsidRPr="00602E30">
        <w:rPr>
          <w:b/>
          <w:iCs/>
          <w:color w:val="000000" w:themeColor="text1"/>
        </w:rPr>
        <w:t>consider all three sub-use cases</w:t>
      </w:r>
      <w:r w:rsidR="004909B4">
        <w:rPr>
          <w:b/>
          <w:iCs/>
          <w:color w:val="000000" w:themeColor="text1"/>
        </w:rPr>
        <w:t xml:space="preserve"> until RAN2 gives the priority</w:t>
      </w:r>
      <w:r w:rsidRPr="00AB01B7">
        <w:rPr>
          <w:b/>
          <w:iCs/>
          <w:color w:val="000000" w:themeColor="text1"/>
        </w:rPr>
        <w:t xml:space="preserve">. </w:t>
      </w:r>
    </w:p>
    <w:p w14:paraId="2397B5DC" w14:textId="7629B0C3" w:rsidR="00715BEE" w:rsidRPr="003C59C3" w:rsidRDefault="00715BEE" w:rsidP="00715BEE">
      <w:pPr>
        <w:pStyle w:val="Heading2"/>
        <w:numPr>
          <w:ilvl w:val="0"/>
          <w:numId w:val="0"/>
        </w:numPr>
      </w:pPr>
      <w:r w:rsidRPr="003C59C3">
        <w:t>2.</w:t>
      </w:r>
      <w:r w:rsidR="004909B4">
        <w:t>2</w:t>
      </w:r>
      <w:r w:rsidRPr="003C59C3">
        <w:t xml:space="preserve"> Training and testing dataset</w:t>
      </w:r>
    </w:p>
    <w:p w14:paraId="0E28716C" w14:textId="77777777" w:rsidR="00715BEE" w:rsidRPr="00190D72" w:rsidRDefault="00715BEE" w:rsidP="00715BEE">
      <w:pPr>
        <w:rPr>
          <w:lang w:eastAsia="zh-CN"/>
        </w:rPr>
      </w:pPr>
      <w:r w:rsidRPr="00190D72">
        <w:rPr>
          <w:lang w:eastAsia="zh-CN"/>
        </w:rPr>
        <w:t>In RAN2, the AI model is trained by system level channel model and verified in terms of the accuracy of measurement prediction under the same channel model. However, in RAN4 legacy, only link level channel model is considered for defining test cases. There are two potential testing options for RAN4 in AI RRM measurement prediction.</w:t>
      </w:r>
    </w:p>
    <w:p w14:paraId="4093EE10" w14:textId="77777777" w:rsidR="00715BEE" w:rsidRPr="00190D72" w:rsidRDefault="00715BEE" w:rsidP="00715BEE">
      <w:pPr>
        <w:pStyle w:val="ListParagraph"/>
        <w:numPr>
          <w:ilvl w:val="1"/>
          <w:numId w:val="17"/>
        </w:numPr>
        <w:jc w:val="both"/>
        <w:rPr>
          <w:sz w:val="20"/>
          <w:szCs w:val="20"/>
        </w:rPr>
      </w:pPr>
      <w:r w:rsidRPr="00190D72">
        <w:rPr>
          <w:sz w:val="20"/>
          <w:szCs w:val="20"/>
        </w:rPr>
        <w:t>Option 1: Use system level channel model to generate the training dataset and train the AI prediction model, align the prediction accuracy in link level channel model to define the requirement in RAN4.</w:t>
      </w:r>
    </w:p>
    <w:p w14:paraId="0620ADA3" w14:textId="77777777" w:rsidR="00715BEE" w:rsidRPr="00190D72" w:rsidRDefault="00715BEE" w:rsidP="00715BEE">
      <w:pPr>
        <w:pStyle w:val="ListParagraph"/>
        <w:numPr>
          <w:ilvl w:val="1"/>
          <w:numId w:val="17"/>
        </w:numPr>
        <w:jc w:val="both"/>
        <w:rPr>
          <w:sz w:val="20"/>
          <w:szCs w:val="20"/>
        </w:rPr>
      </w:pPr>
      <w:r w:rsidRPr="00190D72">
        <w:rPr>
          <w:sz w:val="20"/>
          <w:szCs w:val="20"/>
        </w:rPr>
        <w:t>Option 2: Use link level channel model to generate the training dataset and train the AI prediction model, align the prediction accuracy in the same link level channel model to define the requirement in RAN4.</w:t>
      </w:r>
    </w:p>
    <w:p w14:paraId="2EB2072E" w14:textId="71ACDFAC" w:rsidR="00715BEE" w:rsidRPr="00190D72" w:rsidRDefault="00715BEE" w:rsidP="00715BEE">
      <w:pPr>
        <w:spacing w:before="120"/>
        <w:rPr>
          <w:b/>
          <w:lang w:eastAsia="zh-CN"/>
        </w:rPr>
      </w:pPr>
      <w:r w:rsidRPr="00190D72">
        <w:rPr>
          <w:b/>
          <w:lang w:eastAsia="zh-CN"/>
        </w:rPr>
        <w:t xml:space="preserve">Proposal </w:t>
      </w:r>
      <w:r w:rsidR="002C1F80">
        <w:rPr>
          <w:b/>
          <w:lang w:eastAsia="zh-CN"/>
        </w:rPr>
        <w:t>4</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7ECA35B1"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E7ABA2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3544C8A2" w14:textId="77777777" w:rsidR="00715BEE" w:rsidRPr="00190D72" w:rsidRDefault="00715BEE" w:rsidP="00715BEE">
      <w:pPr>
        <w:rPr>
          <w:lang w:eastAsia="zh-CN"/>
        </w:rPr>
      </w:pPr>
      <w:r w:rsidRPr="00190D72">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2AD1AD7E" w14:textId="044997D4" w:rsidR="00715BEE" w:rsidRPr="00190D72" w:rsidRDefault="00715BEE" w:rsidP="00715BEE">
      <w:pPr>
        <w:rPr>
          <w:b/>
          <w:lang w:eastAsia="zh-CN"/>
        </w:rPr>
      </w:pPr>
      <w:r w:rsidRPr="00190D72">
        <w:rPr>
          <w:b/>
          <w:lang w:eastAsia="zh-CN"/>
        </w:rPr>
        <w:t xml:space="preserve">Proposal </w:t>
      </w:r>
      <w:r w:rsidR="002C1F80">
        <w:rPr>
          <w:b/>
          <w:lang w:eastAsia="zh-CN"/>
        </w:rPr>
        <w:t>5</w:t>
      </w:r>
      <w:r w:rsidRPr="00190D72">
        <w:rPr>
          <w:b/>
          <w:lang w:eastAsia="zh-CN"/>
        </w:rPr>
        <w:t>: RAN4 will study the following two potential options for defining the testing and training dataset.</w:t>
      </w:r>
    </w:p>
    <w:p w14:paraId="48F98EEB"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1: Use the channel model and the sampling rules.</w:t>
      </w:r>
    </w:p>
    <w:p w14:paraId="28ECA68A" w14:textId="77777777" w:rsidR="00715BEE" w:rsidRPr="00190D72" w:rsidRDefault="00715BEE" w:rsidP="00715BEE">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59BE8C29" w14:textId="77777777" w:rsidR="00715BEE" w:rsidRPr="00715BEE" w:rsidRDefault="00715BEE" w:rsidP="00715BEE">
      <w:pPr>
        <w:spacing w:before="120"/>
        <w:rPr>
          <w:rFonts w:eastAsia="Yu Mincho"/>
          <w:lang w:val="x-none"/>
        </w:rPr>
      </w:pPr>
    </w:p>
    <w:bookmarkEnd w:id="5"/>
    <w:bookmarkEnd w:id="6"/>
    <w:bookmarkEnd w:id="7"/>
    <w:bookmarkEnd w:id="8"/>
    <w:bookmarkEnd w:id="9"/>
    <w:p w14:paraId="5D3DC7B5" w14:textId="639C5AE5" w:rsidR="003C2754" w:rsidRDefault="00190D72" w:rsidP="00190D72">
      <w:pPr>
        <w:pStyle w:val="Heading1"/>
        <w:numPr>
          <w:ilvl w:val="0"/>
          <w:numId w:val="0"/>
        </w:numPr>
        <w:jc w:val="both"/>
        <w:rPr>
          <w:rFonts w:eastAsiaTheme="minorEastAsia"/>
          <w:b/>
          <w:bCs/>
          <w:lang w:eastAsia="zh-CN"/>
        </w:rPr>
      </w:pPr>
      <w:r>
        <w:rPr>
          <w:lang w:val="en-US"/>
        </w:rPr>
        <w:t xml:space="preserve">3. </w:t>
      </w:r>
      <w:r w:rsidR="003C2754" w:rsidRPr="003C2754">
        <w:rPr>
          <w:lang w:val="en-US"/>
        </w:rPr>
        <w:t>Conclusion</w:t>
      </w:r>
    </w:p>
    <w:p w14:paraId="69C596F9" w14:textId="5DBB657A"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163532F" w14:textId="4A7FA478" w:rsidR="002C1F80" w:rsidRDefault="002C1F80" w:rsidP="004909B4">
      <w:pPr>
        <w:spacing w:before="120"/>
        <w:jc w:val="both"/>
        <w:rPr>
          <w:b/>
          <w:iCs/>
          <w:color w:val="000000" w:themeColor="text1"/>
        </w:rPr>
      </w:pPr>
      <w:r w:rsidRPr="00AB01B7">
        <w:rPr>
          <w:b/>
          <w:iCs/>
          <w:color w:val="000000" w:themeColor="text1"/>
        </w:rPr>
        <w:t xml:space="preserve">Proposal 1: RAN4 </w:t>
      </w:r>
      <w:r>
        <w:rPr>
          <w:b/>
          <w:iCs/>
          <w:color w:val="000000" w:themeColor="text1"/>
        </w:rPr>
        <w:t xml:space="preserve">will not </w:t>
      </w:r>
      <w:r w:rsidRPr="00AB01B7">
        <w:rPr>
          <w:b/>
          <w:iCs/>
          <w:color w:val="000000" w:themeColor="text1"/>
        </w:rPr>
        <w:t xml:space="preserve">start the study </w:t>
      </w:r>
      <w:r>
        <w:rPr>
          <w:b/>
          <w:iCs/>
          <w:color w:val="000000" w:themeColor="text1"/>
        </w:rPr>
        <w:t>of RLF use-case in R19</w:t>
      </w:r>
      <w:r w:rsidRPr="00AB01B7">
        <w:rPr>
          <w:b/>
          <w:iCs/>
          <w:color w:val="000000" w:themeColor="text1"/>
        </w:rPr>
        <w:t xml:space="preserve">. </w:t>
      </w:r>
    </w:p>
    <w:p w14:paraId="510F509C" w14:textId="1E9100A1" w:rsidR="004909B4" w:rsidRDefault="004909B4" w:rsidP="004909B4">
      <w:pPr>
        <w:spacing w:before="120"/>
        <w:jc w:val="both"/>
        <w:rPr>
          <w:b/>
          <w:iCs/>
          <w:color w:val="000000" w:themeColor="text1"/>
        </w:rPr>
      </w:pPr>
      <w:r w:rsidRPr="00AB01B7">
        <w:rPr>
          <w:b/>
          <w:iCs/>
          <w:color w:val="000000" w:themeColor="text1"/>
        </w:rPr>
        <w:t xml:space="preserve">Proposal </w:t>
      </w:r>
      <w:r w:rsidR="002C1F80">
        <w:rPr>
          <w:b/>
          <w:iCs/>
          <w:color w:val="000000" w:themeColor="text1"/>
        </w:rPr>
        <w:t>2</w:t>
      </w:r>
      <w:r w:rsidRPr="00AB01B7">
        <w:rPr>
          <w:b/>
          <w:iCs/>
          <w:color w:val="000000" w:themeColor="text1"/>
        </w:rPr>
        <w:t xml:space="preserve">: RAN4 to start the study of </w:t>
      </w:r>
      <w:r>
        <w:rPr>
          <w:b/>
          <w:iCs/>
          <w:color w:val="000000" w:themeColor="text1"/>
        </w:rPr>
        <w:t>other scenarios than scenarios 2,3,4</w:t>
      </w:r>
      <w:r w:rsidRPr="00AB01B7">
        <w:rPr>
          <w:b/>
          <w:iCs/>
          <w:color w:val="000000" w:themeColor="text1"/>
        </w:rPr>
        <w:t xml:space="preserve"> if RAN2 achieves sufficient prog</w:t>
      </w:r>
      <w:r>
        <w:rPr>
          <w:b/>
          <w:iCs/>
          <w:color w:val="000000" w:themeColor="text1"/>
        </w:rPr>
        <w:t>r</w:t>
      </w:r>
      <w:r w:rsidRPr="00AB01B7">
        <w:rPr>
          <w:b/>
          <w:iCs/>
          <w:color w:val="000000" w:themeColor="text1"/>
        </w:rPr>
        <w:t xml:space="preserve">ess. </w:t>
      </w:r>
    </w:p>
    <w:p w14:paraId="226C1D1D" w14:textId="7D9D86CD" w:rsidR="004909B4" w:rsidRDefault="004909B4" w:rsidP="004909B4">
      <w:pPr>
        <w:spacing w:before="120"/>
        <w:jc w:val="both"/>
        <w:rPr>
          <w:b/>
          <w:iCs/>
          <w:color w:val="000000" w:themeColor="text1"/>
        </w:rPr>
      </w:pPr>
      <w:r w:rsidRPr="00AB01B7">
        <w:rPr>
          <w:b/>
          <w:iCs/>
          <w:color w:val="000000" w:themeColor="text1"/>
        </w:rPr>
        <w:t xml:space="preserve">Proposal </w:t>
      </w:r>
      <w:r w:rsidR="002C1F80">
        <w:rPr>
          <w:b/>
          <w:iCs/>
          <w:color w:val="000000" w:themeColor="text1"/>
        </w:rPr>
        <w:t>3</w:t>
      </w:r>
      <w:r w:rsidRPr="00AB01B7">
        <w:rPr>
          <w:b/>
          <w:iCs/>
          <w:color w:val="000000" w:themeColor="text1"/>
        </w:rPr>
        <w:t xml:space="preserve">: RAN4 to </w:t>
      </w:r>
      <w:r w:rsidRPr="00602E30">
        <w:rPr>
          <w:b/>
          <w:iCs/>
          <w:color w:val="000000" w:themeColor="text1"/>
        </w:rPr>
        <w:t>consider all three sub-use cases</w:t>
      </w:r>
      <w:r>
        <w:rPr>
          <w:b/>
          <w:iCs/>
          <w:color w:val="000000" w:themeColor="text1"/>
        </w:rPr>
        <w:t xml:space="preserve"> until RAN2 gives the priority</w:t>
      </w:r>
      <w:r w:rsidRPr="00AB01B7">
        <w:rPr>
          <w:b/>
          <w:iCs/>
          <w:color w:val="000000" w:themeColor="text1"/>
        </w:rPr>
        <w:t xml:space="preserve">. </w:t>
      </w:r>
    </w:p>
    <w:p w14:paraId="26A956EB" w14:textId="5E3CA949" w:rsidR="00F36FB5" w:rsidRPr="00190D72" w:rsidRDefault="00F36FB5" w:rsidP="004909B4">
      <w:pPr>
        <w:spacing w:before="120" w:after="0"/>
        <w:rPr>
          <w:b/>
          <w:lang w:eastAsia="zh-CN"/>
        </w:rPr>
      </w:pPr>
      <w:r w:rsidRPr="00190D72">
        <w:rPr>
          <w:b/>
          <w:lang w:eastAsia="zh-CN"/>
        </w:rPr>
        <w:t xml:space="preserve">Proposal </w:t>
      </w:r>
      <w:r w:rsidR="002C1F80">
        <w:rPr>
          <w:b/>
          <w:lang w:eastAsia="zh-CN"/>
        </w:rPr>
        <w:t>4</w:t>
      </w:r>
      <w:r w:rsidRPr="00190D72">
        <w:rPr>
          <w:b/>
          <w:lang w:eastAsia="zh-CN"/>
        </w:rPr>
        <w:t xml:space="preserve">: RAN4 will study the following two potential testing options for defining the requirement of prediction accuracy.  Pros and Cons need to be </w:t>
      </w:r>
      <w:proofErr w:type="spellStart"/>
      <w:r w:rsidRPr="00190D72">
        <w:rPr>
          <w:b/>
          <w:lang w:eastAsia="zh-CN"/>
        </w:rPr>
        <w:t>analyzed</w:t>
      </w:r>
      <w:proofErr w:type="spellEnd"/>
      <w:r w:rsidRPr="00190D72">
        <w:rPr>
          <w:b/>
          <w:lang w:eastAsia="zh-CN"/>
        </w:rPr>
        <w:t xml:space="preserve">.  </w:t>
      </w:r>
    </w:p>
    <w:p w14:paraId="497844DF"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system level channel model to generate the training dataset and train the AI prediction model, align the prediction accuracy in link level channel model to define the requirement in RAN4.</w:t>
      </w:r>
    </w:p>
    <w:p w14:paraId="25F6EE2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Use link level channel model to generate the training dataset and train the AI prediction model, align the prediction accuracy in the same link level channel model to define the requirement in RAN4.</w:t>
      </w:r>
    </w:p>
    <w:p w14:paraId="417CE0E9" w14:textId="59DE3A0C" w:rsidR="00F36FB5" w:rsidRPr="00190D72" w:rsidRDefault="00F36FB5" w:rsidP="004909B4">
      <w:pPr>
        <w:spacing w:before="180" w:after="0"/>
        <w:rPr>
          <w:b/>
          <w:lang w:eastAsia="zh-CN"/>
        </w:rPr>
      </w:pPr>
      <w:r w:rsidRPr="00190D72">
        <w:rPr>
          <w:b/>
          <w:lang w:eastAsia="zh-CN"/>
        </w:rPr>
        <w:t xml:space="preserve">Proposal </w:t>
      </w:r>
      <w:r w:rsidR="002C1F80">
        <w:rPr>
          <w:b/>
          <w:lang w:eastAsia="zh-CN"/>
        </w:rPr>
        <w:t>5</w:t>
      </w:r>
      <w:r w:rsidRPr="00190D72">
        <w:rPr>
          <w:b/>
          <w:lang w:eastAsia="zh-CN"/>
        </w:rPr>
        <w:t>: RAN4 will study the following two potential options for defining the testing and training dataset.</w:t>
      </w:r>
    </w:p>
    <w:p w14:paraId="6ECD0F34"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1: Use the channel model and the sampling rules.</w:t>
      </w:r>
    </w:p>
    <w:p w14:paraId="4BCD3673" w14:textId="77777777" w:rsidR="00F36FB5" w:rsidRPr="00190D72" w:rsidRDefault="00F36FB5" w:rsidP="00F36FB5">
      <w:pPr>
        <w:pStyle w:val="ListParagraph"/>
        <w:numPr>
          <w:ilvl w:val="1"/>
          <w:numId w:val="17"/>
        </w:numPr>
        <w:jc w:val="both"/>
        <w:rPr>
          <w:b/>
          <w:sz w:val="20"/>
          <w:szCs w:val="20"/>
        </w:rPr>
      </w:pPr>
      <w:r w:rsidRPr="00190D72">
        <w:rPr>
          <w:b/>
          <w:sz w:val="20"/>
          <w:szCs w:val="20"/>
        </w:rPr>
        <w:t>Option 2: Specify or partially specify the testing dataset in a sample-by-sample manner.</w:t>
      </w:r>
    </w:p>
    <w:p w14:paraId="722BA065" w14:textId="7BB5E10E" w:rsidR="00C0754F" w:rsidRPr="00190D72" w:rsidRDefault="00190D72" w:rsidP="00190D72">
      <w:pPr>
        <w:pStyle w:val="Heading1"/>
        <w:numPr>
          <w:ilvl w:val="0"/>
          <w:numId w:val="0"/>
        </w:numPr>
        <w:jc w:val="both"/>
        <w:rPr>
          <w:lang w:val="en-US"/>
        </w:rPr>
      </w:pPr>
      <w:r>
        <w:rPr>
          <w:lang w:val="en-US"/>
        </w:rPr>
        <w:t xml:space="preserve">4. </w:t>
      </w:r>
      <w:r w:rsidR="00C0754F" w:rsidRPr="00190D72">
        <w:rPr>
          <w:lang w:val="en-US"/>
        </w:rPr>
        <w:t>Reference</w:t>
      </w:r>
    </w:p>
    <w:p w14:paraId="016B5829" w14:textId="4EC5C249" w:rsidR="00297CD1" w:rsidRPr="00297CD1" w:rsidRDefault="00297CD1" w:rsidP="00297CD1">
      <w:pPr>
        <w:pStyle w:val="ListParagraph"/>
        <w:numPr>
          <w:ilvl w:val="0"/>
          <w:numId w:val="5"/>
        </w:numPr>
        <w:rPr>
          <w:rFonts w:eastAsia="宋体"/>
          <w:sz w:val="20"/>
          <w:szCs w:val="20"/>
          <w:lang w:val="en-GB" w:eastAsia="zh-CN"/>
        </w:rPr>
      </w:pPr>
      <w:r w:rsidRPr="005C69E0">
        <w:rPr>
          <w:rFonts w:eastAsia="宋体"/>
          <w:sz w:val="20"/>
          <w:szCs w:val="20"/>
          <w:lang w:val="en-GB" w:eastAsia="zh-CN"/>
        </w:rPr>
        <w:t>RP-242393</w:t>
      </w:r>
      <w:r w:rsidRPr="00297CD1">
        <w:rPr>
          <w:rFonts w:eastAsia="宋体"/>
          <w:sz w:val="20"/>
          <w:szCs w:val="20"/>
          <w:lang w:val="en-GB" w:eastAsia="zh-CN"/>
        </w:rPr>
        <w:t>, “Revised SID on AIML for mobility in NR”, 3GPP RAN#105, September 9-12, 2024.</w:t>
      </w:r>
    </w:p>
    <w:p w14:paraId="18EEF30A" w14:textId="59FCE3DA" w:rsidR="00297CD1" w:rsidRDefault="00297CD1" w:rsidP="00297CD1">
      <w:pPr>
        <w:pStyle w:val="ListParagraph"/>
        <w:numPr>
          <w:ilvl w:val="0"/>
          <w:numId w:val="5"/>
        </w:numPr>
        <w:rPr>
          <w:rFonts w:eastAsia="宋体"/>
          <w:sz w:val="20"/>
          <w:szCs w:val="20"/>
          <w:lang w:val="en-GB" w:eastAsia="zh-CN"/>
        </w:rPr>
      </w:pPr>
      <w:r w:rsidRPr="00297CD1">
        <w:rPr>
          <w:rFonts w:eastAsia="宋体"/>
          <w:sz w:val="20"/>
          <w:szCs w:val="20"/>
          <w:lang w:val="en-GB" w:eastAsia="zh-CN"/>
        </w:rPr>
        <w:t>R4-2416855, “WF on AI/ML Mobility”, 3GPP RAN4#112bis, 14th – 18th October, 2024.</w:t>
      </w:r>
    </w:p>
    <w:p w14:paraId="21BC4105" w14:textId="20026367" w:rsidR="00861A15" w:rsidRDefault="00861A15" w:rsidP="00861A15">
      <w:pPr>
        <w:pStyle w:val="ListParagraph"/>
        <w:numPr>
          <w:ilvl w:val="0"/>
          <w:numId w:val="5"/>
        </w:numPr>
        <w:rPr>
          <w:rFonts w:eastAsia="宋体"/>
          <w:sz w:val="20"/>
          <w:szCs w:val="20"/>
          <w:lang w:val="en-GB" w:eastAsia="zh-CN"/>
        </w:rPr>
      </w:pPr>
      <w:r w:rsidRPr="00861A15">
        <w:rPr>
          <w:rFonts w:eastAsia="宋体"/>
          <w:sz w:val="20"/>
          <w:szCs w:val="20"/>
          <w:lang w:val="en-GB" w:eastAsia="zh-CN"/>
        </w:rPr>
        <w:t xml:space="preserve">R4-2502594, </w:t>
      </w:r>
      <w:r w:rsidRPr="00297CD1">
        <w:rPr>
          <w:rFonts w:eastAsia="宋体"/>
          <w:sz w:val="20"/>
          <w:szCs w:val="20"/>
          <w:lang w:val="en-GB" w:eastAsia="zh-CN"/>
        </w:rPr>
        <w:t>“WF on AI/ML Mobility”, 3GPP RAN4#11</w:t>
      </w:r>
      <w:r>
        <w:rPr>
          <w:rFonts w:eastAsia="宋体"/>
          <w:sz w:val="20"/>
          <w:szCs w:val="20"/>
          <w:lang w:val="en-GB" w:eastAsia="zh-CN"/>
        </w:rPr>
        <w:t>4</w:t>
      </w:r>
      <w:r w:rsidRPr="00297CD1">
        <w:rPr>
          <w:rFonts w:eastAsia="宋体"/>
          <w:sz w:val="20"/>
          <w:szCs w:val="20"/>
          <w:lang w:val="en-GB" w:eastAsia="zh-CN"/>
        </w:rPr>
        <w:t xml:space="preserve">, </w:t>
      </w:r>
      <w:r w:rsidRPr="00861A15">
        <w:rPr>
          <w:rFonts w:eastAsia="宋体"/>
          <w:sz w:val="20"/>
          <w:szCs w:val="20"/>
          <w:lang w:val="en-GB" w:eastAsia="zh-CN"/>
        </w:rPr>
        <w:t>17th – 21st February 2025</w:t>
      </w:r>
      <w:r w:rsidRPr="00297CD1">
        <w:rPr>
          <w:rFonts w:eastAsia="宋体"/>
          <w:sz w:val="20"/>
          <w:szCs w:val="20"/>
          <w:lang w:val="en-GB" w:eastAsia="zh-CN"/>
        </w:rPr>
        <w:t>.</w:t>
      </w:r>
    </w:p>
    <w:p w14:paraId="2B302A3E" w14:textId="7F1347F3" w:rsidR="00034526" w:rsidRPr="00861A15" w:rsidRDefault="0063082A" w:rsidP="007F5C48">
      <w:pPr>
        <w:pStyle w:val="ListParagraph"/>
        <w:numPr>
          <w:ilvl w:val="0"/>
          <w:numId w:val="5"/>
        </w:numPr>
        <w:rPr>
          <w:rFonts w:eastAsia="宋体"/>
          <w:sz w:val="20"/>
          <w:szCs w:val="20"/>
          <w:lang w:val="en-GB" w:eastAsia="zh-CN"/>
        </w:rPr>
      </w:pPr>
      <w:r w:rsidRPr="00861A15">
        <w:rPr>
          <w:rFonts w:eastAsia="宋体"/>
          <w:sz w:val="20"/>
          <w:szCs w:val="20"/>
          <w:lang w:val="en-GB" w:eastAsia="zh-CN"/>
        </w:rPr>
        <w:t>R4-2418278, “Topic summary for [</w:t>
      </w:r>
      <w:proofErr w:type="gramStart"/>
      <w:r w:rsidRPr="00861A15">
        <w:rPr>
          <w:rFonts w:eastAsia="宋体"/>
          <w:sz w:val="20"/>
          <w:szCs w:val="20"/>
          <w:lang w:val="en-GB" w:eastAsia="zh-CN"/>
        </w:rPr>
        <w:t>213][</w:t>
      </w:r>
      <w:proofErr w:type="gramEnd"/>
      <w:r w:rsidRPr="00861A15">
        <w:rPr>
          <w:rFonts w:eastAsia="宋体"/>
          <w:sz w:val="20"/>
          <w:szCs w:val="20"/>
          <w:lang w:val="en-GB" w:eastAsia="zh-CN"/>
        </w:rPr>
        <w:t xml:space="preserve">220] </w:t>
      </w:r>
      <w:proofErr w:type="spellStart"/>
      <w:r w:rsidRPr="00861A15">
        <w:rPr>
          <w:rFonts w:eastAsia="宋体"/>
          <w:sz w:val="20"/>
          <w:szCs w:val="20"/>
          <w:lang w:val="en-GB" w:eastAsia="zh-CN"/>
        </w:rPr>
        <w:t>FS_NR_AIML_Mob</w:t>
      </w:r>
      <w:proofErr w:type="spellEnd"/>
      <w:r w:rsidRPr="00861A15">
        <w:rPr>
          <w:rFonts w:eastAsia="宋体"/>
          <w:sz w:val="20"/>
          <w:szCs w:val="20"/>
          <w:lang w:val="en-GB" w:eastAsia="zh-CN"/>
        </w:rPr>
        <w:t>”, 3GPP RAN4#113, 18th – 22th November, 2024.</w:t>
      </w:r>
    </w:p>
    <w:sectPr w:rsidR="00034526" w:rsidRPr="00861A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3497A" w14:textId="77777777" w:rsidR="00C97F4B" w:rsidRDefault="00C97F4B">
      <w:r>
        <w:separator/>
      </w:r>
    </w:p>
  </w:endnote>
  <w:endnote w:type="continuationSeparator" w:id="0">
    <w:p w14:paraId="6E038CDF" w14:textId="77777777" w:rsidR="00C97F4B" w:rsidRDefault="00C9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F46249" w:rsidRDefault="00F46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F46249" w:rsidRDefault="00F462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3820B6B" w14:textId="77777777" w:rsidR="00F46249" w:rsidRDefault="00F462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9AFFC" w14:textId="77777777" w:rsidR="00C97F4B" w:rsidRDefault="00C97F4B">
      <w:r>
        <w:separator/>
      </w:r>
    </w:p>
  </w:footnote>
  <w:footnote w:type="continuationSeparator" w:id="0">
    <w:p w14:paraId="35A1125A" w14:textId="77777777" w:rsidR="00C97F4B" w:rsidRDefault="00C97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56575"/>
    <w:multiLevelType w:val="hybridMultilevel"/>
    <w:tmpl w:val="04604DEC"/>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Heading1"/>
      <w:lvlText w:val="%1."/>
      <w:lvlJc w:val="left"/>
      <w:pPr>
        <w:tabs>
          <w:tab w:val="num" w:pos="2412"/>
        </w:tabs>
        <w:ind w:left="2412" w:hanging="432"/>
      </w:pPr>
      <w:rPr>
        <w:rFonts w:hint="default"/>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8B73482"/>
    <w:multiLevelType w:val="hybridMultilevel"/>
    <w:tmpl w:val="FEAEEF26"/>
    <w:lvl w:ilvl="0" w:tplc="08090001">
      <w:start w:val="1"/>
      <w:numFmt w:val="bullet"/>
      <w:lvlText w:val=""/>
      <w:lvlJc w:val="left"/>
      <w:pPr>
        <w:ind w:left="936" w:hanging="360"/>
      </w:pPr>
      <w:rPr>
        <w:rFonts w:ascii="Symbol" w:hAnsi="Symbol" w:hint="default"/>
      </w:rPr>
    </w:lvl>
    <w:lvl w:ilvl="1" w:tplc="5C8A8BC4">
      <w:numFmt w:val="bullet"/>
      <w:lvlText w:val="o"/>
      <w:lvlJc w:val="left"/>
      <w:pPr>
        <w:ind w:left="1656" w:hanging="360"/>
      </w:pPr>
      <w:rPr>
        <w:rFonts w:ascii="Courier New" w:hAnsi="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9D5405"/>
    <w:multiLevelType w:val="hybridMultilevel"/>
    <w:tmpl w:val="FF7A7486"/>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5"/>
  </w:num>
  <w:num w:numId="4">
    <w:abstractNumId w:val="7"/>
  </w:num>
  <w:num w:numId="5">
    <w:abstractNumId w:val="8"/>
  </w:num>
  <w:num w:numId="6">
    <w:abstractNumId w:val="0"/>
  </w:num>
  <w:num w:numId="7">
    <w:abstractNumId w:val="18"/>
  </w:num>
  <w:num w:numId="8">
    <w:abstractNumId w:val="9"/>
  </w:num>
  <w:num w:numId="9">
    <w:abstractNumId w:val="14"/>
  </w:num>
  <w:num w:numId="10">
    <w:abstractNumId w:val="21"/>
  </w:num>
  <w:num w:numId="11">
    <w:abstractNumId w:val="17"/>
  </w:num>
  <w:num w:numId="12">
    <w:abstractNumId w:val="4"/>
  </w:num>
  <w:num w:numId="13">
    <w:abstractNumId w:val="19"/>
  </w:num>
  <w:num w:numId="14">
    <w:abstractNumId w:val="23"/>
  </w:num>
  <w:num w:numId="15">
    <w:abstractNumId w:val="15"/>
  </w:num>
  <w:num w:numId="16">
    <w:abstractNumId w:val="11"/>
  </w:num>
  <w:num w:numId="17">
    <w:abstractNumId w:val="13"/>
  </w:num>
  <w:num w:numId="18">
    <w:abstractNumId w:val="6"/>
  </w:num>
  <w:num w:numId="19">
    <w:abstractNumId w:val="12"/>
  </w:num>
  <w:num w:numId="20">
    <w:abstractNumId w:val="1"/>
  </w:num>
  <w:num w:numId="21">
    <w:abstractNumId w:val="10"/>
  </w:num>
  <w:num w:numId="22">
    <w:abstractNumId w:val="10"/>
  </w:num>
  <w:num w:numId="23">
    <w:abstractNumId w:val="10"/>
  </w:num>
  <w:num w:numId="24">
    <w:abstractNumId w:val="10"/>
  </w:num>
  <w:num w:numId="25">
    <w:abstractNumId w:val="10"/>
  </w:num>
  <w:num w:numId="26">
    <w:abstractNumId w:val="2"/>
  </w:num>
  <w:num w:numId="27">
    <w:abstractNumId w:val="16"/>
  </w:num>
  <w:num w:numId="28">
    <w:abstractNumId w:val="10"/>
  </w:num>
  <w:num w:numId="29">
    <w:abstractNumId w:val="22"/>
  </w:num>
  <w:num w:numId="30">
    <w:abstractNumId w:val="10"/>
    <w:lvlOverride w:ilvl="0">
      <w:startOverride w:val="4"/>
    </w:lvlOverride>
  </w:num>
  <w:num w:numId="31">
    <w:abstractNumId w:val="10"/>
    <w:lvlOverride w:ilvl="0">
      <w:startOverride w:val="4"/>
    </w:lvlOverride>
  </w:num>
  <w:num w:numId="32">
    <w:abstractNumId w:val="3"/>
  </w:num>
  <w:num w:numId="33">
    <w:abstractNumId w:val="24"/>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26"/>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2FC"/>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0F99"/>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72"/>
    <w:rsid w:val="00190F12"/>
    <w:rsid w:val="001911D5"/>
    <w:rsid w:val="00191D33"/>
    <w:rsid w:val="00192293"/>
    <w:rsid w:val="001925A9"/>
    <w:rsid w:val="00192C5B"/>
    <w:rsid w:val="00193142"/>
    <w:rsid w:val="00193747"/>
    <w:rsid w:val="00193C9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295"/>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97CD1"/>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32F"/>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1F80"/>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654"/>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769"/>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0C3E"/>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B25"/>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DFC"/>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9B4"/>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93F"/>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46"/>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7E4"/>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2E30"/>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082A"/>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BEE"/>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4C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CC3"/>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315"/>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1AC"/>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CC5"/>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15"/>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6F05"/>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3AD"/>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B7"/>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4F95"/>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5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7EA"/>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1D7B"/>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320"/>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5"/>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2F2"/>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C83"/>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5AEC"/>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97F4B"/>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4F12"/>
    <w:rsid w:val="00F350C2"/>
    <w:rsid w:val="00F354C9"/>
    <w:rsid w:val="00F354CB"/>
    <w:rsid w:val="00F356D7"/>
    <w:rsid w:val="00F36041"/>
    <w:rsid w:val="00F36269"/>
    <w:rsid w:val="00F362B3"/>
    <w:rsid w:val="00F36446"/>
    <w:rsid w:val="00F36712"/>
    <w:rsid w:val="00F367AB"/>
    <w:rsid w:val="00F3682E"/>
    <w:rsid w:val="00F3695A"/>
    <w:rsid w:val="00F36A11"/>
    <w:rsid w:val="00F36D83"/>
    <w:rsid w:val="00F36EEF"/>
    <w:rsid w:val="00F36F15"/>
    <w:rsid w:val="00F36FB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93"/>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3FAA"/>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C53"/>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469"/>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1F80"/>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1,목록 단락 Char,リスト段落 Char,?? ?? Char1,????? Char1,???? Char1,Lista1 Char1,中等深浅网格 1 - 着色 21 Char1,列出段落1 Char1,¥¡¡¡¡ì¬º¥¹¥È¶ÎÂä Char1,ÁÐ³ö¶ÎÂä Char1,列表段落1 Char1,—ño’i—Ž Char1,¥ê¥¹¥È¶ÎÂä Char1,Lettre d'introduction Char1"/>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Normal"/>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
    <w:name w:val="网格型1"/>
    <w:basedOn w:val="TableNormal"/>
    <w:next w:val="TableGrid"/>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Emphasis">
    <w:name w:val="Emphasis"/>
    <w:uiPriority w:val="20"/>
    <w:qFormat/>
    <w:rsid w:val="00DA6235"/>
    <w:rPr>
      <w:i/>
      <w:iCs/>
    </w:rPr>
  </w:style>
  <w:style w:type="paragraph" w:customStyle="1" w:styleId="Agreement">
    <w:name w:val="Agreement"/>
    <w:basedOn w:val="Normal"/>
    <w:next w:val="Doc-text2"/>
    <w:uiPriority w:val="99"/>
    <w:qFormat/>
    <w:rsid w:val="00227C12"/>
    <w:pPr>
      <w:numPr>
        <w:numId w:val="10"/>
      </w:numPr>
      <w:spacing w:before="60" w:after="0"/>
    </w:pPr>
    <w:rPr>
      <w:rFonts w:ascii="Arial" w:hAnsi="Arial"/>
      <w:b/>
      <w:szCs w:val="24"/>
      <w:lang w:eastAsia="en-GB"/>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
    <w:name w:val="列"/>
    <w:aliases w:val="列表段,P,B"/>
    <w:basedOn w:val="Normal"/>
    <w:next w:val="ListParagraph"/>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
    <w:uiPriority w:val="34"/>
    <w:qFormat/>
    <w:rsid w:val="00755F47"/>
    <w:rPr>
      <w:rFonts w:eastAsia="MS Gothic"/>
      <w:sz w:val="24"/>
      <w:lang w:val="en-GB"/>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Normal"/>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Normal"/>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BodyText"/>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paragraph" w:customStyle="1" w:styleId="Char0">
    <w:name w:val="Char"/>
    <w:semiHidden/>
    <w:rsid w:val="00715B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778BB279-6920-46FA-8CFB-69C43EA7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313</TotalTime>
  <Pages>3</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Huawei-Qiaolin</cp:lastModifiedBy>
  <cp:revision>34</cp:revision>
  <cp:lastPrinted>2009-04-22T06:01:00Z</cp:lastPrinted>
  <dcterms:created xsi:type="dcterms:W3CDTF">2025-02-06T12:42:00Z</dcterms:created>
  <dcterms:modified xsi:type="dcterms:W3CDTF">2025-03-28T08:53:00Z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