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7D37B77"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sidR="0041578A">
        <w:rPr>
          <w:rFonts w:ascii="Arial" w:hAnsi="Arial" w:cs="Arial"/>
          <w:b/>
          <w:sz w:val="24"/>
          <w:szCs w:val="24"/>
        </w:rPr>
        <w:t>bis</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w:t>
      </w:r>
      <w:r w:rsidR="00501139" w:rsidRPr="00501139">
        <w:rPr>
          <w:rFonts w:ascii="Arial" w:hAnsi="Arial" w:cs="Arial"/>
          <w:b/>
          <w:sz w:val="24"/>
          <w:szCs w:val="24"/>
        </w:rPr>
        <w:t>-2503666</w:t>
      </w:r>
    </w:p>
    <w:p w14:paraId="7A5C8099" w14:textId="4613B6A0" w:rsidR="00F57816" w:rsidRPr="00E13F75" w:rsidRDefault="0041578A" w:rsidP="00F57816">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1FDBEED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A4505">
        <w:rPr>
          <w:rFonts w:ascii="Arial" w:hAnsi="Arial" w:cs="Arial"/>
          <w:bCs/>
          <w:sz w:val="24"/>
          <w:szCs w:val="24"/>
        </w:rPr>
        <w:t>2</w:t>
      </w:r>
      <w:r w:rsidR="00225318">
        <w:rPr>
          <w:rFonts w:ascii="Arial" w:hAnsi="Arial" w:cs="Arial"/>
          <w:bCs/>
          <w:sz w:val="24"/>
          <w:szCs w:val="24"/>
        </w:rPr>
        <w:t>2</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F73AA8">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D63C712"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F73AA8" w:rsidRPr="00F73AA8">
        <w:rPr>
          <w:rFonts w:ascii="Arial" w:hAnsi="Arial" w:cs="Arial"/>
          <w:sz w:val="24"/>
          <w:szCs w:val="24"/>
        </w:rPr>
        <w:t>Discussion on RRM requirements of other aspects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7661BC63" w:rsidR="00672483" w:rsidRPr="0036485D" w:rsidRDefault="00DD28CE" w:rsidP="008A704C">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sidR="00B157E9">
        <w:rPr>
          <w:rFonts w:ascii="Times New Roman" w:eastAsia="宋体" w:hAnsi="Times New Roman" w:cs="Times New Roman" w:hint="eastAsia"/>
          <w:sz w:val="20"/>
          <w:szCs w:val="20"/>
        </w:rPr>
        <w:t>last</w:t>
      </w:r>
      <w:r w:rsidR="00B157E9">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sidR="00B157E9">
        <w:rPr>
          <w:rFonts w:ascii="Times New Roman" w:eastAsia="宋体" w:hAnsi="Times New Roman" w:cs="Times New Roman"/>
          <w:sz w:val="20"/>
          <w:szCs w:val="20"/>
        </w:rPr>
        <w:t>#114</w:t>
      </w:r>
      <w:r w:rsidRPr="003524ED">
        <w:rPr>
          <w:rFonts w:ascii="Times New Roman" w:eastAsia="宋体" w:hAnsi="Times New Roman" w:cs="Times New Roman"/>
          <w:sz w:val="20"/>
          <w:szCs w:val="20"/>
        </w:rPr>
        <w:t xml:space="preserve"> meeting</w:t>
      </w:r>
      <w:r w:rsidR="00A3777D">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sidR="00B157E9">
        <w:rPr>
          <w:rFonts w:ascii="Times New Roman" w:eastAsia="宋体" w:hAnsi="Times New Roman" w:cs="Times New Roman" w:hint="eastAsia"/>
          <w:sz w:val="20"/>
          <w:szCs w:val="20"/>
        </w:rPr>
        <w:t>the</w:t>
      </w:r>
      <w:r w:rsidR="00A3777D">
        <w:rPr>
          <w:rFonts w:ascii="Times New Roman" w:eastAsia="宋体" w:hAnsi="Times New Roman" w:cs="Times New Roman"/>
          <w:sz w:val="20"/>
          <w:szCs w:val="20"/>
        </w:rPr>
        <w:t xml:space="preserve"> WF </w:t>
      </w:r>
      <w:r w:rsidR="00B157E9">
        <w:rPr>
          <w:rFonts w:ascii="Times New Roman" w:eastAsia="宋体" w:hAnsi="Times New Roman" w:cs="Times New Roman"/>
          <w:sz w:val="20"/>
          <w:szCs w:val="20"/>
        </w:rPr>
        <w:t>was</w:t>
      </w:r>
      <w:r w:rsidR="00A3777D">
        <w:rPr>
          <w:rFonts w:ascii="Times New Roman" w:eastAsia="宋体" w:hAnsi="Times New Roman" w:cs="Times New Roman"/>
          <w:sz w:val="20"/>
          <w:szCs w:val="20"/>
        </w:rPr>
        <w:t xml:space="preserve"> approved </w:t>
      </w:r>
      <w:r>
        <w:rPr>
          <w:rFonts w:ascii="Times New Roman" w:eastAsia="宋体" w:hAnsi="Times New Roman" w:cs="Times New Roman"/>
          <w:sz w:val="20"/>
          <w:szCs w:val="20"/>
        </w:rPr>
        <w:t>in [</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0A638B">
        <w:rPr>
          <w:rFonts w:ascii="Times New Roman" w:eastAsia="宋体" w:hAnsi="Times New Roman" w:cs="Times New Roman"/>
          <w:sz w:val="20"/>
          <w:szCs w:val="20"/>
        </w:rPr>
        <w:t>There are still open issues in</w:t>
      </w:r>
      <w:r w:rsidR="000A638B" w:rsidRPr="000A638B">
        <w:rPr>
          <w:rFonts w:ascii="Times New Roman" w:eastAsia="宋体" w:hAnsi="Times New Roman" w:cs="Times New Roman"/>
          <w:sz w:val="20"/>
          <w:szCs w:val="20"/>
        </w:rPr>
        <w:t xml:space="preserve"> </w:t>
      </w:r>
      <w:r w:rsidR="000A638B">
        <w:rPr>
          <w:rFonts w:ascii="Times New Roman" w:eastAsia="宋体" w:hAnsi="Times New Roman" w:cs="Times New Roman"/>
          <w:sz w:val="20"/>
          <w:szCs w:val="20"/>
        </w:rPr>
        <w:t xml:space="preserve">RRM requirements for CJTC reporting and asymmetric DL </w:t>
      </w:r>
      <w:proofErr w:type="spellStart"/>
      <w:r w:rsidR="000A638B">
        <w:rPr>
          <w:rFonts w:ascii="Times New Roman" w:eastAsia="宋体" w:hAnsi="Times New Roman" w:cs="Times New Roman"/>
          <w:sz w:val="20"/>
          <w:szCs w:val="20"/>
        </w:rPr>
        <w:t>sTRP</w:t>
      </w:r>
      <w:proofErr w:type="spellEnd"/>
      <w:r w:rsidR="000A638B">
        <w:rPr>
          <w:rFonts w:ascii="Times New Roman" w:eastAsia="宋体" w:hAnsi="Times New Roman" w:cs="Times New Roman"/>
          <w:sz w:val="20"/>
          <w:szCs w:val="20"/>
        </w:rPr>
        <w:t xml:space="preserve">/UL </w:t>
      </w:r>
      <w:proofErr w:type="spellStart"/>
      <w:r w:rsidR="000A638B">
        <w:rPr>
          <w:rFonts w:ascii="Times New Roman" w:eastAsia="宋体" w:hAnsi="Times New Roman" w:cs="Times New Roman"/>
          <w:sz w:val="20"/>
          <w:szCs w:val="20"/>
        </w:rPr>
        <w:t>mTRP</w:t>
      </w:r>
      <w:proofErr w:type="spellEnd"/>
      <w:r w:rsidR="000A638B">
        <w:rPr>
          <w:rFonts w:ascii="Times New Roman" w:eastAsia="宋体" w:hAnsi="Times New Roman" w:cs="Times New Roman"/>
          <w:sz w:val="20"/>
          <w:szCs w:val="20"/>
        </w:rPr>
        <w:t xml:space="preserve"> scenarios</w:t>
      </w:r>
      <w:r w:rsidR="000A638B">
        <w:rPr>
          <w:rFonts w:ascii="Times New Roman" w:eastAsia="宋体" w:hAnsi="Times New Roman" w:cs="Times New Roman"/>
          <w:sz w:val="20"/>
          <w:szCs w:val="20"/>
        </w:rPr>
        <w:t xml:space="preserve">. </w:t>
      </w:r>
      <w:r w:rsidR="00F73AA8">
        <w:rPr>
          <w:rFonts w:ascii="Times New Roman" w:eastAsia="宋体" w:hAnsi="Times New Roman" w:cs="Times New Roman" w:hint="eastAsia"/>
          <w:sz w:val="20"/>
          <w:szCs w:val="20"/>
        </w:rPr>
        <w:t>I</w:t>
      </w:r>
      <w:r w:rsidR="00F73AA8">
        <w:rPr>
          <w:rFonts w:ascii="Times New Roman" w:eastAsia="宋体" w:hAnsi="Times New Roman" w:cs="Times New Roman"/>
          <w:sz w:val="20"/>
          <w:szCs w:val="20"/>
        </w:rPr>
        <w:t xml:space="preserve">n this contribution, we continue to discuss the RRM requirements for asymmetric DL </w:t>
      </w:r>
      <w:proofErr w:type="spellStart"/>
      <w:r w:rsidR="00F73AA8">
        <w:rPr>
          <w:rFonts w:ascii="Times New Roman" w:eastAsia="宋体" w:hAnsi="Times New Roman" w:cs="Times New Roman"/>
          <w:sz w:val="20"/>
          <w:szCs w:val="20"/>
        </w:rPr>
        <w:t>sTRP</w:t>
      </w:r>
      <w:proofErr w:type="spellEnd"/>
      <w:r w:rsidR="00F73AA8">
        <w:rPr>
          <w:rFonts w:ascii="Times New Roman" w:eastAsia="宋体" w:hAnsi="Times New Roman" w:cs="Times New Roman"/>
          <w:sz w:val="20"/>
          <w:szCs w:val="20"/>
        </w:rPr>
        <w:t xml:space="preserve">/UL </w:t>
      </w:r>
      <w:proofErr w:type="spellStart"/>
      <w:r w:rsidR="00F73AA8">
        <w:rPr>
          <w:rFonts w:ascii="Times New Roman" w:eastAsia="宋体" w:hAnsi="Times New Roman" w:cs="Times New Roman"/>
          <w:sz w:val="20"/>
          <w:szCs w:val="20"/>
        </w:rPr>
        <w:t>mTRP</w:t>
      </w:r>
      <w:proofErr w:type="spellEnd"/>
      <w:r w:rsidR="00F73AA8">
        <w:rPr>
          <w:rFonts w:ascii="Times New Roman" w:eastAsia="宋体" w:hAnsi="Times New Roman" w:cs="Times New Roman"/>
          <w:sz w:val="20"/>
          <w:szCs w:val="20"/>
        </w:rPr>
        <w:t xml:space="preserve"> scenarios in Rel-19 MIMO phase 5</w:t>
      </w:r>
      <w:r w:rsidR="00F73AA8" w:rsidRPr="009537C2">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0E43C50" w14:textId="16900A5D" w:rsidR="00F73AA8" w:rsidRPr="000A638B" w:rsidRDefault="00F73AA8" w:rsidP="00F73AA8">
      <w:pPr>
        <w:pStyle w:val="2"/>
        <w:spacing w:before="240" w:after="180" w:line="240" w:lineRule="auto"/>
        <w:jc w:val="left"/>
        <w:rPr>
          <w:rFonts w:ascii="Arial" w:hAnsi="Arial" w:cs="Arial"/>
          <w:sz w:val="24"/>
          <w:szCs w:val="24"/>
          <w:u w:val="single"/>
        </w:rPr>
      </w:pPr>
      <w:r w:rsidRPr="000A638B">
        <w:rPr>
          <w:rFonts w:ascii="Arial" w:hAnsi="Arial" w:cs="Arial" w:hint="eastAsia"/>
          <w:sz w:val="24"/>
          <w:szCs w:val="24"/>
          <w:u w:val="single"/>
        </w:rPr>
        <w:t>A</w:t>
      </w:r>
      <w:r w:rsidRPr="000A638B">
        <w:rPr>
          <w:rFonts w:ascii="Arial" w:hAnsi="Arial" w:cs="Arial"/>
          <w:sz w:val="24"/>
          <w:szCs w:val="24"/>
          <w:u w:val="single"/>
        </w:rPr>
        <w:t xml:space="preserve">symmetric DL </w:t>
      </w:r>
      <w:proofErr w:type="spellStart"/>
      <w:r w:rsidRPr="000A638B">
        <w:rPr>
          <w:rFonts w:ascii="Arial" w:hAnsi="Arial" w:cs="Arial"/>
          <w:sz w:val="24"/>
          <w:szCs w:val="24"/>
          <w:u w:val="single"/>
        </w:rPr>
        <w:t>sTRP</w:t>
      </w:r>
      <w:proofErr w:type="spellEnd"/>
      <w:r w:rsidRPr="000A638B">
        <w:rPr>
          <w:rFonts w:ascii="Arial" w:hAnsi="Arial" w:cs="Arial"/>
          <w:sz w:val="24"/>
          <w:szCs w:val="24"/>
          <w:u w:val="single"/>
        </w:rPr>
        <w:t xml:space="preserve">/UL </w:t>
      </w:r>
      <w:proofErr w:type="spellStart"/>
      <w:r w:rsidRPr="000A638B">
        <w:rPr>
          <w:rFonts w:ascii="Arial" w:hAnsi="Arial" w:cs="Arial"/>
          <w:sz w:val="24"/>
          <w:szCs w:val="24"/>
          <w:u w:val="single"/>
        </w:rPr>
        <w:t>mTRP</w:t>
      </w:r>
      <w:proofErr w:type="spellEnd"/>
      <w:r w:rsidRPr="000A638B">
        <w:rPr>
          <w:rFonts w:ascii="Arial" w:hAnsi="Arial" w:cs="Arial"/>
          <w:sz w:val="24"/>
          <w:szCs w:val="24"/>
          <w:u w:val="single"/>
        </w:rPr>
        <w:t xml:space="preserve"> </w:t>
      </w:r>
    </w:p>
    <w:p w14:paraId="6EEA7C16" w14:textId="4DFCF80A" w:rsidR="00F73AA8"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RAN4#11</w:t>
      </w:r>
      <w:r w:rsidR="00D6613E">
        <w:rPr>
          <w:rFonts w:ascii="Times New Roman" w:eastAsia="宋体" w:hAnsi="Times New Roman" w:cs="Times New Roman"/>
          <w:color w:val="000000" w:themeColor="text1"/>
          <w:kern w:val="24"/>
          <w:sz w:val="20"/>
          <w:szCs w:val="20"/>
        </w:rPr>
        <w:t>4</w:t>
      </w:r>
      <w:r>
        <w:rPr>
          <w:rFonts w:ascii="Times New Roman" w:eastAsia="宋体" w:hAnsi="Times New Roman" w:cs="Times New Roman"/>
          <w:color w:val="000000" w:themeColor="text1"/>
          <w:kern w:val="24"/>
          <w:sz w:val="20"/>
          <w:szCs w:val="20"/>
        </w:rPr>
        <w:t xml:space="preserve"> meeting, </w:t>
      </w:r>
      <w:r w:rsidR="00D6613E">
        <w:rPr>
          <w:rFonts w:ascii="Times New Roman" w:eastAsia="宋体" w:hAnsi="Times New Roman" w:cs="Times New Roman"/>
          <w:color w:val="000000" w:themeColor="text1"/>
          <w:kern w:val="24"/>
          <w:sz w:val="20"/>
          <w:szCs w:val="20"/>
        </w:rPr>
        <w:t>the agreement of</w:t>
      </w:r>
      <w:r>
        <w:rPr>
          <w:rFonts w:ascii="Times New Roman" w:eastAsia="宋体" w:hAnsi="Times New Roman" w:cs="Times New Roman"/>
          <w:color w:val="000000" w:themeColor="text1"/>
          <w:kern w:val="24"/>
          <w:sz w:val="20"/>
          <w:szCs w:val="20"/>
        </w:rPr>
        <w:t xml:space="preserve"> RRM requirement for 2TA enhancement for asymmetric DL </w:t>
      </w:r>
      <w:proofErr w:type="spellStart"/>
      <w:r>
        <w:rPr>
          <w:rFonts w:ascii="Times New Roman" w:eastAsia="宋体" w:hAnsi="Times New Roman" w:cs="Times New Roman"/>
          <w:color w:val="000000" w:themeColor="text1"/>
          <w:kern w:val="24"/>
          <w:sz w:val="20"/>
          <w:szCs w:val="20"/>
        </w:rPr>
        <w:t>sTRP</w:t>
      </w:r>
      <w:proofErr w:type="spellEnd"/>
      <w:r>
        <w:rPr>
          <w:rFonts w:ascii="Times New Roman" w:eastAsia="宋体" w:hAnsi="Times New Roman" w:cs="Times New Roman"/>
          <w:color w:val="000000" w:themeColor="text1"/>
          <w:kern w:val="24"/>
          <w:sz w:val="20"/>
          <w:szCs w:val="20"/>
        </w:rPr>
        <w:t xml:space="preserve">/UL </w:t>
      </w:r>
      <w:proofErr w:type="spellStart"/>
      <w:r>
        <w:rPr>
          <w:rFonts w:ascii="Times New Roman" w:eastAsia="宋体" w:hAnsi="Times New Roman" w:cs="Times New Roman"/>
          <w:color w:val="000000" w:themeColor="text1"/>
          <w:kern w:val="24"/>
          <w:sz w:val="20"/>
          <w:szCs w:val="20"/>
        </w:rPr>
        <w:t>mTRP</w:t>
      </w:r>
      <w:proofErr w:type="spellEnd"/>
      <w:r>
        <w:rPr>
          <w:rFonts w:ascii="Times New Roman" w:eastAsia="宋体" w:hAnsi="Times New Roman" w:cs="Times New Roman"/>
          <w:color w:val="000000" w:themeColor="text1"/>
          <w:kern w:val="24"/>
          <w:sz w:val="20"/>
          <w:szCs w:val="20"/>
        </w:rPr>
        <w:t xml:space="preserve"> </w:t>
      </w:r>
      <w:r w:rsidR="00D6613E">
        <w:rPr>
          <w:rFonts w:ascii="Times New Roman" w:eastAsia="宋体" w:hAnsi="Times New Roman" w:cs="Times New Roman"/>
          <w:color w:val="000000" w:themeColor="text1"/>
          <w:kern w:val="24"/>
          <w:sz w:val="20"/>
          <w:szCs w:val="20"/>
        </w:rPr>
        <w:t xml:space="preserve">is captured </w:t>
      </w:r>
      <w:r>
        <w:rPr>
          <w:rFonts w:ascii="Times New Roman" w:eastAsia="宋体" w:hAnsi="Times New Roman" w:cs="Times New Roman"/>
          <w:color w:val="000000" w:themeColor="text1"/>
          <w:kern w:val="24"/>
          <w:sz w:val="20"/>
          <w:szCs w:val="20"/>
        </w:rPr>
        <w:t>in [</w:t>
      </w:r>
      <w:r w:rsidR="00D6613E">
        <w:rPr>
          <w:rFonts w:ascii="Times New Roman" w:eastAsia="宋体" w:hAnsi="Times New Roman" w:cs="Times New Roman"/>
          <w:color w:val="000000" w:themeColor="text1"/>
          <w:kern w:val="24"/>
          <w:sz w:val="20"/>
          <w:szCs w:val="20"/>
        </w:rPr>
        <w:t>1</w:t>
      </w:r>
      <w:r>
        <w:rPr>
          <w:rFonts w:ascii="Times New Roman" w:eastAsia="宋体" w:hAnsi="Times New Roman" w:cs="Times New Roman"/>
          <w:color w:val="000000" w:themeColor="text1"/>
          <w:kern w:val="24"/>
          <w:sz w:val="20"/>
          <w:szCs w:val="20"/>
        </w:rPr>
        <w:t>]</w:t>
      </w:r>
      <w:r w:rsidR="00D6613E">
        <w:rPr>
          <w:rFonts w:ascii="Times New Roman" w:eastAsia="宋体" w:hAnsi="Times New Roman" w:cs="Times New Roman"/>
          <w:color w:val="000000" w:themeColor="text1"/>
          <w:kern w:val="24"/>
          <w:sz w:val="20"/>
          <w:szCs w:val="20"/>
        </w:rPr>
        <w:t xml:space="preserve"> as</w:t>
      </w:r>
      <w:r>
        <w:rPr>
          <w:rFonts w:ascii="Times New Roman" w:eastAsia="宋体" w:hAnsi="Times New Roman" w:cs="Times New Roman"/>
          <w:color w:val="000000" w:themeColor="text1"/>
          <w:kern w:val="24"/>
          <w:sz w:val="20"/>
          <w:szCs w:val="20"/>
        </w:rPr>
        <w:t>:</w:t>
      </w:r>
    </w:p>
    <w:tbl>
      <w:tblPr>
        <w:tblStyle w:val="a7"/>
        <w:tblW w:w="0" w:type="auto"/>
        <w:tblLook w:val="04A0" w:firstRow="1" w:lastRow="0" w:firstColumn="1" w:lastColumn="0" w:noHBand="0" w:noVBand="1"/>
      </w:tblPr>
      <w:tblGrid>
        <w:gridCol w:w="9629"/>
      </w:tblGrid>
      <w:tr w:rsidR="00F73AA8" w14:paraId="26B15C1F" w14:textId="77777777" w:rsidTr="00215751">
        <w:tc>
          <w:tcPr>
            <w:tcW w:w="9629" w:type="dxa"/>
          </w:tcPr>
          <w:p w14:paraId="05371D83" w14:textId="77777777" w:rsidR="00D6613E" w:rsidRDefault="00D6613E" w:rsidP="00D6613E">
            <w:pPr>
              <w:rPr>
                <w:b/>
                <w:u w:val="single"/>
                <w:lang w:eastAsia="ko-KR"/>
              </w:rPr>
            </w:pPr>
            <w:r>
              <w:rPr>
                <w:b/>
                <w:u w:val="single"/>
                <w:lang w:eastAsia="ko-KR"/>
              </w:rPr>
              <w:t xml:space="preserve">Issue 2-1: </w:t>
            </w:r>
            <w:r w:rsidRPr="00BE0C87">
              <w:rPr>
                <w:b/>
                <w:u w:val="single"/>
                <w:lang w:eastAsia="ko-KR"/>
              </w:rPr>
              <w:t>Whether RAN4 need to consider the scenario when UE</w:t>
            </w:r>
            <w:r>
              <w:rPr>
                <w:b/>
                <w:u w:val="single"/>
                <w:lang w:eastAsia="ko-KR"/>
              </w:rPr>
              <w:t xml:space="preserve"> is/isn’</w:t>
            </w:r>
            <w:r w:rsidRPr="00BE0C87">
              <w:rPr>
                <w:b/>
                <w:u w:val="single"/>
                <w:lang w:eastAsia="ko-KR"/>
              </w:rPr>
              <w:t>t configured with pathloss offset</w:t>
            </w:r>
            <w:r>
              <w:rPr>
                <w:b/>
                <w:u w:val="single"/>
                <w:lang w:eastAsia="ko-KR"/>
              </w:rPr>
              <w:t>?</w:t>
            </w:r>
          </w:p>
          <w:p w14:paraId="2E73EE1A" w14:textId="77777777" w:rsidR="00D6613E" w:rsidRPr="00333F9C" w:rsidRDefault="00D6613E" w:rsidP="00D6613E">
            <w:pPr>
              <w:snapToGrid w:val="0"/>
              <w:spacing w:after="120"/>
              <w:rPr>
                <w:rFonts w:eastAsiaTheme="minorEastAsia"/>
                <w:bCs/>
              </w:rPr>
            </w:pPr>
            <w:r w:rsidRPr="00333F9C">
              <w:rPr>
                <w:rFonts w:eastAsiaTheme="minorEastAsia"/>
                <w:bCs/>
              </w:rPr>
              <w:t>Agreement:</w:t>
            </w:r>
          </w:p>
          <w:p w14:paraId="3082282C" w14:textId="77777777" w:rsidR="00D6613E" w:rsidRPr="00333F9C" w:rsidRDefault="00D6613E" w:rsidP="00D6613E">
            <w:pPr>
              <w:snapToGrid w:val="0"/>
              <w:spacing w:after="120"/>
              <w:ind w:left="420"/>
              <w:rPr>
                <w:szCs w:val="24"/>
              </w:rPr>
            </w:pPr>
            <w:r w:rsidRPr="00333F9C">
              <w:rPr>
                <w:rFonts w:eastAsiaTheme="minorEastAsia"/>
                <w:bCs/>
              </w:rPr>
              <w:t xml:space="preserve">For </w:t>
            </w:r>
            <w:r w:rsidRPr="00333F9C">
              <w:rPr>
                <w:szCs w:val="24"/>
              </w:rPr>
              <w:t xml:space="preserve">Scenario#1: RAN4 define the timing requirements for FR1, </w:t>
            </w:r>
            <w:r w:rsidRPr="00D6613E">
              <w:rPr>
                <w:szCs w:val="24"/>
                <w:highlight w:val="yellow"/>
              </w:rPr>
              <w:t>FFS on FR2.</w:t>
            </w:r>
            <w:r w:rsidRPr="00333F9C">
              <w:rPr>
                <w:szCs w:val="24"/>
              </w:rPr>
              <w:t xml:space="preserve"> </w:t>
            </w:r>
          </w:p>
          <w:p w14:paraId="0C4BF9D4" w14:textId="77777777" w:rsidR="00D6613E" w:rsidRPr="00333F9C" w:rsidRDefault="00D6613E" w:rsidP="00D6613E">
            <w:pPr>
              <w:snapToGrid w:val="0"/>
              <w:spacing w:after="120"/>
              <w:ind w:left="420"/>
              <w:rPr>
                <w:szCs w:val="24"/>
              </w:rPr>
            </w:pPr>
            <w:r w:rsidRPr="00333F9C">
              <w:rPr>
                <w:szCs w:val="24"/>
              </w:rPr>
              <w:t xml:space="preserve">For Scenario#2, </w:t>
            </w:r>
            <w:r w:rsidRPr="00D6613E">
              <w:rPr>
                <w:szCs w:val="24"/>
                <w:highlight w:val="yellow"/>
              </w:rPr>
              <w:t>FFS on whether to reuse the legacy timing requirements (Rel-18 m-DCI two TA with updated or not).</w:t>
            </w:r>
            <w:r w:rsidRPr="00333F9C">
              <w:rPr>
                <w:szCs w:val="24"/>
              </w:rPr>
              <w:t xml:space="preserve">  </w:t>
            </w:r>
          </w:p>
          <w:p w14:paraId="59BBE553" w14:textId="77777777" w:rsidR="00D6613E" w:rsidRPr="00333F9C" w:rsidRDefault="00D6613E" w:rsidP="00D6613E">
            <w:pPr>
              <w:snapToGrid w:val="0"/>
              <w:spacing w:after="120"/>
              <w:ind w:left="420"/>
              <w:rPr>
                <w:szCs w:val="24"/>
              </w:rPr>
            </w:pPr>
            <w:r w:rsidRPr="00333F9C">
              <w:rPr>
                <w:szCs w:val="24"/>
              </w:rPr>
              <w:t>RAN4 common understanding: the RAN1 agreements in RAN1#118bis “</w:t>
            </w:r>
            <w:r w:rsidRPr="00333F9C">
              <w:rPr>
                <w:lang w:val="en-CA"/>
              </w:rPr>
              <w:t>One downlink reference timing is supported and applied to both TAGs.</w:t>
            </w:r>
            <w:r w:rsidRPr="00333F9C">
              <w:rPr>
                <w:szCs w:val="24"/>
              </w:rPr>
              <w:t xml:space="preserve">” are </w:t>
            </w:r>
            <w:r w:rsidRPr="00333F9C">
              <w:rPr>
                <w:szCs w:val="24"/>
                <w:u w:val="single"/>
              </w:rPr>
              <w:t>currently</w:t>
            </w:r>
            <w:r w:rsidRPr="00333F9C">
              <w:rPr>
                <w:szCs w:val="24"/>
              </w:rPr>
              <w:t xml:space="preserve"> only applied for Scenario #1.</w:t>
            </w:r>
          </w:p>
          <w:p w14:paraId="18597A8B" w14:textId="77777777" w:rsidR="00D6613E" w:rsidRPr="00333F9C" w:rsidRDefault="00D6613E" w:rsidP="00D6613E">
            <w:pPr>
              <w:pStyle w:val="a8"/>
              <w:numPr>
                <w:ilvl w:val="0"/>
                <w:numId w:val="47"/>
              </w:numPr>
              <w:overflowPunct/>
              <w:autoSpaceDE/>
              <w:autoSpaceDN/>
              <w:adjustRightInd/>
              <w:snapToGrid w:val="0"/>
              <w:spacing w:after="120" w:line="276" w:lineRule="auto"/>
              <w:ind w:left="930" w:firstLineChars="0"/>
              <w:textAlignment w:val="auto"/>
              <w:rPr>
                <w:szCs w:val="24"/>
                <w:lang w:eastAsia="zh-CN"/>
              </w:rPr>
            </w:pPr>
            <w:r w:rsidRPr="00333F9C">
              <w:t>Scenario#1: if UE is configured with PL offset in joint/UL TCI state(s), UE does not expect to receive SSB from UL TRP(s)</w:t>
            </w:r>
          </w:p>
          <w:p w14:paraId="3BBEF4B9" w14:textId="77777777" w:rsidR="00D6613E" w:rsidRPr="00333F9C" w:rsidRDefault="00D6613E" w:rsidP="00D6613E">
            <w:pPr>
              <w:pStyle w:val="a8"/>
              <w:numPr>
                <w:ilvl w:val="0"/>
                <w:numId w:val="47"/>
              </w:numPr>
              <w:overflowPunct/>
              <w:autoSpaceDE/>
              <w:autoSpaceDN/>
              <w:adjustRightInd/>
              <w:snapToGrid w:val="0"/>
              <w:spacing w:after="120" w:line="276" w:lineRule="auto"/>
              <w:ind w:left="930" w:firstLineChars="0"/>
              <w:textAlignment w:val="auto"/>
            </w:pPr>
            <w:r w:rsidRPr="00333F9C">
              <w:t>Scenario#2: if UE is not configured with PL offset in joint/UL TCI state(s), UE expect to receive SSB from UL TRP(s).</w:t>
            </w:r>
          </w:p>
          <w:p w14:paraId="27BF28F6" w14:textId="77777777" w:rsidR="00D6613E" w:rsidRPr="00333F9C" w:rsidRDefault="00D6613E" w:rsidP="00D6613E">
            <w:pPr>
              <w:snapToGrid w:val="0"/>
              <w:spacing w:after="120"/>
              <w:ind w:left="420"/>
              <w:rPr>
                <w:rFonts w:eastAsia="等线"/>
                <w:u w:val="single"/>
              </w:rPr>
            </w:pPr>
            <w:r w:rsidRPr="00333F9C">
              <w:rPr>
                <w:rFonts w:eastAsia="等线"/>
                <w:u w:val="single"/>
              </w:rPr>
              <w:t>Note 1: the scenario 1 and 2 are based on RAN1 LS.</w:t>
            </w:r>
          </w:p>
          <w:p w14:paraId="07E2E67F" w14:textId="0BDE1AA4" w:rsidR="00F73AA8" w:rsidRPr="00D6613E" w:rsidRDefault="00D6613E" w:rsidP="00D6613E">
            <w:pPr>
              <w:snapToGrid w:val="0"/>
              <w:spacing w:after="120"/>
              <w:ind w:left="420"/>
              <w:rPr>
                <w:rFonts w:eastAsia="等线"/>
                <w:u w:val="single"/>
              </w:rPr>
            </w:pPr>
            <w:r w:rsidRPr="00333F9C">
              <w:rPr>
                <w:rFonts w:eastAsia="等线"/>
                <w:u w:val="single"/>
              </w:rPr>
              <w:t>Note 2: The above agreements apply when 2TA are configured.</w:t>
            </w:r>
          </w:p>
        </w:tc>
      </w:tr>
    </w:tbl>
    <w:p w14:paraId="30ACA047" w14:textId="2FD9714A" w:rsidR="00D6613E" w:rsidRDefault="00D6613E"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 xml:space="preserve">here are two FFS bullets as above. </w:t>
      </w:r>
    </w:p>
    <w:p w14:paraId="43DBEDC3" w14:textId="2A4A5BF9" w:rsidR="00537053" w:rsidRDefault="00537053"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last RAN4#114 meeting, RAN4 achieved the timing requirements for FR1 of Scenario#1. Although we proposed it </w:t>
      </w:r>
      <w:r w:rsidR="000A638B">
        <w:rPr>
          <w:rFonts w:ascii="Times New Roman" w:eastAsia="宋体" w:hAnsi="Times New Roman" w:cs="Times New Roman"/>
          <w:color w:val="000000" w:themeColor="text1"/>
          <w:kern w:val="24"/>
          <w:sz w:val="20"/>
          <w:szCs w:val="20"/>
        </w:rPr>
        <w:t>should</w:t>
      </w:r>
      <w:r>
        <w:rPr>
          <w:rFonts w:ascii="Times New Roman" w:eastAsia="宋体" w:hAnsi="Times New Roman" w:cs="Times New Roman"/>
          <w:color w:val="000000" w:themeColor="text1"/>
          <w:kern w:val="24"/>
          <w:sz w:val="20"/>
          <w:szCs w:val="20"/>
        </w:rPr>
        <w:t xml:space="preserve"> use the same timing requirements for FR2 of Scenario#2 as well, some companies want to further check whether there are some impacts due to RF discussion. </w:t>
      </w:r>
    </w:p>
    <w:p w14:paraId="15A1994A" w14:textId="6E3C5BA9" w:rsidR="00537053" w:rsidRDefault="00537053"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By our information, </w:t>
      </w:r>
      <w:r w:rsidR="00BD1315">
        <w:rPr>
          <w:rFonts w:ascii="Times New Roman" w:eastAsia="宋体" w:hAnsi="Times New Roman" w:cs="Times New Roman"/>
          <w:color w:val="000000" w:themeColor="text1"/>
          <w:kern w:val="24"/>
          <w:sz w:val="20"/>
          <w:szCs w:val="20"/>
        </w:rPr>
        <w:t xml:space="preserve">there is no agreement in RF session in last meeting. </w:t>
      </w:r>
    </w:p>
    <w:tbl>
      <w:tblPr>
        <w:tblStyle w:val="a7"/>
        <w:tblW w:w="0" w:type="auto"/>
        <w:tblLook w:val="04A0" w:firstRow="1" w:lastRow="0" w:firstColumn="1" w:lastColumn="0" w:noHBand="0" w:noVBand="1"/>
      </w:tblPr>
      <w:tblGrid>
        <w:gridCol w:w="9629"/>
      </w:tblGrid>
      <w:tr w:rsidR="00BD1315" w14:paraId="39E55EC0" w14:textId="77777777" w:rsidTr="00BD1315">
        <w:tc>
          <w:tcPr>
            <w:tcW w:w="9629" w:type="dxa"/>
          </w:tcPr>
          <w:p w14:paraId="335C8FB9" w14:textId="2D229BD5" w:rsidR="00BD1315" w:rsidRDefault="00BD1315" w:rsidP="00BD1315">
            <w:pPr>
              <w:rPr>
                <w:b/>
              </w:rPr>
            </w:pPr>
            <w:r>
              <w:rPr>
                <w:rFonts w:hint="eastAsia"/>
                <w:b/>
              </w:rPr>
              <w:t>R</w:t>
            </w:r>
            <w:r>
              <w:rPr>
                <w:b/>
              </w:rPr>
              <w:t>4-2503037</w:t>
            </w:r>
          </w:p>
          <w:p w14:paraId="2F70CAE9" w14:textId="7C430D27" w:rsidR="00BD1315" w:rsidRDefault="00BD1315" w:rsidP="00BD1315">
            <w:pPr>
              <w:rPr>
                <w:szCs w:val="24"/>
              </w:rPr>
            </w:pPr>
            <w:r w:rsidRPr="00EC52AF">
              <w:rPr>
                <w:b/>
              </w:rPr>
              <w:t>&lt;</w:t>
            </w:r>
            <w:r>
              <w:rPr>
                <w:b/>
              </w:rPr>
              <w:t>Way forward</w:t>
            </w:r>
            <w:r w:rsidRPr="00EC52AF">
              <w:rPr>
                <w:b/>
              </w:rPr>
              <w:t>&gt;</w:t>
            </w:r>
            <w:r w:rsidRPr="00EC52AF">
              <w:t xml:space="preserve">: </w:t>
            </w:r>
            <w:r w:rsidRPr="00717666">
              <w:rPr>
                <w:highlight w:val="yellow"/>
              </w:rPr>
              <w:t>RAN4 will decide between following options in the next meeting</w:t>
            </w:r>
          </w:p>
          <w:p w14:paraId="15251A59" w14:textId="77777777" w:rsidR="00BD1315" w:rsidRPr="00EC52AF" w:rsidRDefault="00BD1315" w:rsidP="00BD1315">
            <w:pPr>
              <w:widowControl/>
              <w:numPr>
                <w:ilvl w:val="0"/>
                <w:numId w:val="48"/>
              </w:numPr>
              <w:jc w:val="left"/>
              <w:rPr>
                <w:rFonts w:eastAsia="MS Mincho"/>
                <w:szCs w:val="24"/>
              </w:rPr>
            </w:pPr>
            <w:r>
              <w:rPr>
                <w:rFonts w:eastAsia="MS Mincho"/>
                <w:szCs w:val="24"/>
              </w:rPr>
              <w:t xml:space="preserve">Option 1: No UE RF impact of </w:t>
            </w:r>
            <w:r w:rsidRPr="000D100E">
              <w:rPr>
                <w:szCs w:val="24"/>
                <w:lang w:eastAsia="en-US"/>
              </w:rPr>
              <w:t xml:space="preserve">asymmetric DL </w:t>
            </w:r>
            <w:proofErr w:type="spellStart"/>
            <w:r w:rsidRPr="000D100E">
              <w:rPr>
                <w:szCs w:val="24"/>
                <w:lang w:eastAsia="en-US"/>
              </w:rPr>
              <w:t>sTRP</w:t>
            </w:r>
            <w:proofErr w:type="spellEnd"/>
            <w:r w:rsidRPr="000D100E">
              <w:rPr>
                <w:szCs w:val="24"/>
                <w:lang w:eastAsia="en-US"/>
              </w:rPr>
              <w:t xml:space="preserve">/UL </w:t>
            </w:r>
            <w:proofErr w:type="spellStart"/>
            <w:r w:rsidRPr="000D100E">
              <w:rPr>
                <w:szCs w:val="24"/>
                <w:lang w:eastAsia="en-US"/>
              </w:rPr>
              <w:t>mTRP</w:t>
            </w:r>
            <w:proofErr w:type="spellEnd"/>
          </w:p>
          <w:p w14:paraId="053AC006" w14:textId="7F585A34" w:rsidR="00BD1315" w:rsidRPr="00BD1315" w:rsidRDefault="00BD1315" w:rsidP="00BD1315">
            <w:pPr>
              <w:widowControl/>
              <w:numPr>
                <w:ilvl w:val="0"/>
                <w:numId w:val="48"/>
              </w:numPr>
              <w:jc w:val="left"/>
              <w:rPr>
                <w:szCs w:val="24"/>
              </w:rPr>
            </w:pPr>
            <w:r w:rsidRPr="00E858B1">
              <w:rPr>
                <w:szCs w:val="24"/>
                <w:lang w:eastAsia="en-US"/>
              </w:rPr>
              <w:t xml:space="preserve">Option 2: Adopt following </w:t>
            </w:r>
            <w:proofErr w:type="spellStart"/>
            <w:r w:rsidRPr="00E858B1">
              <w:rPr>
                <w:szCs w:val="24"/>
                <w:lang w:eastAsia="en-US"/>
              </w:rPr>
              <w:t>dCR</w:t>
            </w:r>
            <w:proofErr w:type="spellEnd"/>
            <w:r>
              <w:rPr>
                <w:szCs w:val="24"/>
                <w:lang w:eastAsia="en-US"/>
              </w:rPr>
              <w:t>, where the companies are encouraged to propose</w:t>
            </w:r>
            <w:r w:rsidRPr="00E858B1">
              <w:rPr>
                <w:szCs w:val="24"/>
                <w:lang w:eastAsia="en-US"/>
              </w:rPr>
              <w:t xml:space="preserve"> wording improvement</w:t>
            </w:r>
            <w:r>
              <w:rPr>
                <w:szCs w:val="24"/>
                <w:lang w:eastAsia="en-US"/>
              </w:rPr>
              <w:t>s in the next meeting</w:t>
            </w:r>
          </w:p>
        </w:tc>
      </w:tr>
    </w:tbl>
    <w:p w14:paraId="0A9A82C4" w14:textId="446FF448" w:rsidR="00BD1315" w:rsidRDefault="00BD1315"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lastRenderedPageBreak/>
        <w:t>E</w:t>
      </w:r>
      <w:r>
        <w:rPr>
          <w:rFonts w:ascii="Times New Roman" w:eastAsia="宋体" w:hAnsi="Times New Roman" w:cs="Times New Roman"/>
          <w:color w:val="000000" w:themeColor="text1"/>
          <w:kern w:val="24"/>
          <w:sz w:val="20"/>
          <w:szCs w:val="20"/>
        </w:rPr>
        <w:t>ven the discussion is not related to Scenario#1, all the FFS part</w:t>
      </w:r>
      <w:r w:rsidR="00980801">
        <w:rPr>
          <w:rFonts w:ascii="Times New Roman" w:eastAsia="宋体" w:hAnsi="Times New Roman" w:cs="Times New Roman"/>
          <w:color w:val="000000" w:themeColor="text1"/>
          <w:kern w:val="24"/>
          <w:sz w:val="20"/>
          <w:szCs w:val="20"/>
        </w:rPr>
        <w:t>s</w:t>
      </w:r>
      <w:r>
        <w:rPr>
          <w:rFonts w:ascii="Times New Roman" w:eastAsia="宋体" w:hAnsi="Times New Roman" w:cs="Times New Roman"/>
          <w:color w:val="000000" w:themeColor="text1"/>
          <w:kern w:val="24"/>
          <w:sz w:val="20"/>
          <w:szCs w:val="20"/>
        </w:rPr>
        <w:t xml:space="preserve"> or proposed modification</w:t>
      </w:r>
      <w:r w:rsidR="00980801">
        <w:rPr>
          <w:rFonts w:ascii="Times New Roman" w:eastAsia="宋体" w:hAnsi="Times New Roman" w:cs="Times New Roman"/>
          <w:color w:val="000000" w:themeColor="text1"/>
          <w:kern w:val="24"/>
          <w:sz w:val="20"/>
          <w:szCs w:val="20"/>
        </w:rPr>
        <w:t>s</w:t>
      </w:r>
      <w:r>
        <w:rPr>
          <w:rFonts w:ascii="Times New Roman" w:eastAsia="宋体" w:hAnsi="Times New Roman" w:cs="Times New Roman"/>
          <w:color w:val="000000" w:themeColor="text1"/>
          <w:kern w:val="24"/>
          <w:sz w:val="20"/>
          <w:szCs w:val="20"/>
        </w:rPr>
        <w:t xml:space="preserve"> are for</w:t>
      </w:r>
      <w:r w:rsidR="00BA19FD">
        <w:rPr>
          <w:rFonts w:ascii="Times New Roman" w:eastAsia="宋体" w:hAnsi="Times New Roman" w:cs="Times New Roman"/>
          <w:color w:val="000000" w:themeColor="text1"/>
          <w:kern w:val="24"/>
          <w:sz w:val="20"/>
          <w:szCs w:val="20"/>
        </w:rPr>
        <w:t xml:space="preserve"> the case</w:t>
      </w:r>
      <w:r>
        <w:rPr>
          <w:rFonts w:ascii="Times New Roman" w:eastAsia="宋体" w:hAnsi="Times New Roman" w:cs="Times New Roman"/>
          <w:color w:val="000000" w:themeColor="text1"/>
          <w:kern w:val="24"/>
          <w:sz w:val="20"/>
          <w:szCs w:val="20"/>
        </w:rPr>
        <w:t xml:space="preserve"> the UE is expect to receive SSB from UL TRPs. </w:t>
      </w:r>
    </w:p>
    <w:p w14:paraId="4A05E408" w14:textId="1656DF50" w:rsidR="00BD1315" w:rsidRPr="00537053" w:rsidRDefault="00BD1315" w:rsidP="00F73AA8">
      <w:pPr>
        <w:spacing w:beforeLines="50" w:before="120" w:afterLines="50" w:after="120"/>
        <w:jc w:val="left"/>
        <w:rPr>
          <w:rFonts w:ascii="Times New Roman" w:eastAsia="宋体" w:hAnsi="Times New Roman" w:cs="Times New Roman"/>
          <w:color w:val="000000" w:themeColor="text1"/>
          <w:kern w:val="24"/>
          <w:sz w:val="20"/>
          <w:szCs w:val="20"/>
        </w:rPr>
      </w:pPr>
      <w:r w:rsidRPr="00DC2ACE">
        <w:rPr>
          <w:rFonts w:ascii="Times New Roman" w:hAnsi="Times New Roman" w:cs="Times New Roman"/>
          <w:b/>
          <w:bCs/>
          <w:sz w:val="20"/>
          <w:szCs w:val="20"/>
        </w:rPr>
        <w:t xml:space="preserve">Proposal </w:t>
      </w:r>
      <w:r w:rsidR="00980801">
        <w:rPr>
          <w:rFonts w:ascii="Times New Roman" w:hAnsi="Times New Roman" w:cs="Times New Roman"/>
          <w:b/>
          <w:bCs/>
          <w:sz w:val="20"/>
          <w:szCs w:val="20"/>
        </w:rPr>
        <w:t>1</w:t>
      </w:r>
      <w:r w:rsidRPr="00DC2ACE">
        <w:rPr>
          <w:rFonts w:ascii="Times New Roman" w:hAnsi="Times New Roman" w:cs="Times New Roman"/>
          <w:b/>
          <w:bCs/>
          <w:sz w:val="20"/>
          <w:szCs w:val="20"/>
        </w:rPr>
        <w:t>:</w:t>
      </w:r>
      <w:r>
        <w:rPr>
          <w:rFonts w:ascii="Times New Roman" w:hAnsi="Times New Roman" w:cs="Times New Roman"/>
          <w:b/>
          <w:bCs/>
          <w:sz w:val="20"/>
          <w:szCs w:val="20"/>
        </w:rPr>
        <w:t xml:space="preserve"> For Scenario#1, FR2, reuse the same timing requirements as that of FR1. </w:t>
      </w:r>
      <w:r w:rsidR="00103CDA">
        <w:rPr>
          <w:rFonts w:ascii="Times New Roman" w:hAnsi="Times New Roman" w:cs="Times New Roman"/>
          <w:b/>
          <w:bCs/>
          <w:sz w:val="20"/>
          <w:szCs w:val="20"/>
        </w:rPr>
        <w:t xml:space="preserve">For Scenario#2, since RAN4 sent LS to RAN1 in last meeting, wait for further progress. RAN4 cannot define anything new if no further RAN1 design. </w:t>
      </w:r>
    </w:p>
    <w:p w14:paraId="52D078E2" w14:textId="77777777" w:rsidR="00F73AA8" w:rsidRDefault="00F73AA8" w:rsidP="00F73AA8">
      <w:pPr>
        <w:spacing w:beforeLines="50" w:before="120" w:afterLines="50" w:after="120"/>
        <w:rPr>
          <w:b/>
          <w:bCs/>
        </w:rPr>
      </w:pPr>
    </w:p>
    <w:p w14:paraId="22BA5AF5" w14:textId="52EEB79F" w:rsidR="00F73AA8" w:rsidRPr="00D6613E"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sidRPr="00D6613E">
        <w:rPr>
          <w:rFonts w:ascii="Times New Roman" w:eastAsia="宋体" w:hAnsi="Times New Roman" w:cs="Times New Roman"/>
          <w:color w:val="000000" w:themeColor="text1"/>
          <w:kern w:val="24"/>
          <w:sz w:val="20"/>
          <w:szCs w:val="20"/>
        </w:rPr>
        <w:t xml:space="preserve">For the TCI state switching delay requitements of Rel-19 asymmetric DL </w:t>
      </w:r>
      <w:proofErr w:type="spellStart"/>
      <w:r w:rsidRPr="00D6613E">
        <w:rPr>
          <w:rFonts w:ascii="Times New Roman" w:eastAsia="宋体" w:hAnsi="Times New Roman" w:cs="Times New Roman"/>
          <w:color w:val="000000" w:themeColor="text1"/>
          <w:kern w:val="24"/>
          <w:sz w:val="20"/>
          <w:szCs w:val="20"/>
        </w:rPr>
        <w:t>sTRP</w:t>
      </w:r>
      <w:proofErr w:type="spellEnd"/>
      <w:r w:rsidRPr="00D6613E">
        <w:rPr>
          <w:rFonts w:ascii="Times New Roman" w:eastAsia="宋体" w:hAnsi="Times New Roman" w:cs="Times New Roman"/>
          <w:color w:val="000000" w:themeColor="text1"/>
          <w:kern w:val="24"/>
          <w:sz w:val="20"/>
          <w:szCs w:val="20"/>
        </w:rPr>
        <w:t xml:space="preserve">/UL </w:t>
      </w:r>
      <w:proofErr w:type="spellStart"/>
      <w:r w:rsidRPr="00D6613E">
        <w:rPr>
          <w:rFonts w:ascii="Times New Roman" w:eastAsia="宋体" w:hAnsi="Times New Roman" w:cs="Times New Roman"/>
          <w:color w:val="000000" w:themeColor="text1"/>
          <w:kern w:val="24"/>
          <w:sz w:val="20"/>
          <w:szCs w:val="20"/>
        </w:rPr>
        <w:t>mTRP</w:t>
      </w:r>
      <w:proofErr w:type="spellEnd"/>
      <w:r w:rsidRPr="00D6613E">
        <w:rPr>
          <w:rFonts w:ascii="Times New Roman" w:eastAsia="宋体" w:hAnsi="Times New Roman" w:cs="Times New Roman"/>
          <w:color w:val="000000" w:themeColor="text1"/>
          <w:kern w:val="24"/>
          <w:sz w:val="20"/>
          <w:szCs w:val="20"/>
        </w:rPr>
        <w:t xml:space="preserve"> scenarios, it is still open and the options are listed in [</w:t>
      </w:r>
      <w:r w:rsidR="00D6613E" w:rsidRPr="00D6613E">
        <w:rPr>
          <w:rFonts w:ascii="Times New Roman" w:eastAsia="宋体" w:hAnsi="Times New Roman" w:cs="Times New Roman"/>
          <w:color w:val="000000" w:themeColor="text1"/>
          <w:kern w:val="24"/>
          <w:sz w:val="20"/>
          <w:szCs w:val="20"/>
        </w:rPr>
        <w:t>1</w:t>
      </w:r>
      <w:r w:rsidRPr="00D6613E">
        <w:rPr>
          <w:rFonts w:ascii="Times New Roman" w:eastAsia="宋体" w:hAnsi="Times New Roman" w:cs="Times New Roman"/>
          <w:color w:val="000000" w:themeColor="text1"/>
          <w:kern w:val="24"/>
          <w:sz w:val="20"/>
          <w:szCs w:val="20"/>
        </w:rPr>
        <w:t>] as below:</w:t>
      </w:r>
    </w:p>
    <w:tbl>
      <w:tblPr>
        <w:tblStyle w:val="a7"/>
        <w:tblW w:w="0" w:type="auto"/>
        <w:tblLook w:val="04A0" w:firstRow="1" w:lastRow="0" w:firstColumn="1" w:lastColumn="0" w:noHBand="0" w:noVBand="1"/>
      </w:tblPr>
      <w:tblGrid>
        <w:gridCol w:w="9629"/>
      </w:tblGrid>
      <w:tr w:rsidR="00F73AA8" w:rsidRPr="00D6613E" w14:paraId="3217FD7D" w14:textId="77777777" w:rsidTr="00215751">
        <w:tc>
          <w:tcPr>
            <w:tcW w:w="9629" w:type="dxa"/>
          </w:tcPr>
          <w:p w14:paraId="230E9A6B" w14:textId="77777777" w:rsidR="00D6613E" w:rsidRPr="00D6613E" w:rsidRDefault="00D6613E" w:rsidP="00D6613E">
            <w:pPr>
              <w:snapToGrid w:val="0"/>
              <w:spacing w:after="120"/>
              <w:rPr>
                <w:rFonts w:eastAsia="等线"/>
                <w:b/>
                <w:u w:val="single"/>
              </w:rPr>
            </w:pPr>
            <w:r w:rsidRPr="00D6613E">
              <w:rPr>
                <w:rFonts w:eastAsia="等线"/>
                <w:b/>
                <w:u w:val="single"/>
              </w:rPr>
              <w:t>Issue 2-3: Whether to define UL TCI state activation requirement based on SRS?</w:t>
            </w:r>
          </w:p>
          <w:p w14:paraId="0246B133" w14:textId="77777777" w:rsidR="00D6613E" w:rsidRPr="00D6613E" w:rsidRDefault="00D6613E" w:rsidP="00D6613E">
            <w:pPr>
              <w:spacing w:after="120"/>
            </w:pPr>
            <w:r w:rsidRPr="00D6613E">
              <w:t>Way forward:</w:t>
            </w:r>
          </w:p>
          <w:p w14:paraId="6D089916" w14:textId="77777777" w:rsidR="00D6613E" w:rsidRPr="00D6613E" w:rsidRDefault="00D6613E" w:rsidP="00D6613E">
            <w:pPr>
              <w:snapToGrid w:val="0"/>
              <w:spacing w:after="120"/>
              <w:rPr>
                <w:rFonts w:eastAsia="等线"/>
              </w:rPr>
            </w:pPr>
            <w:r w:rsidRPr="00D6613E">
              <w:rPr>
                <w:rFonts w:eastAsia="等线"/>
                <w:highlight w:val="yellow"/>
              </w:rPr>
              <w:t>Further discuss the two proposals and down-select one proposal in the next meeting:</w:t>
            </w:r>
          </w:p>
          <w:p w14:paraId="7DE5DD99" w14:textId="77777777" w:rsidR="00D6613E" w:rsidRPr="00D6613E" w:rsidRDefault="00D6613E" w:rsidP="00D6613E">
            <w:pPr>
              <w:pStyle w:val="a8"/>
              <w:numPr>
                <w:ilvl w:val="1"/>
                <w:numId w:val="21"/>
              </w:numPr>
              <w:overflowPunct/>
              <w:autoSpaceDE/>
              <w:adjustRightInd/>
              <w:spacing w:after="120" w:line="276" w:lineRule="auto"/>
              <w:ind w:left="780" w:firstLineChars="0"/>
              <w:textAlignment w:val="auto"/>
              <w:rPr>
                <w:rFonts w:eastAsiaTheme="minorEastAsia"/>
                <w:lang w:val="en-US" w:eastAsia="zh-CN"/>
              </w:rPr>
            </w:pPr>
            <w:r w:rsidRPr="00D6613E">
              <w:t>Proposal 1 (Qualcomm, Huawei, MediaTek, Samsung, Apple, QC): No RRM impacts on TCI state switching requirement.</w:t>
            </w:r>
          </w:p>
          <w:p w14:paraId="76732A0B" w14:textId="77777777" w:rsidR="00D6613E" w:rsidRPr="00D6613E" w:rsidRDefault="00D6613E" w:rsidP="00D6613E">
            <w:pPr>
              <w:pStyle w:val="a8"/>
              <w:numPr>
                <w:ilvl w:val="1"/>
                <w:numId w:val="21"/>
              </w:numPr>
              <w:overflowPunct/>
              <w:autoSpaceDE/>
              <w:adjustRightInd/>
              <w:spacing w:after="120" w:line="276" w:lineRule="auto"/>
              <w:ind w:left="780" w:firstLineChars="0"/>
              <w:textAlignment w:val="auto"/>
            </w:pPr>
            <w:r w:rsidRPr="00D6613E">
              <w:t xml:space="preserve">Proposal 3 (Xiaomi, Nokia): </w:t>
            </w:r>
          </w:p>
          <w:p w14:paraId="3B20E4C1" w14:textId="77777777" w:rsidR="00D6613E" w:rsidRPr="00D6613E" w:rsidRDefault="00D6613E" w:rsidP="00C52474">
            <w:pPr>
              <w:pStyle w:val="a8"/>
              <w:numPr>
                <w:ilvl w:val="2"/>
                <w:numId w:val="21"/>
              </w:numPr>
              <w:overflowPunct/>
              <w:autoSpaceDE/>
              <w:adjustRightInd/>
              <w:spacing w:after="120" w:line="276" w:lineRule="auto"/>
              <w:ind w:firstLineChars="0"/>
              <w:textAlignment w:val="auto"/>
            </w:pPr>
            <w:r w:rsidRPr="00D6613E">
              <w:t>Legacy DCI based UL TCI state activation requirement can be re-used for UL TRP.</w:t>
            </w:r>
          </w:p>
          <w:p w14:paraId="77F48438" w14:textId="77777777" w:rsidR="00D6613E" w:rsidRPr="00D6613E" w:rsidRDefault="00D6613E" w:rsidP="00C52474">
            <w:pPr>
              <w:pStyle w:val="a8"/>
              <w:numPr>
                <w:ilvl w:val="2"/>
                <w:numId w:val="21"/>
              </w:numPr>
              <w:overflowPunct/>
              <w:autoSpaceDE/>
              <w:adjustRightInd/>
              <w:spacing w:after="120" w:line="276" w:lineRule="auto"/>
              <w:ind w:firstLineChars="0"/>
              <w:textAlignment w:val="auto"/>
            </w:pPr>
            <w:r w:rsidRPr="00D6613E">
              <w:t>RAN4 only to define MAC CE based UL TCI state activation requirement based on known TCI. The legacy MAC CE based delay requirement can be used as baseline.</w:t>
            </w:r>
          </w:p>
          <w:p w14:paraId="7A815CD0" w14:textId="77777777" w:rsidR="00D6613E" w:rsidRPr="00D6613E" w:rsidRDefault="00D6613E" w:rsidP="00C52474">
            <w:pPr>
              <w:pStyle w:val="a8"/>
              <w:numPr>
                <w:ilvl w:val="2"/>
                <w:numId w:val="21"/>
              </w:numPr>
              <w:overflowPunct/>
              <w:autoSpaceDE/>
              <w:adjustRightInd/>
              <w:spacing w:after="120" w:line="276" w:lineRule="auto"/>
              <w:ind w:firstLineChars="0"/>
              <w:textAlignment w:val="auto"/>
            </w:pPr>
            <w:r w:rsidRPr="00D6613E">
              <w:t>For DL-TRP, legacy UL TCI state activation requirement based on DL-RS can be re-used. no need to define SRS based ULTCI state activation delay.</w:t>
            </w:r>
          </w:p>
          <w:p w14:paraId="70135E5D" w14:textId="4FD29D29" w:rsidR="00F73AA8" w:rsidRPr="00D6613E" w:rsidRDefault="00D6613E" w:rsidP="00C52474">
            <w:pPr>
              <w:pStyle w:val="a8"/>
              <w:numPr>
                <w:ilvl w:val="2"/>
                <w:numId w:val="21"/>
              </w:numPr>
              <w:overflowPunct/>
              <w:autoSpaceDE/>
              <w:adjustRightInd/>
              <w:spacing w:after="120" w:line="276" w:lineRule="auto"/>
              <w:ind w:firstLineChars="0"/>
              <w:textAlignment w:val="auto"/>
            </w:pPr>
            <w:r w:rsidRPr="00D6613E">
              <w:t>Further refine the wording for P3 in the WF, if needed</w:t>
            </w:r>
          </w:p>
        </w:tc>
      </w:tr>
    </w:tbl>
    <w:p w14:paraId="6FCB5745" w14:textId="1F5E4E87" w:rsidR="00F73AA8" w:rsidRPr="002C1149"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sidRPr="002C1149">
        <w:rPr>
          <w:rFonts w:ascii="Times New Roman" w:eastAsia="宋体" w:hAnsi="Times New Roman" w:cs="Times New Roman"/>
          <w:color w:val="000000" w:themeColor="text1"/>
          <w:kern w:val="24"/>
          <w:sz w:val="20"/>
          <w:szCs w:val="20"/>
        </w:rPr>
        <w:t xml:space="preserve">In last </w:t>
      </w:r>
      <w:r w:rsidR="00C52474">
        <w:rPr>
          <w:rFonts w:ascii="Times New Roman" w:eastAsia="宋体" w:hAnsi="Times New Roman" w:cs="Times New Roman"/>
          <w:color w:val="000000" w:themeColor="text1"/>
          <w:kern w:val="24"/>
          <w:sz w:val="20"/>
          <w:szCs w:val="20"/>
        </w:rPr>
        <w:t xml:space="preserve">two </w:t>
      </w:r>
      <w:r w:rsidRPr="002C1149">
        <w:rPr>
          <w:rFonts w:ascii="Times New Roman" w:eastAsia="宋体" w:hAnsi="Times New Roman" w:cs="Times New Roman"/>
          <w:color w:val="000000" w:themeColor="text1"/>
          <w:kern w:val="24"/>
          <w:sz w:val="20"/>
          <w:szCs w:val="20"/>
        </w:rPr>
        <w:t>meeting</w:t>
      </w:r>
      <w:r w:rsidR="00C52474">
        <w:rPr>
          <w:rFonts w:ascii="Times New Roman" w:eastAsia="宋体" w:hAnsi="Times New Roman" w:cs="Times New Roman"/>
          <w:color w:val="000000" w:themeColor="text1"/>
          <w:kern w:val="24"/>
          <w:sz w:val="20"/>
          <w:szCs w:val="20"/>
        </w:rPr>
        <w:t>s</w:t>
      </w:r>
      <w:r w:rsidRPr="002C1149">
        <w:rPr>
          <w:rFonts w:ascii="Times New Roman" w:eastAsia="宋体" w:hAnsi="Times New Roman" w:cs="Times New Roman"/>
          <w:color w:val="000000" w:themeColor="text1"/>
          <w:kern w:val="24"/>
          <w:sz w:val="20"/>
          <w:szCs w:val="20"/>
        </w:rPr>
        <w:t xml:space="preserve">, </w:t>
      </w:r>
      <w:r>
        <w:rPr>
          <w:rFonts w:ascii="Times New Roman" w:eastAsia="宋体" w:hAnsi="Times New Roman" w:cs="Times New Roman"/>
          <w:color w:val="000000" w:themeColor="text1"/>
          <w:kern w:val="24"/>
          <w:sz w:val="20"/>
          <w:szCs w:val="20"/>
        </w:rPr>
        <w:t xml:space="preserve">we analyzed the UL TCI state switching based on SRS. Let’s </w:t>
      </w:r>
      <w:r w:rsidRPr="002849F3">
        <w:rPr>
          <w:rFonts w:ascii="Times New Roman" w:eastAsia="宋体" w:hAnsi="Times New Roman" w:cs="Times New Roman"/>
          <w:color w:val="000000" w:themeColor="text1"/>
          <w:kern w:val="24"/>
          <w:sz w:val="20"/>
          <w:szCs w:val="20"/>
        </w:rPr>
        <w:t>emphasize</w:t>
      </w:r>
      <w:r>
        <w:rPr>
          <w:rFonts w:ascii="Times New Roman" w:eastAsia="宋体" w:hAnsi="Times New Roman" w:cs="Times New Roman"/>
          <w:color w:val="000000" w:themeColor="text1"/>
          <w:kern w:val="24"/>
          <w:sz w:val="20"/>
          <w:szCs w:val="20"/>
        </w:rPr>
        <w:t xml:space="preserve"> our analysis again.</w:t>
      </w:r>
    </w:p>
    <w:p w14:paraId="4BC490F5" w14:textId="0CA529E4" w:rsidR="00C52474" w:rsidRDefault="00F73AA8" w:rsidP="00980801">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F</w:t>
      </w:r>
      <w:r>
        <w:rPr>
          <w:rFonts w:ascii="Times New Roman" w:eastAsia="宋体" w:hAnsi="Times New Roman" w:cs="Times New Roman"/>
          <w:color w:val="000000" w:themeColor="text1"/>
          <w:kern w:val="24"/>
          <w:sz w:val="20"/>
          <w:szCs w:val="20"/>
        </w:rPr>
        <w:t xml:space="preserve">irstly, </w:t>
      </w:r>
      <w:r w:rsidR="00C52474">
        <w:rPr>
          <w:rFonts w:ascii="Times New Roman" w:eastAsia="宋体" w:hAnsi="Times New Roman" w:cs="Times New Roman"/>
          <w:color w:val="000000" w:themeColor="text1"/>
          <w:kern w:val="24"/>
          <w:sz w:val="20"/>
          <w:szCs w:val="20"/>
        </w:rPr>
        <w:t xml:space="preserve">let’s aligned with the assumption. </w:t>
      </w:r>
      <w:r w:rsidR="00C52474">
        <w:rPr>
          <w:rFonts w:ascii="Times New Roman" w:eastAsia="宋体" w:hAnsi="Times New Roman" w:cs="Times New Roman"/>
          <w:color w:val="000000" w:themeColor="text1"/>
          <w:kern w:val="24"/>
          <w:sz w:val="20"/>
          <w:szCs w:val="20"/>
        </w:rPr>
        <w:br/>
        <w:t>In RAN1 agreement:</w:t>
      </w:r>
    </w:p>
    <w:tbl>
      <w:tblPr>
        <w:tblStyle w:val="a7"/>
        <w:tblW w:w="0" w:type="auto"/>
        <w:tblLook w:val="04A0" w:firstRow="1" w:lastRow="0" w:firstColumn="1" w:lastColumn="0" w:noHBand="0" w:noVBand="1"/>
      </w:tblPr>
      <w:tblGrid>
        <w:gridCol w:w="9629"/>
      </w:tblGrid>
      <w:tr w:rsidR="00C52474" w14:paraId="4EAAAC05" w14:textId="77777777" w:rsidTr="00C52474">
        <w:tc>
          <w:tcPr>
            <w:tcW w:w="9629" w:type="dxa"/>
          </w:tcPr>
          <w:p w14:paraId="5B0B5CC1" w14:textId="02CAFE92" w:rsidR="00C52474" w:rsidRDefault="00C52474" w:rsidP="00C52474">
            <w:pPr>
              <w:rPr>
                <w:rFonts w:eastAsia="等线"/>
                <w:lang w:val="en-CA"/>
              </w:rPr>
            </w:pPr>
            <w:r>
              <w:rPr>
                <w:rFonts w:eastAsia="等线" w:hint="eastAsia"/>
                <w:lang w:val="en-CA"/>
              </w:rPr>
              <w:t>R</w:t>
            </w:r>
            <w:r>
              <w:rPr>
                <w:rFonts w:eastAsia="等线"/>
                <w:lang w:val="en-CA"/>
              </w:rPr>
              <w:t>AN1#117 agreement</w:t>
            </w:r>
          </w:p>
          <w:p w14:paraId="0496252B" w14:textId="1B34FE45" w:rsidR="00C52474" w:rsidRPr="00FF6CB5" w:rsidRDefault="00C52474" w:rsidP="00C52474">
            <w:pPr>
              <w:rPr>
                <w:rFonts w:eastAsia="等线"/>
                <w:lang w:val="en-CA"/>
              </w:rPr>
            </w:pPr>
            <w:r w:rsidRPr="00FF6CB5">
              <w:rPr>
                <w:rFonts w:eastAsia="等线"/>
                <w:lang w:val="en-CA"/>
              </w:rPr>
              <w:t xml:space="preserve">For the asymmetric DL </w:t>
            </w:r>
            <w:proofErr w:type="spellStart"/>
            <w:r w:rsidRPr="00FF6CB5">
              <w:rPr>
                <w:rFonts w:eastAsia="等线"/>
                <w:lang w:val="en-CA"/>
              </w:rPr>
              <w:t>sTRP</w:t>
            </w:r>
            <w:proofErr w:type="spellEnd"/>
            <w:r w:rsidRPr="00FF6CB5">
              <w:rPr>
                <w:rFonts w:eastAsia="等线"/>
                <w:lang w:val="en-CA"/>
              </w:rPr>
              <w:t xml:space="preserve">/UL </w:t>
            </w:r>
            <w:proofErr w:type="spellStart"/>
            <w:r w:rsidRPr="00FF6CB5">
              <w:rPr>
                <w:rFonts w:eastAsia="等线"/>
                <w:lang w:val="en-CA"/>
              </w:rPr>
              <w:t>mTRP</w:t>
            </w:r>
            <w:proofErr w:type="spellEnd"/>
            <w:r w:rsidRPr="00FF6CB5">
              <w:rPr>
                <w:rFonts w:eastAsia="等线"/>
                <w:lang w:val="en-CA"/>
              </w:rPr>
              <w:t xml:space="preserve"> deployment scenario, reuse the rel-17 unified TCI/ICBM and rel-18 unified TCI framework:</w:t>
            </w:r>
          </w:p>
          <w:p w14:paraId="0F1CA4F0" w14:textId="77777777" w:rsidR="00C52474" w:rsidRPr="00FF6CB5" w:rsidRDefault="00C52474" w:rsidP="00C52474">
            <w:pPr>
              <w:widowControl/>
              <w:numPr>
                <w:ilvl w:val="0"/>
                <w:numId w:val="20"/>
              </w:numPr>
              <w:rPr>
                <w:rFonts w:eastAsia="等线"/>
                <w:lang w:val="en-CA"/>
              </w:rPr>
            </w:pPr>
            <w:r w:rsidRPr="00FF6CB5">
              <w:rPr>
                <w:rFonts w:eastAsia="等线"/>
                <w:lang w:val="en-CA"/>
              </w:rPr>
              <w:t>When rel-17 unified TCI/ICBM is configured:</w:t>
            </w:r>
          </w:p>
          <w:p w14:paraId="58F03525" w14:textId="77777777" w:rsidR="00C52474" w:rsidRPr="00FF6CB5" w:rsidRDefault="00C52474" w:rsidP="00C52474">
            <w:pPr>
              <w:widowControl/>
              <w:numPr>
                <w:ilvl w:val="1"/>
                <w:numId w:val="20"/>
              </w:numPr>
              <w:rPr>
                <w:rFonts w:eastAsia="等线"/>
                <w:lang w:val="en-CA"/>
              </w:rPr>
            </w:pPr>
            <w:r w:rsidRPr="00FF6CB5">
              <w:rPr>
                <w:rFonts w:eastAsia="等线"/>
                <w:lang w:val="en-CA"/>
              </w:rPr>
              <w:t>For FR1: one joint TCI state or {one DL TCI state + one UL TCI state} can be applied.</w:t>
            </w:r>
          </w:p>
          <w:p w14:paraId="1233C1DB" w14:textId="77777777" w:rsidR="00C52474" w:rsidRPr="00FF6CB5" w:rsidRDefault="00C52474" w:rsidP="00C52474">
            <w:pPr>
              <w:widowControl/>
              <w:numPr>
                <w:ilvl w:val="1"/>
                <w:numId w:val="20"/>
              </w:numPr>
              <w:rPr>
                <w:rFonts w:eastAsia="等线"/>
                <w:lang w:val="en-CA"/>
              </w:rPr>
            </w:pPr>
            <w:r w:rsidRPr="00FF6CB5">
              <w:rPr>
                <w:rFonts w:eastAsia="等线"/>
                <w:lang w:val="en-CA"/>
              </w:rPr>
              <w:t>For FR2: {one DL TCI state + one UL TCI state} can be applied.</w:t>
            </w:r>
          </w:p>
          <w:p w14:paraId="66A0BA3C" w14:textId="77777777" w:rsidR="00C52474" w:rsidRPr="00FF6CB5" w:rsidRDefault="00C52474" w:rsidP="00C52474">
            <w:pPr>
              <w:widowControl/>
              <w:numPr>
                <w:ilvl w:val="0"/>
                <w:numId w:val="20"/>
              </w:numPr>
              <w:rPr>
                <w:rFonts w:eastAsia="等线"/>
                <w:lang w:val="en-CA"/>
              </w:rPr>
            </w:pPr>
            <w:r w:rsidRPr="00FF6CB5">
              <w:rPr>
                <w:rFonts w:eastAsia="等线"/>
                <w:lang w:val="en-CA"/>
              </w:rPr>
              <w:t>When rel-18 unified TCI is configured:</w:t>
            </w:r>
          </w:p>
          <w:p w14:paraId="3F157B2B" w14:textId="77777777" w:rsidR="00C52474" w:rsidRPr="00FF6CB5" w:rsidRDefault="00C52474" w:rsidP="00C52474">
            <w:pPr>
              <w:widowControl/>
              <w:numPr>
                <w:ilvl w:val="1"/>
                <w:numId w:val="20"/>
              </w:numPr>
              <w:rPr>
                <w:rFonts w:eastAsia="等线"/>
                <w:lang w:val="en-CA"/>
              </w:rPr>
            </w:pPr>
            <w:r w:rsidRPr="00FF6CB5">
              <w:rPr>
                <w:rFonts w:eastAsia="等线"/>
                <w:lang w:val="en-CA"/>
              </w:rPr>
              <w:t>For FR1: up to two joint TCI states or {one DL TCI state + up to two UL TCI state} can be applied.</w:t>
            </w:r>
          </w:p>
          <w:p w14:paraId="30AF4304" w14:textId="197DD9EF" w:rsidR="00C52474" w:rsidRPr="00C52474" w:rsidRDefault="00C52474" w:rsidP="00C52474">
            <w:pPr>
              <w:widowControl/>
              <w:numPr>
                <w:ilvl w:val="1"/>
                <w:numId w:val="20"/>
              </w:numPr>
              <w:rPr>
                <w:rFonts w:eastAsia="等线"/>
                <w:lang w:val="en-CA"/>
              </w:rPr>
            </w:pPr>
            <w:r w:rsidRPr="00FF6CB5">
              <w:rPr>
                <w:rFonts w:eastAsia="等线"/>
                <w:lang w:val="en-CA"/>
              </w:rPr>
              <w:t>For FR2: {one DL TCI state + up to two UL TCI states} can be applied.</w:t>
            </w:r>
          </w:p>
        </w:tc>
      </w:tr>
    </w:tbl>
    <w:p w14:paraId="474651CE" w14:textId="6CC885A8" w:rsidR="00C52474" w:rsidRDefault="00C52474" w:rsidP="00F73AA8">
      <w:pPr>
        <w:spacing w:beforeLines="50" w:before="120" w:afterLines="50" w:after="120"/>
        <w:jc w:val="left"/>
        <w:rPr>
          <w:rFonts w:ascii="Times New Roman" w:eastAsia="宋体" w:hAnsi="Times New Roman" w:cs="Times New Roman"/>
          <w:color w:val="000000" w:themeColor="text1"/>
          <w:kern w:val="24"/>
          <w:sz w:val="20"/>
          <w:szCs w:val="20"/>
        </w:rPr>
      </w:pPr>
    </w:p>
    <w:p w14:paraId="63BC7C49" w14:textId="13B48D4A" w:rsidR="00C52474" w:rsidRDefault="00C52474"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According to RAN1 agreement, joint TCI states is not supported in FR2. Only separate TCI UL state can be supported in FR2. </w:t>
      </w:r>
    </w:p>
    <w:p w14:paraId="07F8D3E4" w14:textId="65C9CED2" w:rsidR="00B35B0F" w:rsidRDefault="00C52474"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F</w:t>
      </w:r>
      <w:r w:rsidR="00F73AA8">
        <w:rPr>
          <w:rFonts w:ascii="Times New Roman" w:eastAsia="宋体" w:hAnsi="Times New Roman" w:cs="Times New Roman"/>
          <w:color w:val="000000" w:themeColor="text1"/>
          <w:kern w:val="24"/>
          <w:sz w:val="20"/>
          <w:szCs w:val="20"/>
        </w:rPr>
        <w:t xml:space="preserve">or FR2, </w:t>
      </w:r>
      <w:r w:rsidR="00B35B0F">
        <w:rPr>
          <w:rFonts w:ascii="Times New Roman" w:eastAsia="宋体" w:hAnsi="Times New Roman" w:cs="Times New Roman"/>
          <w:color w:val="000000" w:themeColor="text1"/>
          <w:kern w:val="24"/>
          <w:sz w:val="20"/>
          <w:szCs w:val="20"/>
        </w:rPr>
        <w:t xml:space="preserve">even if there can be </w:t>
      </w:r>
      <w:r w:rsidR="00550FAB">
        <w:rPr>
          <w:rFonts w:ascii="Times New Roman" w:eastAsia="宋体" w:hAnsi="Times New Roman" w:cs="Times New Roman"/>
          <w:color w:val="000000" w:themeColor="text1"/>
          <w:kern w:val="24"/>
          <w:sz w:val="20"/>
          <w:szCs w:val="20"/>
        </w:rPr>
        <w:t xml:space="preserve">expected </w:t>
      </w:r>
      <w:r w:rsidR="00B35B0F">
        <w:rPr>
          <w:rFonts w:ascii="Times New Roman" w:eastAsia="宋体" w:hAnsi="Times New Roman" w:cs="Times New Roman"/>
          <w:color w:val="000000" w:themeColor="text1"/>
          <w:kern w:val="24"/>
          <w:sz w:val="20"/>
          <w:szCs w:val="20"/>
        </w:rPr>
        <w:t xml:space="preserve">SSB in Scenario#2, </w:t>
      </w:r>
      <w:r w:rsidR="00550FAB">
        <w:rPr>
          <w:rFonts w:ascii="Times New Roman" w:eastAsia="宋体" w:hAnsi="Times New Roman" w:cs="Times New Roman"/>
          <w:color w:val="000000" w:themeColor="text1"/>
          <w:kern w:val="24"/>
          <w:sz w:val="20"/>
          <w:szCs w:val="20"/>
        </w:rPr>
        <w:t>if the UL TCI state can be associated to SSB</w:t>
      </w:r>
      <w:r w:rsidR="00980801">
        <w:rPr>
          <w:rFonts w:ascii="Times New Roman" w:eastAsia="宋体" w:hAnsi="Times New Roman" w:cs="Times New Roman"/>
          <w:color w:val="000000" w:themeColor="text1"/>
          <w:kern w:val="24"/>
          <w:sz w:val="20"/>
          <w:szCs w:val="20"/>
        </w:rPr>
        <w:t xml:space="preserve"> when there is on PL-offset is configured, it is just the legacy case and </w:t>
      </w:r>
      <w:r w:rsidR="00550FAB">
        <w:rPr>
          <w:rFonts w:ascii="Times New Roman" w:eastAsia="宋体" w:hAnsi="Times New Roman" w:cs="Times New Roman"/>
          <w:color w:val="000000" w:themeColor="text1"/>
          <w:kern w:val="24"/>
          <w:sz w:val="20"/>
          <w:szCs w:val="20"/>
        </w:rPr>
        <w:t>the requirements</w:t>
      </w:r>
      <w:r w:rsidR="00980801">
        <w:rPr>
          <w:rFonts w:ascii="Times New Roman" w:eastAsia="宋体" w:hAnsi="Times New Roman" w:cs="Times New Roman"/>
          <w:color w:val="000000" w:themeColor="text1"/>
          <w:kern w:val="24"/>
          <w:sz w:val="20"/>
          <w:szCs w:val="20"/>
        </w:rPr>
        <w:t xml:space="preserve"> associated with DL RS</w:t>
      </w:r>
      <w:r w:rsidR="00550FAB">
        <w:rPr>
          <w:rFonts w:ascii="Times New Roman" w:eastAsia="宋体" w:hAnsi="Times New Roman" w:cs="Times New Roman"/>
          <w:color w:val="000000" w:themeColor="text1"/>
          <w:kern w:val="24"/>
          <w:sz w:val="20"/>
          <w:szCs w:val="20"/>
        </w:rPr>
        <w:t xml:space="preserve"> </w:t>
      </w:r>
      <w:r w:rsidR="00980801">
        <w:rPr>
          <w:rFonts w:ascii="Times New Roman" w:eastAsia="宋体" w:hAnsi="Times New Roman" w:cs="Times New Roman"/>
          <w:color w:val="000000" w:themeColor="text1"/>
          <w:kern w:val="24"/>
          <w:sz w:val="20"/>
          <w:szCs w:val="20"/>
        </w:rPr>
        <w:t>have been specified in</w:t>
      </w:r>
      <w:r w:rsidR="00550FAB">
        <w:rPr>
          <w:rFonts w:ascii="Times New Roman" w:eastAsia="宋体" w:hAnsi="Times New Roman" w:cs="Times New Roman"/>
          <w:color w:val="000000" w:themeColor="text1"/>
          <w:kern w:val="24"/>
          <w:sz w:val="20"/>
          <w:szCs w:val="20"/>
        </w:rPr>
        <w:t xml:space="preserve"> existing requirements in Rel-17/Rel-18. </w:t>
      </w:r>
    </w:p>
    <w:p w14:paraId="6EEF24E5" w14:textId="5C89FFC7" w:rsidR="00550FAB" w:rsidRDefault="00550FAB"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n Proposal 3</w:t>
      </w:r>
      <w:r w:rsidR="00980801">
        <w:rPr>
          <w:rFonts w:ascii="Times New Roman" w:eastAsia="宋体" w:hAnsi="Times New Roman" w:cs="Times New Roman"/>
          <w:color w:val="000000" w:themeColor="text1"/>
          <w:kern w:val="24"/>
          <w:sz w:val="20"/>
          <w:szCs w:val="20"/>
        </w:rPr>
        <w:t xml:space="preserve"> in the WF of last meeting</w:t>
      </w:r>
      <w:r>
        <w:rPr>
          <w:rFonts w:ascii="Times New Roman" w:eastAsia="宋体" w:hAnsi="Times New Roman" w:cs="Times New Roman"/>
          <w:color w:val="000000" w:themeColor="text1"/>
          <w:kern w:val="24"/>
          <w:sz w:val="20"/>
          <w:szCs w:val="20"/>
        </w:rPr>
        <w:t>, it is proposed to “</w:t>
      </w:r>
      <w:r w:rsidRPr="00550FAB">
        <w:rPr>
          <w:rFonts w:ascii="Times New Roman" w:eastAsia="宋体" w:hAnsi="Times New Roman" w:cs="Times New Roman"/>
          <w:color w:val="000000" w:themeColor="text1"/>
          <w:kern w:val="24"/>
          <w:sz w:val="20"/>
          <w:szCs w:val="20"/>
        </w:rPr>
        <w:t>RAN4 only to define MAC CE based UL TCI state activation requirement based on known TCI. The legacy MAC CE based delay requirement can be used as baseline</w:t>
      </w:r>
      <w:r>
        <w:rPr>
          <w:rFonts w:ascii="Times New Roman" w:eastAsia="宋体" w:hAnsi="Times New Roman" w:cs="Times New Roman"/>
          <w:color w:val="000000" w:themeColor="text1"/>
          <w:kern w:val="24"/>
          <w:sz w:val="20"/>
          <w:szCs w:val="20"/>
        </w:rPr>
        <w:t>”.</w:t>
      </w:r>
    </w:p>
    <w:p w14:paraId="0A797C83" w14:textId="2837717D" w:rsidR="00F73AA8" w:rsidRDefault="00550FAB"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 xml:space="preserve">he first </w:t>
      </w:r>
      <w:r w:rsidR="00980801">
        <w:rPr>
          <w:rFonts w:ascii="Times New Roman" w:eastAsia="宋体" w:hAnsi="Times New Roman" w:cs="Times New Roman"/>
          <w:color w:val="000000" w:themeColor="text1"/>
          <w:kern w:val="24"/>
          <w:sz w:val="20"/>
          <w:szCs w:val="20"/>
        </w:rPr>
        <w:t xml:space="preserve">question is what is known TCI? </w:t>
      </w:r>
    </w:p>
    <w:p w14:paraId="71AA6004" w14:textId="7B961DB6" w:rsidR="00F73AA8"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n uplink TCI, there are two types of RS. One if </w:t>
      </w:r>
      <w:proofErr w:type="spellStart"/>
      <w:r w:rsidRPr="00FC4353">
        <w:rPr>
          <w:rFonts w:ascii="Times New Roman" w:eastAsia="宋体" w:hAnsi="Times New Roman" w:cs="Times New Roman"/>
          <w:color w:val="000000" w:themeColor="text1"/>
          <w:kern w:val="24"/>
          <w:sz w:val="20"/>
          <w:szCs w:val="20"/>
        </w:rPr>
        <w:t>referenceSignal</w:t>
      </w:r>
      <w:proofErr w:type="spellEnd"/>
      <w:r w:rsidRPr="00FC4353">
        <w:rPr>
          <w:rFonts w:ascii="Times New Roman" w:eastAsia="宋体" w:hAnsi="Times New Roman" w:cs="Times New Roman"/>
          <w:color w:val="000000" w:themeColor="text1"/>
          <w:kern w:val="24"/>
          <w:sz w:val="20"/>
          <w:szCs w:val="20"/>
        </w:rPr>
        <w:t xml:space="preserve"> which we called source RS (SRS in FR2 above)</w:t>
      </w:r>
      <w:r>
        <w:rPr>
          <w:rFonts w:ascii="Times New Roman" w:eastAsia="宋体" w:hAnsi="Times New Roman" w:cs="Times New Roman"/>
          <w:color w:val="000000" w:themeColor="text1"/>
          <w:kern w:val="24"/>
          <w:sz w:val="20"/>
          <w:szCs w:val="20"/>
        </w:rPr>
        <w:t xml:space="preserve">. The </w:t>
      </w:r>
      <w:r>
        <w:rPr>
          <w:rFonts w:ascii="Times New Roman" w:eastAsia="宋体" w:hAnsi="Times New Roman" w:cs="Times New Roman"/>
          <w:color w:val="000000" w:themeColor="text1"/>
          <w:kern w:val="24"/>
          <w:sz w:val="20"/>
          <w:szCs w:val="20"/>
        </w:rPr>
        <w:lastRenderedPageBreak/>
        <w:t xml:space="preserve">other is </w:t>
      </w:r>
      <w:proofErr w:type="spellStart"/>
      <w:r w:rsidRPr="00FC4353">
        <w:rPr>
          <w:rFonts w:ascii="Times New Roman" w:eastAsia="宋体" w:hAnsi="Times New Roman" w:cs="Times New Roman"/>
          <w:color w:val="000000" w:themeColor="text1"/>
          <w:kern w:val="24"/>
          <w:sz w:val="20"/>
          <w:szCs w:val="20"/>
        </w:rPr>
        <w:t>pathlossReferenceRS</w:t>
      </w:r>
      <w:proofErr w:type="spellEnd"/>
      <w:r>
        <w:rPr>
          <w:rFonts w:ascii="Times New Roman" w:eastAsia="宋体" w:hAnsi="Times New Roman" w:cs="Times New Roman"/>
          <w:color w:val="000000" w:themeColor="text1"/>
          <w:kern w:val="24"/>
          <w:sz w:val="20"/>
          <w:szCs w:val="20"/>
        </w:rPr>
        <w:t>. In UL-TRP, the power control is using PL-RS offset + PL-RS in DL/UL TRP</w:t>
      </w:r>
      <w:r w:rsidR="00980801">
        <w:rPr>
          <w:rFonts w:ascii="Times New Roman" w:eastAsia="宋体" w:hAnsi="Times New Roman" w:cs="Times New Roman"/>
          <w:color w:val="000000" w:themeColor="text1"/>
          <w:kern w:val="24"/>
          <w:sz w:val="20"/>
          <w:szCs w:val="20"/>
        </w:rPr>
        <w:t xml:space="preserve"> </w:t>
      </w:r>
      <w:r w:rsidR="00980801">
        <w:rPr>
          <w:rFonts w:ascii="Times New Roman" w:eastAsia="宋体" w:hAnsi="Times New Roman" w:cs="Times New Roman" w:hint="eastAsia"/>
          <w:color w:val="000000" w:themeColor="text1"/>
          <w:kern w:val="24"/>
          <w:sz w:val="20"/>
          <w:szCs w:val="20"/>
        </w:rPr>
        <w:t>if</w:t>
      </w:r>
      <w:r w:rsidR="00980801">
        <w:rPr>
          <w:rFonts w:ascii="Times New Roman" w:eastAsia="宋体" w:hAnsi="Times New Roman" w:cs="Times New Roman"/>
          <w:color w:val="000000" w:themeColor="text1"/>
          <w:kern w:val="24"/>
          <w:sz w:val="20"/>
          <w:szCs w:val="20"/>
        </w:rPr>
        <w:t xml:space="preserve"> PL offset is configured</w:t>
      </w:r>
      <w:r>
        <w:rPr>
          <w:rFonts w:ascii="Times New Roman" w:eastAsia="宋体" w:hAnsi="Times New Roman" w:cs="Times New Roman"/>
          <w:color w:val="000000" w:themeColor="text1"/>
          <w:kern w:val="24"/>
          <w:sz w:val="20"/>
          <w:szCs w:val="20"/>
        </w:rPr>
        <w:t>.</w:t>
      </w:r>
    </w:p>
    <w:p w14:paraId="30325CA9" w14:textId="1FC4B03C" w:rsidR="00F73AA8"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If the known condition of target TCI is defined, it can contain: known condition of source RS</w:t>
      </w:r>
      <w:r w:rsidR="00980801">
        <w:rPr>
          <w:rFonts w:ascii="Times New Roman" w:eastAsia="宋体" w:hAnsi="Times New Roman" w:cs="Times New Roman"/>
          <w:color w:val="000000" w:themeColor="text1"/>
          <w:kern w:val="24"/>
          <w:sz w:val="20"/>
          <w:szCs w:val="20"/>
        </w:rPr>
        <w:t>;</w:t>
      </w:r>
      <w:r>
        <w:rPr>
          <w:rFonts w:ascii="Times New Roman" w:eastAsia="宋体" w:hAnsi="Times New Roman" w:cs="Times New Roman"/>
          <w:color w:val="000000" w:themeColor="text1"/>
          <w:kern w:val="24"/>
          <w:sz w:val="20"/>
          <w:szCs w:val="20"/>
        </w:rPr>
        <w:t xml:space="preserve"> known condition of PL-RS in another TRP and relationship with PL-RS offset. </w:t>
      </w:r>
    </w:p>
    <w:p w14:paraId="57A9B98C" w14:textId="68642190" w:rsidR="00980801" w:rsidRDefault="00980801"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The first </w:t>
      </w:r>
      <w:r w:rsidRPr="00980801">
        <w:rPr>
          <w:rFonts w:ascii="Times New Roman" w:eastAsia="宋体" w:hAnsi="Times New Roman" w:cs="Times New Roman"/>
          <w:color w:val="000000" w:themeColor="text1"/>
          <w:kern w:val="24"/>
          <w:sz w:val="20"/>
          <w:szCs w:val="20"/>
        </w:rPr>
        <w:t>challenge how to define known condition for SRS. For uplink TCI state, the only thing is the spatial info of the beams.</w:t>
      </w:r>
    </w:p>
    <w:p w14:paraId="171985C1" w14:textId="256E1E97" w:rsidR="00F73AA8"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legacy Rel-17 </w:t>
      </w:r>
      <w:proofErr w:type="spellStart"/>
      <w:r>
        <w:rPr>
          <w:rFonts w:ascii="Times New Roman" w:eastAsia="宋体" w:hAnsi="Times New Roman" w:cs="Times New Roman"/>
          <w:color w:val="000000" w:themeColor="text1"/>
          <w:kern w:val="24"/>
          <w:sz w:val="20"/>
          <w:szCs w:val="20"/>
        </w:rPr>
        <w:t>feMIMO</w:t>
      </w:r>
      <w:proofErr w:type="spellEnd"/>
      <w:r>
        <w:rPr>
          <w:rFonts w:ascii="Times New Roman" w:eastAsia="宋体" w:hAnsi="Times New Roman" w:cs="Times New Roman"/>
          <w:color w:val="000000" w:themeColor="text1"/>
          <w:kern w:val="24"/>
          <w:sz w:val="20"/>
          <w:szCs w:val="20"/>
        </w:rPr>
        <w:t xml:space="preserve"> discussion, the similar discussion on the known condition of source RS as SRS were discussed and finally, the conclusion is it is hard to define the known condition of SRS. </w:t>
      </w:r>
      <w:r w:rsidR="00550FAB">
        <w:rPr>
          <w:rFonts w:ascii="Times New Roman" w:eastAsia="宋体" w:hAnsi="Times New Roman" w:cs="Times New Roman"/>
          <w:color w:val="000000" w:themeColor="text1"/>
          <w:kern w:val="24"/>
          <w:sz w:val="20"/>
          <w:szCs w:val="20"/>
        </w:rPr>
        <w:t xml:space="preserve">From the SRS spatial, it depends on the Tx switching. </w:t>
      </w:r>
      <w:r w:rsidR="00F26EDF">
        <w:rPr>
          <w:rFonts w:ascii="Times New Roman" w:eastAsia="宋体" w:hAnsi="Times New Roman" w:cs="Times New Roman"/>
          <w:color w:val="000000" w:themeColor="text1"/>
          <w:kern w:val="24"/>
          <w:sz w:val="20"/>
          <w:szCs w:val="20"/>
        </w:rPr>
        <w:t xml:space="preserve">For the known condition of PL-RS in another TRP, the legacy condition can be reused. </w:t>
      </w:r>
      <w:r w:rsidR="00482E09">
        <w:rPr>
          <w:rFonts w:ascii="Times New Roman" w:eastAsia="宋体" w:hAnsi="Times New Roman" w:cs="Times New Roman" w:hint="eastAsia"/>
          <w:color w:val="000000" w:themeColor="text1"/>
          <w:kern w:val="24"/>
          <w:sz w:val="20"/>
          <w:szCs w:val="20"/>
        </w:rPr>
        <w:t>Thus</w:t>
      </w:r>
      <w:r w:rsidR="00482E09">
        <w:rPr>
          <w:rFonts w:ascii="Times New Roman" w:eastAsia="宋体" w:hAnsi="Times New Roman" w:cs="Times New Roman"/>
          <w:color w:val="000000" w:themeColor="text1"/>
          <w:kern w:val="24"/>
          <w:sz w:val="20"/>
          <w:szCs w:val="20"/>
        </w:rPr>
        <w:t xml:space="preserve">, </w:t>
      </w:r>
      <w:r w:rsidR="00F26EDF">
        <w:rPr>
          <w:rFonts w:ascii="Times New Roman" w:eastAsia="宋体" w:hAnsi="Times New Roman" w:cs="Times New Roman"/>
          <w:color w:val="000000" w:themeColor="text1"/>
          <w:kern w:val="24"/>
          <w:sz w:val="20"/>
          <w:szCs w:val="20"/>
        </w:rPr>
        <w:t>the difficulty is still the known condition of SRS.</w:t>
      </w:r>
    </w:p>
    <w:p w14:paraId="004F5F1E" w14:textId="70A12892" w:rsidR="00F26EDF" w:rsidRDefault="00F26EDF"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he second point is even no matter what is the known condition of SRS, “</w:t>
      </w:r>
      <w:r w:rsidRPr="00550FAB">
        <w:rPr>
          <w:rFonts w:ascii="Times New Roman" w:eastAsia="宋体" w:hAnsi="Times New Roman" w:cs="Times New Roman"/>
          <w:color w:val="000000" w:themeColor="text1"/>
          <w:kern w:val="24"/>
          <w:sz w:val="20"/>
          <w:szCs w:val="20"/>
        </w:rPr>
        <w:t>The legacy MAC CE based delay requirement can be used as baseline</w:t>
      </w:r>
      <w:r>
        <w:rPr>
          <w:rFonts w:ascii="Times New Roman" w:eastAsia="宋体" w:hAnsi="Times New Roman" w:cs="Times New Roman"/>
          <w:color w:val="000000" w:themeColor="text1"/>
          <w:kern w:val="24"/>
          <w:sz w:val="20"/>
          <w:szCs w:val="20"/>
        </w:rPr>
        <w:t xml:space="preserve">”. The legacy MAC CE based delay depends on the DL RS measurement if </w:t>
      </w:r>
      <w:r w:rsidR="00980801">
        <w:rPr>
          <w:rFonts w:ascii="Times New Roman" w:eastAsia="宋体" w:hAnsi="Times New Roman" w:cs="Times New Roman"/>
          <w:color w:val="000000" w:themeColor="text1"/>
          <w:kern w:val="24"/>
          <w:sz w:val="20"/>
          <w:szCs w:val="20"/>
        </w:rPr>
        <w:t>condition is met.</w:t>
      </w:r>
      <w:r>
        <w:rPr>
          <w:rFonts w:ascii="Times New Roman" w:eastAsia="宋体" w:hAnsi="Times New Roman" w:cs="Times New Roman"/>
          <w:color w:val="000000" w:themeColor="text1"/>
          <w:kern w:val="24"/>
          <w:sz w:val="20"/>
          <w:szCs w:val="20"/>
        </w:rPr>
        <w:t xml:space="preserve"> It is totally related to DL RS</w:t>
      </w:r>
      <w:r w:rsidR="00980801">
        <w:rPr>
          <w:rFonts w:ascii="Times New Roman" w:eastAsia="宋体" w:hAnsi="Times New Roman" w:cs="Times New Roman"/>
          <w:color w:val="000000" w:themeColor="text1"/>
          <w:kern w:val="24"/>
          <w:sz w:val="20"/>
          <w:szCs w:val="20"/>
        </w:rPr>
        <w:t xml:space="preserve"> (PL-RS)</w:t>
      </w:r>
      <w:r>
        <w:rPr>
          <w:rFonts w:ascii="Times New Roman" w:eastAsia="宋体" w:hAnsi="Times New Roman" w:cs="Times New Roman"/>
          <w:color w:val="000000" w:themeColor="text1"/>
          <w:kern w:val="24"/>
          <w:sz w:val="20"/>
          <w:szCs w:val="20"/>
        </w:rPr>
        <w:t xml:space="preserve"> measurement. </w:t>
      </w: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the UL TCI state can be associated to SRS, there is no time for measurement and UL beam refinement. In other word, if there is the delay, the delay is corresponding to the MAC-CE decoding time. </w:t>
      </w:r>
    </w:p>
    <w:p w14:paraId="492D0618" w14:textId="77777777" w:rsidR="00F73AA8" w:rsidRDefault="00F73AA8" w:rsidP="00F73AA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C</w:t>
      </w:r>
      <w:r>
        <w:rPr>
          <w:rFonts w:ascii="Times New Roman" w:eastAsia="宋体" w:hAnsi="Times New Roman" w:cs="Times New Roman"/>
          <w:color w:val="000000" w:themeColor="text1"/>
          <w:kern w:val="24"/>
          <w:sz w:val="20"/>
          <w:szCs w:val="20"/>
        </w:rPr>
        <w:t xml:space="preserve">ompare the difference between Rel-17 </w:t>
      </w:r>
      <w:proofErr w:type="spellStart"/>
      <w:r>
        <w:rPr>
          <w:rFonts w:ascii="Times New Roman" w:eastAsia="宋体" w:hAnsi="Times New Roman" w:cs="Times New Roman"/>
          <w:color w:val="000000" w:themeColor="text1"/>
          <w:kern w:val="24"/>
          <w:sz w:val="20"/>
          <w:szCs w:val="20"/>
        </w:rPr>
        <w:t>feMIMO</w:t>
      </w:r>
      <w:proofErr w:type="spellEnd"/>
      <w:r>
        <w:rPr>
          <w:rFonts w:ascii="Times New Roman" w:eastAsia="宋体" w:hAnsi="Times New Roman" w:cs="Times New Roman"/>
          <w:color w:val="000000" w:themeColor="text1"/>
          <w:kern w:val="24"/>
          <w:sz w:val="20"/>
          <w:szCs w:val="20"/>
        </w:rPr>
        <w:t xml:space="preserve"> such discussion and current Rel-19 discussion, there is no difference. By our understanding, it is the reason that why current requirements “</w:t>
      </w:r>
      <w:r w:rsidRPr="00B409A9">
        <w:rPr>
          <w:rFonts w:ascii="Times New Roman" w:eastAsia="宋体" w:hAnsi="Times New Roman" w:cs="Times New Roman"/>
          <w:color w:val="000000" w:themeColor="text1"/>
          <w:kern w:val="24"/>
          <w:sz w:val="20"/>
          <w:szCs w:val="20"/>
        </w:rPr>
        <w:t>There is no requirement when the UE is requested to switch to a TCI state with the higher layer parameter TCI-UL-State associated to SRS</w:t>
      </w:r>
      <w:r>
        <w:rPr>
          <w:rFonts w:ascii="Times New Roman" w:eastAsia="宋体" w:hAnsi="Times New Roman" w:cs="Times New Roman"/>
          <w:color w:val="000000" w:themeColor="text1"/>
          <w:kern w:val="24"/>
          <w:sz w:val="20"/>
          <w:szCs w:val="20"/>
        </w:rPr>
        <w:t xml:space="preserve">” and why we proposed to follow no requirements when </w:t>
      </w:r>
      <w:r w:rsidRPr="007667D9">
        <w:rPr>
          <w:rFonts w:ascii="Times New Roman" w:eastAsia="宋体" w:hAnsi="Times New Roman" w:cs="Times New Roman"/>
          <w:color w:val="000000" w:themeColor="text1"/>
          <w:kern w:val="24"/>
          <w:sz w:val="20"/>
          <w:szCs w:val="20"/>
        </w:rPr>
        <w:t>UE is requested to switch to a TCI state with the higher layer parameter TCI-UL-State associated to SRS</w:t>
      </w:r>
      <w:r>
        <w:rPr>
          <w:rFonts w:ascii="Times New Roman" w:eastAsia="宋体" w:hAnsi="Times New Roman" w:cs="Times New Roman"/>
          <w:color w:val="000000" w:themeColor="text1"/>
          <w:kern w:val="24"/>
          <w:sz w:val="20"/>
          <w:szCs w:val="20"/>
        </w:rPr>
        <w:t xml:space="preserve"> in this asymmetric DL </w:t>
      </w:r>
      <w:proofErr w:type="spellStart"/>
      <w:r>
        <w:rPr>
          <w:rFonts w:ascii="Times New Roman" w:eastAsia="宋体" w:hAnsi="Times New Roman" w:cs="Times New Roman"/>
          <w:color w:val="000000" w:themeColor="text1"/>
          <w:kern w:val="24"/>
          <w:sz w:val="20"/>
          <w:szCs w:val="20"/>
        </w:rPr>
        <w:t>sTRP</w:t>
      </w:r>
      <w:proofErr w:type="spellEnd"/>
      <w:r>
        <w:rPr>
          <w:rFonts w:ascii="Times New Roman" w:eastAsia="宋体" w:hAnsi="Times New Roman" w:cs="Times New Roman"/>
          <w:color w:val="000000" w:themeColor="text1"/>
          <w:kern w:val="24"/>
          <w:sz w:val="20"/>
          <w:szCs w:val="20"/>
        </w:rPr>
        <w:t xml:space="preserve">/UL </w:t>
      </w:r>
      <w:proofErr w:type="spellStart"/>
      <w:r>
        <w:rPr>
          <w:rFonts w:ascii="Times New Roman" w:eastAsia="宋体" w:hAnsi="Times New Roman" w:cs="Times New Roman"/>
          <w:color w:val="000000" w:themeColor="text1"/>
          <w:kern w:val="24"/>
          <w:sz w:val="20"/>
          <w:szCs w:val="20"/>
        </w:rPr>
        <w:t>mTRP</w:t>
      </w:r>
      <w:proofErr w:type="spellEnd"/>
      <w:r>
        <w:rPr>
          <w:rFonts w:ascii="Times New Roman" w:eastAsia="宋体" w:hAnsi="Times New Roman" w:cs="Times New Roman"/>
          <w:color w:val="000000" w:themeColor="text1"/>
          <w:kern w:val="24"/>
          <w:sz w:val="20"/>
          <w:szCs w:val="20"/>
        </w:rPr>
        <w:t xml:space="preserve"> scenarios.</w:t>
      </w:r>
    </w:p>
    <w:p w14:paraId="0EEACA25" w14:textId="3ED9961C" w:rsidR="00B37BE3" w:rsidRDefault="00F73AA8" w:rsidP="00F73AA8">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sidR="00980801">
        <w:rPr>
          <w:rFonts w:ascii="Times New Roman" w:hAnsi="Times New Roman" w:cs="Times New Roman"/>
          <w:b/>
          <w:bCs/>
          <w:sz w:val="20"/>
          <w:szCs w:val="20"/>
        </w:rPr>
        <w:t>2</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RAN4 to decide: </w:t>
      </w:r>
    </w:p>
    <w:p w14:paraId="6782EDE0" w14:textId="709CA0F4" w:rsidR="00F73AA8" w:rsidRDefault="00F73AA8" w:rsidP="00B37BE3">
      <w:pPr>
        <w:pStyle w:val="a8"/>
        <w:numPr>
          <w:ilvl w:val="0"/>
          <w:numId w:val="49"/>
        </w:numPr>
        <w:spacing w:beforeLines="50" w:before="120" w:afterLines="50" w:after="120"/>
        <w:ind w:firstLineChars="0"/>
        <w:rPr>
          <w:rFonts w:eastAsiaTheme="minorEastAsia"/>
          <w:b/>
          <w:bCs/>
          <w:lang w:eastAsia="zh-CN"/>
        </w:rPr>
      </w:pPr>
      <w:r w:rsidRPr="00B37BE3">
        <w:rPr>
          <w:b/>
          <w:bCs/>
        </w:rPr>
        <w:t xml:space="preserve">If UL TCI states </w:t>
      </w:r>
      <w:r w:rsidR="00B37BE3" w:rsidRPr="00B37BE3">
        <w:rPr>
          <w:rFonts w:hint="eastAsia"/>
          <w:b/>
          <w:bCs/>
          <w:lang w:eastAsia="zh-CN"/>
        </w:rPr>
        <w:t>is</w:t>
      </w:r>
      <w:r w:rsidRPr="00B37BE3">
        <w:rPr>
          <w:b/>
          <w:bCs/>
        </w:rPr>
        <w:t xml:space="preserve"> associated to SRS</w:t>
      </w:r>
      <w:r w:rsidR="00B37BE3" w:rsidRPr="00B37BE3">
        <w:rPr>
          <w:rFonts w:hint="eastAsia"/>
          <w:b/>
          <w:bCs/>
        </w:rPr>
        <w:t>:</w:t>
      </w:r>
      <w:r w:rsidR="00B37BE3" w:rsidRPr="00B37BE3">
        <w:rPr>
          <w:b/>
          <w:bCs/>
        </w:rPr>
        <w:t xml:space="preserve"> </w:t>
      </w:r>
      <w:r>
        <w:rPr>
          <w:rFonts w:eastAsiaTheme="minorEastAsia"/>
          <w:b/>
          <w:bCs/>
          <w:lang w:eastAsia="zh-CN"/>
        </w:rPr>
        <w:t xml:space="preserve">Follow same principle in Rel-17 which is no requirement for UE is requested to a separate UL TCI state. </w:t>
      </w:r>
    </w:p>
    <w:p w14:paraId="3486E213" w14:textId="1FB42D14" w:rsidR="00C54CD9" w:rsidRPr="00450F9E" w:rsidRDefault="00450F9E" w:rsidP="00D926EC">
      <w:pPr>
        <w:spacing w:beforeLines="50" w:before="120" w:afterLines="50" w:after="120"/>
        <w:rPr>
          <w:rFonts w:ascii="Times New Roman" w:eastAsia="宋体" w:hAnsi="Times New Roman" w:cs="Times New Roman"/>
          <w:b/>
          <w:bCs/>
          <w:sz w:val="20"/>
          <w:szCs w:val="20"/>
        </w:rPr>
      </w:pPr>
      <w:r w:rsidRPr="00450F9E">
        <w:rPr>
          <w:rFonts w:ascii="Times New Roman" w:eastAsia="宋体" w:hAnsi="Times New Roman" w:cs="Times New Roman"/>
          <w:b/>
          <w:bCs/>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6C694F9" w:rsidR="006E5B4F" w:rsidRDefault="00F73AA8" w:rsidP="003C1FD7">
      <w:pPr>
        <w:spacing w:beforeLines="50" w:before="120" w:afterLines="50" w:after="120"/>
        <w:jc w:val="left"/>
        <w:rPr>
          <w:rFonts w:ascii="Times New Roman" w:hAnsi="Times New Roman" w:cs="Times New Roman"/>
          <w:sz w:val="20"/>
          <w:szCs w:val="20"/>
        </w:rPr>
      </w:pPr>
      <w:r w:rsidRPr="006E0535">
        <w:rPr>
          <w:rFonts w:ascii="Times New Roman" w:eastAsia="宋体" w:hAnsi="Times New Roman" w:cs="Times New Roman"/>
          <w:sz w:val="20"/>
          <w:szCs w:val="20"/>
        </w:rPr>
        <w:t xml:space="preserve">In this contribution, we provide our proposals for RRM requirements for </w:t>
      </w:r>
      <w:proofErr w:type="spellStart"/>
      <w:r>
        <w:rPr>
          <w:rFonts w:ascii="Times New Roman" w:eastAsia="宋体" w:hAnsi="Times New Roman" w:cs="Times New Roman"/>
          <w:sz w:val="20"/>
          <w:szCs w:val="20"/>
        </w:rPr>
        <w:t>for</w:t>
      </w:r>
      <w:proofErr w:type="spellEnd"/>
      <w:r>
        <w:rPr>
          <w:rFonts w:ascii="Times New Roman" w:eastAsia="宋体" w:hAnsi="Times New Roman" w:cs="Times New Roman"/>
          <w:sz w:val="20"/>
          <w:szCs w:val="20"/>
        </w:rPr>
        <w:t xml:space="preserve"> “CJTC reporting” and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w:t>
      </w:r>
      <w:r w:rsidRPr="006E0535">
        <w:rPr>
          <w:rFonts w:ascii="Times New Roman" w:eastAsia="宋体" w:hAnsi="Times New Roman" w:cs="Times New Roman"/>
          <w:sz w:val="20"/>
          <w:szCs w:val="20"/>
        </w:rPr>
        <w:t xml:space="preserve"> in Rel-19 MIMO phase 5:</w:t>
      </w:r>
    </w:p>
    <w:p w14:paraId="6BDCB637" w14:textId="39476731" w:rsidR="00E5754A" w:rsidRPr="00537053" w:rsidRDefault="00E5754A" w:rsidP="00E5754A">
      <w:pPr>
        <w:spacing w:beforeLines="50" w:before="120" w:afterLines="50" w:after="120"/>
        <w:jc w:val="left"/>
        <w:rPr>
          <w:rFonts w:ascii="Times New Roman" w:eastAsia="宋体" w:hAnsi="Times New Roman" w:cs="Times New Roman"/>
          <w:color w:val="000000" w:themeColor="text1"/>
          <w:kern w:val="24"/>
          <w:sz w:val="20"/>
          <w:szCs w:val="20"/>
        </w:rPr>
      </w:pPr>
      <w:r w:rsidRPr="00DC2ACE">
        <w:rPr>
          <w:rFonts w:ascii="Times New Roman" w:hAnsi="Times New Roman" w:cs="Times New Roman"/>
          <w:b/>
          <w:bCs/>
          <w:sz w:val="20"/>
          <w:szCs w:val="20"/>
        </w:rPr>
        <w:t xml:space="preserve">Proposal </w:t>
      </w:r>
      <w:r w:rsidR="00980801">
        <w:rPr>
          <w:rFonts w:ascii="Times New Roman" w:hAnsi="Times New Roman" w:cs="Times New Roman"/>
          <w:b/>
          <w:bCs/>
          <w:sz w:val="20"/>
          <w:szCs w:val="20"/>
        </w:rPr>
        <w:t>1</w:t>
      </w:r>
      <w:r w:rsidRPr="00DC2ACE">
        <w:rPr>
          <w:rFonts w:ascii="Times New Roman" w:hAnsi="Times New Roman" w:cs="Times New Roman"/>
          <w:b/>
          <w:bCs/>
          <w:sz w:val="20"/>
          <w:szCs w:val="20"/>
        </w:rPr>
        <w:t>:</w:t>
      </w:r>
      <w:r>
        <w:rPr>
          <w:rFonts w:ascii="Times New Roman" w:hAnsi="Times New Roman" w:cs="Times New Roman"/>
          <w:b/>
          <w:bCs/>
          <w:sz w:val="20"/>
          <w:szCs w:val="20"/>
        </w:rPr>
        <w:t xml:space="preserve"> For Scenario#1, FR2, reuse the same timing requirements as that of FR1. For Scenario#2, since RAN4 sent LS to RAN1 in last meeting, wait for further progress. RAN4 cannot define anything new if no further RAN1 design. </w:t>
      </w:r>
    </w:p>
    <w:p w14:paraId="4554C980" w14:textId="1F10FA3D" w:rsidR="00E5754A" w:rsidRDefault="00E5754A" w:rsidP="00E5754A">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sidR="00980801">
        <w:rPr>
          <w:rFonts w:ascii="Times New Roman" w:hAnsi="Times New Roman" w:cs="Times New Roman"/>
          <w:b/>
          <w:bCs/>
          <w:sz w:val="20"/>
          <w:szCs w:val="20"/>
        </w:rPr>
        <w:t>2</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RAN4 to decide: </w:t>
      </w:r>
    </w:p>
    <w:p w14:paraId="5487050A" w14:textId="60C31894" w:rsidR="00084651" w:rsidRPr="00E5754A" w:rsidRDefault="00E5754A" w:rsidP="00E5754A">
      <w:pPr>
        <w:pStyle w:val="a8"/>
        <w:numPr>
          <w:ilvl w:val="0"/>
          <w:numId w:val="49"/>
        </w:numPr>
        <w:spacing w:beforeLines="50" w:before="120" w:afterLines="50" w:after="120"/>
        <w:ind w:firstLineChars="0"/>
        <w:rPr>
          <w:rFonts w:eastAsia="宋体"/>
          <w:b/>
          <w:bCs/>
          <w:lang w:val="en-US"/>
        </w:rPr>
      </w:pPr>
      <w:r w:rsidRPr="00B37BE3">
        <w:rPr>
          <w:b/>
          <w:bCs/>
        </w:rPr>
        <w:t xml:space="preserve">If UL TCI states </w:t>
      </w:r>
      <w:r w:rsidRPr="00B37BE3">
        <w:rPr>
          <w:rFonts w:hint="eastAsia"/>
          <w:b/>
          <w:bCs/>
          <w:lang w:eastAsia="zh-CN"/>
        </w:rPr>
        <w:t>is</w:t>
      </w:r>
      <w:r w:rsidRPr="00B37BE3">
        <w:rPr>
          <w:b/>
          <w:bCs/>
        </w:rPr>
        <w:t xml:space="preserve"> associated to SRS</w:t>
      </w:r>
      <w:r w:rsidRPr="00B37BE3">
        <w:rPr>
          <w:rFonts w:hint="eastAsia"/>
          <w:b/>
          <w:bCs/>
        </w:rPr>
        <w:t>:</w:t>
      </w:r>
      <w:r w:rsidRPr="00B37BE3">
        <w:rPr>
          <w:b/>
          <w:bCs/>
        </w:rPr>
        <w:t xml:space="preserve"> </w:t>
      </w:r>
      <w:r>
        <w:rPr>
          <w:rFonts w:eastAsiaTheme="minorEastAsia"/>
          <w:b/>
          <w:bCs/>
          <w:lang w:eastAsia="zh-CN"/>
        </w:rPr>
        <w:t>Follow same principle in Rel-17 which is no requirement for UE is requested to a separate UL TCI state.</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3D45C84" w14:textId="1592079C" w:rsidR="001270D9" w:rsidRPr="005A222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0338A">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A91C62">
        <w:rPr>
          <w:rFonts w:ascii="Times New Roman" w:eastAsia="宋体" w:hAnsi="Times New Roman" w:cs="Times New Roman"/>
          <w:sz w:val="20"/>
          <w:szCs w:val="20"/>
        </w:rPr>
        <w:t>4-</w:t>
      </w:r>
      <w:r w:rsidR="000E3C4D">
        <w:rPr>
          <w:rFonts w:ascii="Times New Roman" w:eastAsia="宋体" w:hAnsi="Times New Roman" w:cs="Times New Roman"/>
          <w:sz w:val="20"/>
          <w:szCs w:val="20"/>
        </w:rPr>
        <w:t>250259</w:t>
      </w:r>
      <w:r w:rsidR="00F73AA8">
        <w:rPr>
          <w:rFonts w:ascii="Times New Roman" w:eastAsia="宋体" w:hAnsi="Times New Roman" w:cs="Times New Roman"/>
          <w:sz w:val="20"/>
          <w:szCs w:val="20"/>
        </w:rPr>
        <w:t>6</w:t>
      </w:r>
      <w:r w:rsidR="00D17C30">
        <w:rPr>
          <w:rFonts w:ascii="Times New Roman" w:eastAsia="宋体" w:hAnsi="Times New Roman" w:cs="Times New Roman"/>
          <w:sz w:val="20"/>
          <w:szCs w:val="20"/>
        </w:rPr>
        <w:t xml:space="preserve">, </w:t>
      </w:r>
      <w:r w:rsidR="000E3C4D" w:rsidRPr="000E3C4D">
        <w:rPr>
          <w:rFonts w:ascii="Times New Roman" w:eastAsia="宋体" w:hAnsi="Times New Roman" w:cs="Times New Roman"/>
          <w:sz w:val="20"/>
          <w:szCs w:val="20"/>
        </w:rPr>
        <w:t>WF on RRM requirements for NR_MIMO_Ph5_Part</w:t>
      </w:r>
      <w:r w:rsidR="00F73AA8">
        <w:rPr>
          <w:rFonts w:ascii="Times New Roman" w:eastAsia="宋体" w:hAnsi="Times New Roman" w:cs="Times New Roman"/>
          <w:sz w:val="20"/>
          <w:szCs w:val="20"/>
        </w:rPr>
        <w:t>2</w:t>
      </w:r>
      <w:r w:rsidR="00D17C30">
        <w:rPr>
          <w:rFonts w:ascii="Times New Roman" w:eastAsia="宋体" w:hAnsi="Times New Roman" w:cs="Times New Roman"/>
          <w:sz w:val="20"/>
          <w:szCs w:val="20"/>
        </w:rPr>
        <w:t xml:space="preserve">, </w:t>
      </w:r>
      <w:r w:rsidR="00F73AA8">
        <w:rPr>
          <w:rFonts w:ascii="Times New Roman" w:eastAsia="宋体" w:hAnsi="Times New Roman" w:cs="Times New Roman" w:hint="eastAsia"/>
          <w:sz w:val="20"/>
          <w:szCs w:val="20"/>
        </w:rPr>
        <w:t>MediaTek</w:t>
      </w:r>
    </w:p>
    <w:sectPr w:rsidR="001270D9" w:rsidRPr="005A222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3E18" w14:textId="77777777" w:rsidR="00811E80" w:rsidRDefault="00811E80" w:rsidP="00F57816">
      <w:r>
        <w:separator/>
      </w:r>
    </w:p>
  </w:endnote>
  <w:endnote w:type="continuationSeparator" w:id="0">
    <w:p w14:paraId="7AE8BE1A" w14:textId="77777777" w:rsidR="00811E80" w:rsidRDefault="00811E8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366F" w14:textId="77777777" w:rsidR="00811E80" w:rsidRDefault="00811E80" w:rsidP="00F57816">
      <w:r>
        <w:separator/>
      </w:r>
    </w:p>
  </w:footnote>
  <w:footnote w:type="continuationSeparator" w:id="0">
    <w:p w14:paraId="7D9BF068" w14:textId="77777777" w:rsidR="00811E80" w:rsidRDefault="00811E8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A32"/>
    <w:multiLevelType w:val="hybridMultilevel"/>
    <w:tmpl w:val="B3D6CD14"/>
    <w:lvl w:ilvl="0" w:tplc="C8506038">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D74196"/>
    <w:multiLevelType w:val="hybridMultilevel"/>
    <w:tmpl w:val="B6EAD14A"/>
    <w:lvl w:ilvl="0" w:tplc="0F4AE9D8">
      <w:start w:val="202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8"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1"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0"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2"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1"/>
  </w:num>
  <w:num w:numId="2">
    <w:abstractNumId w:val="14"/>
  </w:num>
  <w:num w:numId="3">
    <w:abstractNumId w:val="43"/>
  </w:num>
  <w:num w:numId="4">
    <w:abstractNumId w:val="46"/>
  </w:num>
  <w:num w:numId="5">
    <w:abstractNumId w:val="26"/>
  </w:num>
  <w:num w:numId="6">
    <w:abstractNumId w:val="38"/>
  </w:num>
  <w:num w:numId="7">
    <w:abstractNumId w:val="4"/>
  </w:num>
  <w:num w:numId="8">
    <w:abstractNumId w:val="10"/>
  </w:num>
  <w:num w:numId="9">
    <w:abstractNumId w:val="17"/>
  </w:num>
  <w:num w:numId="10">
    <w:abstractNumId w:val="28"/>
  </w:num>
  <w:num w:numId="11">
    <w:abstractNumId w:val="29"/>
  </w:num>
  <w:num w:numId="12">
    <w:abstractNumId w:val="49"/>
  </w:num>
  <w:num w:numId="13">
    <w:abstractNumId w:val="31"/>
  </w:num>
  <w:num w:numId="14">
    <w:abstractNumId w:val="19"/>
  </w:num>
  <w:num w:numId="15">
    <w:abstractNumId w:val="32"/>
  </w:num>
  <w:num w:numId="16">
    <w:abstractNumId w:val="44"/>
  </w:num>
  <w:num w:numId="17">
    <w:abstractNumId w:val="2"/>
  </w:num>
  <w:num w:numId="18">
    <w:abstractNumId w:val="48"/>
  </w:num>
  <w:num w:numId="19">
    <w:abstractNumId w:val="36"/>
  </w:num>
  <w:num w:numId="20">
    <w:abstractNumId w:val="12"/>
  </w:num>
  <w:num w:numId="21">
    <w:abstractNumId w:val="33"/>
  </w:num>
  <w:num w:numId="22">
    <w:abstractNumId w:val="27"/>
  </w:num>
  <w:num w:numId="23">
    <w:abstractNumId w:val="40"/>
  </w:num>
  <w:num w:numId="24">
    <w:abstractNumId w:val="47"/>
  </w:num>
  <w:num w:numId="25">
    <w:abstractNumId w:val="7"/>
  </w:num>
  <w:num w:numId="26">
    <w:abstractNumId w:val="9"/>
  </w:num>
  <w:num w:numId="27">
    <w:abstractNumId w:val="30"/>
  </w:num>
  <w:num w:numId="28">
    <w:abstractNumId w:val="16"/>
  </w:num>
  <w:num w:numId="29">
    <w:abstractNumId w:val="37"/>
  </w:num>
  <w:num w:numId="30">
    <w:abstractNumId w:val="41"/>
  </w:num>
  <w:num w:numId="31">
    <w:abstractNumId w:val="35"/>
  </w:num>
  <w:num w:numId="32">
    <w:abstractNumId w:val="13"/>
  </w:num>
  <w:num w:numId="33">
    <w:abstractNumId w:val="23"/>
  </w:num>
  <w:num w:numId="34">
    <w:abstractNumId w:val="34"/>
  </w:num>
  <w:num w:numId="35">
    <w:abstractNumId w:val="1"/>
  </w:num>
  <w:num w:numId="36">
    <w:abstractNumId w:val="15"/>
  </w:num>
  <w:num w:numId="37">
    <w:abstractNumId w:val="6"/>
  </w:num>
  <w:num w:numId="38">
    <w:abstractNumId w:val="24"/>
  </w:num>
  <w:num w:numId="39">
    <w:abstractNumId w:val="5"/>
  </w:num>
  <w:num w:numId="40">
    <w:abstractNumId w:val="39"/>
  </w:num>
  <w:num w:numId="41">
    <w:abstractNumId w:val="8"/>
  </w:num>
  <w:num w:numId="42">
    <w:abstractNumId w:val="45"/>
  </w:num>
  <w:num w:numId="43">
    <w:abstractNumId w:val="42"/>
  </w:num>
  <w:num w:numId="44">
    <w:abstractNumId w:val="22"/>
  </w:num>
  <w:num w:numId="45">
    <w:abstractNumId w:val="0"/>
  </w:num>
  <w:num w:numId="46">
    <w:abstractNumId w:val="20"/>
  </w:num>
  <w:num w:numId="47">
    <w:abstractNumId w:val="18"/>
  </w:num>
  <w:num w:numId="48">
    <w:abstractNumId w:val="3"/>
  </w:num>
  <w:num w:numId="49">
    <w:abstractNumId w:val="25"/>
  </w:num>
  <w:num w:numId="5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073DE"/>
    <w:rsid w:val="000105CB"/>
    <w:rsid w:val="00012F9D"/>
    <w:rsid w:val="00015DAB"/>
    <w:rsid w:val="0002688B"/>
    <w:rsid w:val="00026B9A"/>
    <w:rsid w:val="00027632"/>
    <w:rsid w:val="000302FB"/>
    <w:rsid w:val="000306EA"/>
    <w:rsid w:val="0005159B"/>
    <w:rsid w:val="00052B59"/>
    <w:rsid w:val="00052CA4"/>
    <w:rsid w:val="0005357D"/>
    <w:rsid w:val="00053818"/>
    <w:rsid w:val="00053F0A"/>
    <w:rsid w:val="00055532"/>
    <w:rsid w:val="00057C23"/>
    <w:rsid w:val="00060D78"/>
    <w:rsid w:val="00071BF1"/>
    <w:rsid w:val="00073F55"/>
    <w:rsid w:val="00074587"/>
    <w:rsid w:val="0008269C"/>
    <w:rsid w:val="00084651"/>
    <w:rsid w:val="00084658"/>
    <w:rsid w:val="000854CE"/>
    <w:rsid w:val="00087AEF"/>
    <w:rsid w:val="00096EF2"/>
    <w:rsid w:val="000A1902"/>
    <w:rsid w:val="000A638B"/>
    <w:rsid w:val="000B0FF3"/>
    <w:rsid w:val="000B2BE5"/>
    <w:rsid w:val="000B5183"/>
    <w:rsid w:val="000B5ADF"/>
    <w:rsid w:val="000B68E8"/>
    <w:rsid w:val="000C081F"/>
    <w:rsid w:val="000C3186"/>
    <w:rsid w:val="000C3911"/>
    <w:rsid w:val="000D3C85"/>
    <w:rsid w:val="000D5135"/>
    <w:rsid w:val="000E2B05"/>
    <w:rsid w:val="000E3C4D"/>
    <w:rsid w:val="000E5597"/>
    <w:rsid w:val="000E58AC"/>
    <w:rsid w:val="000E7C20"/>
    <w:rsid w:val="000F1A46"/>
    <w:rsid w:val="000F374B"/>
    <w:rsid w:val="000F72B6"/>
    <w:rsid w:val="00100486"/>
    <w:rsid w:val="00102086"/>
    <w:rsid w:val="001026F0"/>
    <w:rsid w:val="0010338A"/>
    <w:rsid w:val="00103CDA"/>
    <w:rsid w:val="00105532"/>
    <w:rsid w:val="00112570"/>
    <w:rsid w:val="00112FB0"/>
    <w:rsid w:val="0011584F"/>
    <w:rsid w:val="001178E9"/>
    <w:rsid w:val="00117A8F"/>
    <w:rsid w:val="001270D9"/>
    <w:rsid w:val="00134F05"/>
    <w:rsid w:val="001366ED"/>
    <w:rsid w:val="00145264"/>
    <w:rsid w:val="001458A1"/>
    <w:rsid w:val="00150BDE"/>
    <w:rsid w:val="0015241F"/>
    <w:rsid w:val="001609A5"/>
    <w:rsid w:val="00160E2F"/>
    <w:rsid w:val="00165C69"/>
    <w:rsid w:val="0017202C"/>
    <w:rsid w:val="001726B2"/>
    <w:rsid w:val="00180900"/>
    <w:rsid w:val="00181534"/>
    <w:rsid w:val="0018448A"/>
    <w:rsid w:val="0018736E"/>
    <w:rsid w:val="00196A7F"/>
    <w:rsid w:val="001A41EA"/>
    <w:rsid w:val="001A7751"/>
    <w:rsid w:val="001C250C"/>
    <w:rsid w:val="001C48EF"/>
    <w:rsid w:val="001D1A6A"/>
    <w:rsid w:val="001D226D"/>
    <w:rsid w:val="001D4F2C"/>
    <w:rsid w:val="001E04C5"/>
    <w:rsid w:val="001E2D51"/>
    <w:rsid w:val="001E43EB"/>
    <w:rsid w:val="001E739A"/>
    <w:rsid w:val="001F1761"/>
    <w:rsid w:val="001F31F1"/>
    <w:rsid w:val="001F456F"/>
    <w:rsid w:val="001F5599"/>
    <w:rsid w:val="001F6AC6"/>
    <w:rsid w:val="002108ED"/>
    <w:rsid w:val="00211A8B"/>
    <w:rsid w:val="00214063"/>
    <w:rsid w:val="00214A0F"/>
    <w:rsid w:val="00215751"/>
    <w:rsid w:val="00225318"/>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2A4"/>
    <w:rsid w:val="00341B29"/>
    <w:rsid w:val="003462EF"/>
    <w:rsid w:val="00350207"/>
    <w:rsid w:val="00350D4D"/>
    <w:rsid w:val="00353C08"/>
    <w:rsid w:val="003549E3"/>
    <w:rsid w:val="00355717"/>
    <w:rsid w:val="00357205"/>
    <w:rsid w:val="003577DC"/>
    <w:rsid w:val="0036194F"/>
    <w:rsid w:val="0036485D"/>
    <w:rsid w:val="00366F91"/>
    <w:rsid w:val="00373764"/>
    <w:rsid w:val="00374DAD"/>
    <w:rsid w:val="00374E80"/>
    <w:rsid w:val="003755BD"/>
    <w:rsid w:val="00375D6F"/>
    <w:rsid w:val="003803C0"/>
    <w:rsid w:val="003837A9"/>
    <w:rsid w:val="00384261"/>
    <w:rsid w:val="003856D4"/>
    <w:rsid w:val="003869D7"/>
    <w:rsid w:val="00391015"/>
    <w:rsid w:val="003929DE"/>
    <w:rsid w:val="00393BA4"/>
    <w:rsid w:val="003947EF"/>
    <w:rsid w:val="003A13B8"/>
    <w:rsid w:val="003A5115"/>
    <w:rsid w:val="003A630E"/>
    <w:rsid w:val="003B08A2"/>
    <w:rsid w:val="003B44E6"/>
    <w:rsid w:val="003B7452"/>
    <w:rsid w:val="003B7F90"/>
    <w:rsid w:val="003C1A14"/>
    <w:rsid w:val="003C1FD7"/>
    <w:rsid w:val="003C2656"/>
    <w:rsid w:val="003C30BC"/>
    <w:rsid w:val="003C5D6B"/>
    <w:rsid w:val="003D3480"/>
    <w:rsid w:val="003D417F"/>
    <w:rsid w:val="003D4695"/>
    <w:rsid w:val="003E3F33"/>
    <w:rsid w:val="003E7351"/>
    <w:rsid w:val="003F317B"/>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0F9E"/>
    <w:rsid w:val="00453C63"/>
    <w:rsid w:val="00453FB1"/>
    <w:rsid w:val="0045709F"/>
    <w:rsid w:val="00463876"/>
    <w:rsid w:val="00464167"/>
    <w:rsid w:val="00466F7B"/>
    <w:rsid w:val="00471F53"/>
    <w:rsid w:val="004764ED"/>
    <w:rsid w:val="00482E09"/>
    <w:rsid w:val="00483FE7"/>
    <w:rsid w:val="00491971"/>
    <w:rsid w:val="004A23BA"/>
    <w:rsid w:val="004A4193"/>
    <w:rsid w:val="004A5A9F"/>
    <w:rsid w:val="004A6914"/>
    <w:rsid w:val="004B12BA"/>
    <w:rsid w:val="004B1AE1"/>
    <w:rsid w:val="004B3B1D"/>
    <w:rsid w:val="004C014F"/>
    <w:rsid w:val="004C1930"/>
    <w:rsid w:val="004C3936"/>
    <w:rsid w:val="004C3E0B"/>
    <w:rsid w:val="004C4FED"/>
    <w:rsid w:val="004C5279"/>
    <w:rsid w:val="004C5CCA"/>
    <w:rsid w:val="004C6252"/>
    <w:rsid w:val="004C6A6A"/>
    <w:rsid w:val="004C6CD5"/>
    <w:rsid w:val="004D2E78"/>
    <w:rsid w:val="004D722D"/>
    <w:rsid w:val="004D7374"/>
    <w:rsid w:val="004E70C0"/>
    <w:rsid w:val="004F31BC"/>
    <w:rsid w:val="004F4898"/>
    <w:rsid w:val="004F66A6"/>
    <w:rsid w:val="004F66A7"/>
    <w:rsid w:val="00501139"/>
    <w:rsid w:val="00503393"/>
    <w:rsid w:val="0050531A"/>
    <w:rsid w:val="005058B0"/>
    <w:rsid w:val="00506CD8"/>
    <w:rsid w:val="005071BA"/>
    <w:rsid w:val="00512B6A"/>
    <w:rsid w:val="00514599"/>
    <w:rsid w:val="00522D6A"/>
    <w:rsid w:val="00523EA1"/>
    <w:rsid w:val="00525349"/>
    <w:rsid w:val="00525B4A"/>
    <w:rsid w:val="00526F1B"/>
    <w:rsid w:val="00531B6B"/>
    <w:rsid w:val="00533C74"/>
    <w:rsid w:val="00537053"/>
    <w:rsid w:val="005437E3"/>
    <w:rsid w:val="00545A98"/>
    <w:rsid w:val="00550FAB"/>
    <w:rsid w:val="0055289C"/>
    <w:rsid w:val="0055605A"/>
    <w:rsid w:val="00560D73"/>
    <w:rsid w:val="00570CF6"/>
    <w:rsid w:val="005744B2"/>
    <w:rsid w:val="00575C94"/>
    <w:rsid w:val="00576B45"/>
    <w:rsid w:val="0058168D"/>
    <w:rsid w:val="0058624C"/>
    <w:rsid w:val="00586C22"/>
    <w:rsid w:val="00597020"/>
    <w:rsid w:val="005A12DD"/>
    <w:rsid w:val="005A2221"/>
    <w:rsid w:val="005A45DA"/>
    <w:rsid w:val="005A5E96"/>
    <w:rsid w:val="005B0C56"/>
    <w:rsid w:val="005B23D1"/>
    <w:rsid w:val="005B435D"/>
    <w:rsid w:val="005B53B3"/>
    <w:rsid w:val="005B6DC1"/>
    <w:rsid w:val="005B70B3"/>
    <w:rsid w:val="005C1E8E"/>
    <w:rsid w:val="005C2AD3"/>
    <w:rsid w:val="005C3E95"/>
    <w:rsid w:val="005C4511"/>
    <w:rsid w:val="005D5477"/>
    <w:rsid w:val="005D6FFF"/>
    <w:rsid w:val="005E4A63"/>
    <w:rsid w:val="005F2CF9"/>
    <w:rsid w:val="005F7569"/>
    <w:rsid w:val="005F7F42"/>
    <w:rsid w:val="00601D78"/>
    <w:rsid w:val="00631E71"/>
    <w:rsid w:val="00641F8C"/>
    <w:rsid w:val="0064391C"/>
    <w:rsid w:val="006463D5"/>
    <w:rsid w:val="0064730C"/>
    <w:rsid w:val="0065090B"/>
    <w:rsid w:val="00652015"/>
    <w:rsid w:val="00652CAA"/>
    <w:rsid w:val="0065523F"/>
    <w:rsid w:val="0065643C"/>
    <w:rsid w:val="00661D60"/>
    <w:rsid w:val="006624A9"/>
    <w:rsid w:val="006634EE"/>
    <w:rsid w:val="00665050"/>
    <w:rsid w:val="00665847"/>
    <w:rsid w:val="00667440"/>
    <w:rsid w:val="00667846"/>
    <w:rsid w:val="00670889"/>
    <w:rsid w:val="00672483"/>
    <w:rsid w:val="0067344B"/>
    <w:rsid w:val="00676811"/>
    <w:rsid w:val="00676E35"/>
    <w:rsid w:val="00692CA4"/>
    <w:rsid w:val="006966B6"/>
    <w:rsid w:val="00697DEF"/>
    <w:rsid w:val="006A5F37"/>
    <w:rsid w:val="006A7B75"/>
    <w:rsid w:val="006B0446"/>
    <w:rsid w:val="006B5F86"/>
    <w:rsid w:val="006B7867"/>
    <w:rsid w:val="006C20A4"/>
    <w:rsid w:val="006C2BAF"/>
    <w:rsid w:val="006D15A5"/>
    <w:rsid w:val="006D50A8"/>
    <w:rsid w:val="006D53A2"/>
    <w:rsid w:val="006D5B18"/>
    <w:rsid w:val="006D6492"/>
    <w:rsid w:val="006D70D2"/>
    <w:rsid w:val="006D7360"/>
    <w:rsid w:val="006D7FBA"/>
    <w:rsid w:val="006E0E35"/>
    <w:rsid w:val="006E20F2"/>
    <w:rsid w:val="006E5B4F"/>
    <w:rsid w:val="006F1C44"/>
    <w:rsid w:val="006F3D67"/>
    <w:rsid w:val="006F698B"/>
    <w:rsid w:val="007016E2"/>
    <w:rsid w:val="007056FD"/>
    <w:rsid w:val="007117D5"/>
    <w:rsid w:val="00715C72"/>
    <w:rsid w:val="00720E5A"/>
    <w:rsid w:val="007246E9"/>
    <w:rsid w:val="00724E98"/>
    <w:rsid w:val="00741CE8"/>
    <w:rsid w:val="007468A0"/>
    <w:rsid w:val="00754667"/>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D6D"/>
    <w:rsid w:val="007C1BB7"/>
    <w:rsid w:val="007C352B"/>
    <w:rsid w:val="007C5970"/>
    <w:rsid w:val="007D0AA7"/>
    <w:rsid w:val="007D622B"/>
    <w:rsid w:val="007E4DED"/>
    <w:rsid w:val="007F1B33"/>
    <w:rsid w:val="007F31F9"/>
    <w:rsid w:val="007F3EF3"/>
    <w:rsid w:val="007F5A15"/>
    <w:rsid w:val="0081009A"/>
    <w:rsid w:val="00811E80"/>
    <w:rsid w:val="00812738"/>
    <w:rsid w:val="00820F9E"/>
    <w:rsid w:val="00823003"/>
    <w:rsid w:val="00826AFD"/>
    <w:rsid w:val="00837413"/>
    <w:rsid w:val="008525C5"/>
    <w:rsid w:val="00855647"/>
    <w:rsid w:val="00860C90"/>
    <w:rsid w:val="008632BF"/>
    <w:rsid w:val="00865AB8"/>
    <w:rsid w:val="008703E7"/>
    <w:rsid w:val="00873F19"/>
    <w:rsid w:val="008778F9"/>
    <w:rsid w:val="0088023A"/>
    <w:rsid w:val="00887377"/>
    <w:rsid w:val="008973D4"/>
    <w:rsid w:val="008975AE"/>
    <w:rsid w:val="008A4505"/>
    <w:rsid w:val="008A48C6"/>
    <w:rsid w:val="008A704C"/>
    <w:rsid w:val="008B0284"/>
    <w:rsid w:val="008B3FEB"/>
    <w:rsid w:val="008B72EC"/>
    <w:rsid w:val="008B74D5"/>
    <w:rsid w:val="008B75F1"/>
    <w:rsid w:val="008B7C0A"/>
    <w:rsid w:val="008C5085"/>
    <w:rsid w:val="008C522B"/>
    <w:rsid w:val="008D1910"/>
    <w:rsid w:val="008D66EE"/>
    <w:rsid w:val="008E037C"/>
    <w:rsid w:val="008E0AAD"/>
    <w:rsid w:val="008E1412"/>
    <w:rsid w:val="008E2D8E"/>
    <w:rsid w:val="008E6C0B"/>
    <w:rsid w:val="008F2335"/>
    <w:rsid w:val="008F2FD2"/>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7F7D"/>
    <w:rsid w:val="00930245"/>
    <w:rsid w:val="00932818"/>
    <w:rsid w:val="0095041F"/>
    <w:rsid w:val="009537C2"/>
    <w:rsid w:val="009538A0"/>
    <w:rsid w:val="0095727F"/>
    <w:rsid w:val="009663D2"/>
    <w:rsid w:val="009739F0"/>
    <w:rsid w:val="00974A23"/>
    <w:rsid w:val="009764BB"/>
    <w:rsid w:val="009767E7"/>
    <w:rsid w:val="00980801"/>
    <w:rsid w:val="00980C2C"/>
    <w:rsid w:val="00981FC4"/>
    <w:rsid w:val="00984A1C"/>
    <w:rsid w:val="00992D62"/>
    <w:rsid w:val="0099381E"/>
    <w:rsid w:val="00995C86"/>
    <w:rsid w:val="0099647E"/>
    <w:rsid w:val="009971E2"/>
    <w:rsid w:val="009A0C1F"/>
    <w:rsid w:val="009B3AC5"/>
    <w:rsid w:val="009C3146"/>
    <w:rsid w:val="009C3A8B"/>
    <w:rsid w:val="009C58BC"/>
    <w:rsid w:val="009D7553"/>
    <w:rsid w:val="009F2A3B"/>
    <w:rsid w:val="009F35A2"/>
    <w:rsid w:val="009F6EF0"/>
    <w:rsid w:val="00A01BED"/>
    <w:rsid w:val="00A0726B"/>
    <w:rsid w:val="00A103D4"/>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33F"/>
    <w:rsid w:val="00A92D96"/>
    <w:rsid w:val="00A93592"/>
    <w:rsid w:val="00A936C4"/>
    <w:rsid w:val="00A95872"/>
    <w:rsid w:val="00AA009D"/>
    <w:rsid w:val="00AA4BE9"/>
    <w:rsid w:val="00AB38DD"/>
    <w:rsid w:val="00AB507B"/>
    <w:rsid w:val="00AC55A2"/>
    <w:rsid w:val="00AC61FB"/>
    <w:rsid w:val="00AD176C"/>
    <w:rsid w:val="00AE4C8D"/>
    <w:rsid w:val="00AE5B38"/>
    <w:rsid w:val="00AF353D"/>
    <w:rsid w:val="00AF3C60"/>
    <w:rsid w:val="00B0176A"/>
    <w:rsid w:val="00B01E2E"/>
    <w:rsid w:val="00B10427"/>
    <w:rsid w:val="00B11EF7"/>
    <w:rsid w:val="00B13C26"/>
    <w:rsid w:val="00B157E9"/>
    <w:rsid w:val="00B208F5"/>
    <w:rsid w:val="00B22117"/>
    <w:rsid w:val="00B25189"/>
    <w:rsid w:val="00B3143C"/>
    <w:rsid w:val="00B31D11"/>
    <w:rsid w:val="00B3281A"/>
    <w:rsid w:val="00B3285E"/>
    <w:rsid w:val="00B35B0F"/>
    <w:rsid w:val="00B37BE3"/>
    <w:rsid w:val="00B40248"/>
    <w:rsid w:val="00B41191"/>
    <w:rsid w:val="00B413DA"/>
    <w:rsid w:val="00B41454"/>
    <w:rsid w:val="00B453FB"/>
    <w:rsid w:val="00B519B8"/>
    <w:rsid w:val="00B53E65"/>
    <w:rsid w:val="00B55964"/>
    <w:rsid w:val="00B601F1"/>
    <w:rsid w:val="00B64734"/>
    <w:rsid w:val="00B67232"/>
    <w:rsid w:val="00B70CFA"/>
    <w:rsid w:val="00B76962"/>
    <w:rsid w:val="00B778AE"/>
    <w:rsid w:val="00B8025D"/>
    <w:rsid w:val="00B838BE"/>
    <w:rsid w:val="00B94BD6"/>
    <w:rsid w:val="00B965CD"/>
    <w:rsid w:val="00B96925"/>
    <w:rsid w:val="00BA19FD"/>
    <w:rsid w:val="00BB7153"/>
    <w:rsid w:val="00BD0907"/>
    <w:rsid w:val="00BD097A"/>
    <w:rsid w:val="00BD1315"/>
    <w:rsid w:val="00BD7BB9"/>
    <w:rsid w:val="00BE2840"/>
    <w:rsid w:val="00BE3587"/>
    <w:rsid w:val="00BF4D28"/>
    <w:rsid w:val="00C00278"/>
    <w:rsid w:val="00C01BF4"/>
    <w:rsid w:val="00C02160"/>
    <w:rsid w:val="00C02404"/>
    <w:rsid w:val="00C05A3E"/>
    <w:rsid w:val="00C17F95"/>
    <w:rsid w:val="00C25757"/>
    <w:rsid w:val="00C260AF"/>
    <w:rsid w:val="00C33EB8"/>
    <w:rsid w:val="00C41AC4"/>
    <w:rsid w:val="00C45319"/>
    <w:rsid w:val="00C52474"/>
    <w:rsid w:val="00C525E9"/>
    <w:rsid w:val="00C53081"/>
    <w:rsid w:val="00C54619"/>
    <w:rsid w:val="00C54CD9"/>
    <w:rsid w:val="00C56036"/>
    <w:rsid w:val="00C7050E"/>
    <w:rsid w:val="00C71B60"/>
    <w:rsid w:val="00C72589"/>
    <w:rsid w:val="00C72A95"/>
    <w:rsid w:val="00C77489"/>
    <w:rsid w:val="00C84AA7"/>
    <w:rsid w:val="00C942CA"/>
    <w:rsid w:val="00C94410"/>
    <w:rsid w:val="00C95EEF"/>
    <w:rsid w:val="00C97DB7"/>
    <w:rsid w:val="00CA7027"/>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6E4"/>
    <w:rsid w:val="00D46823"/>
    <w:rsid w:val="00D47DB9"/>
    <w:rsid w:val="00D61093"/>
    <w:rsid w:val="00D613AA"/>
    <w:rsid w:val="00D630CC"/>
    <w:rsid w:val="00D6613E"/>
    <w:rsid w:val="00D678A1"/>
    <w:rsid w:val="00D72411"/>
    <w:rsid w:val="00D732E5"/>
    <w:rsid w:val="00D80446"/>
    <w:rsid w:val="00D80D88"/>
    <w:rsid w:val="00D80EFF"/>
    <w:rsid w:val="00D81106"/>
    <w:rsid w:val="00D81503"/>
    <w:rsid w:val="00D82B72"/>
    <w:rsid w:val="00D8309A"/>
    <w:rsid w:val="00D85FFA"/>
    <w:rsid w:val="00D9097E"/>
    <w:rsid w:val="00D915B2"/>
    <w:rsid w:val="00D926EC"/>
    <w:rsid w:val="00D92735"/>
    <w:rsid w:val="00D95398"/>
    <w:rsid w:val="00DA430D"/>
    <w:rsid w:val="00DA5CDF"/>
    <w:rsid w:val="00DA71A7"/>
    <w:rsid w:val="00DB1289"/>
    <w:rsid w:val="00DB14AA"/>
    <w:rsid w:val="00DB19EC"/>
    <w:rsid w:val="00DB45C0"/>
    <w:rsid w:val="00DC0D0B"/>
    <w:rsid w:val="00DC1B4A"/>
    <w:rsid w:val="00DC7187"/>
    <w:rsid w:val="00DD0E29"/>
    <w:rsid w:val="00DD28CE"/>
    <w:rsid w:val="00DD3639"/>
    <w:rsid w:val="00DD44CA"/>
    <w:rsid w:val="00DE12E5"/>
    <w:rsid w:val="00DF03CD"/>
    <w:rsid w:val="00DF0CA7"/>
    <w:rsid w:val="00DF3B48"/>
    <w:rsid w:val="00E0351A"/>
    <w:rsid w:val="00E113CA"/>
    <w:rsid w:val="00E13BDC"/>
    <w:rsid w:val="00E140A1"/>
    <w:rsid w:val="00E2456A"/>
    <w:rsid w:val="00E24D0D"/>
    <w:rsid w:val="00E25463"/>
    <w:rsid w:val="00E32C9E"/>
    <w:rsid w:val="00E424E6"/>
    <w:rsid w:val="00E42BCF"/>
    <w:rsid w:val="00E42FAC"/>
    <w:rsid w:val="00E47DAD"/>
    <w:rsid w:val="00E50B9C"/>
    <w:rsid w:val="00E5754A"/>
    <w:rsid w:val="00E57D89"/>
    <w:rsid w:val="00E641F4"/>
    <w:rsid w:val="00E67234"/>
    <w:rsid w:val="00E675E8"/>
    <w:rsid w:val="00E6778E"/>
    <w:rsid w:val="00E7052B"/>
    <w:rsid w:val="00E778F9"/>
    <w:rsid w:val="00E84290"/>
    <w:rsid w:val="00E84D1E"/>
    <w:rsid w:val="00E86F19"/>
    <w:rsid w:val="00E9017B"/>
    <w:rsid w:val="00E92A89"/>
    <w:rsid w:val="00EA000A"/>
    <w:rsid w:val="00EA08BC"/>
    <w:rsid w:val="00EA0D2D"/>
    <w:rsid w:val="00EA210B"/>
    <w:rsid w:val="00EA7A4F"/>
    <w:rsid w:val="00EB580D"/>
    <w:rsid w:val="00EC31AD"/>
    <w:rsid w:val="00EC48C7"/>
    <w:rsid w:val="00EC4A73"/>
    <w:rsid w:val="00EC6DB5"/>
    <w:rsid w:val="00ED2B67"/>
    <w:rsid w:val="00ED7C64"/>
    <w:rsid w:val="00EE6829"/>
    <w:rsid w:val="00EE74EC"/>
    <w:rsid w:val="00EF1B0D"/>
    <w:rsid w:val="00EF3874"/>
    <w:rsid w:val="00F006CF"/>
    <w:rsid w:val="00F01646"/>
    <w:rsid w:val="00F0385F"/>
    <w:rsid w:val="00F108C4"/>
    <w:rsid w:val="00F13505"/>
    <w:rsid w:val="00F150B5"/>
    <w:rsid w:val="00F20B84"/>
    <w:rsid w:val="00F224A3"/>
    <w:rsid w:val="00F22E2D"/>
    <w:rsid w:val="00F234A6"/>
    <w:rsid w:val="00F23780"/>
    <w:rsid w:val="00F24591"/>
    <w:rsid w:val="00F26510"/>
    <w:rsid w:val="00F26EDF"/>
    <w:rsid w:val="00F26F55"/>
    <w:rsid w:val="00F3059E"/>
    <w:rsid w:val="00F333B5"/>
    <w:rsid w:val="00F342A7"/>
    <w:rsid w:val="00F3469B"/>
    <w:rsid w:val="00F35DEA"/>
    <w:rsid w:val="00F379EA"/>
    <w:rsid w:val="00F43A65"/>
    <w:rsid w:val="00F479E8"/>
    <w:rsid w:val="00F50467"/>
    <w:rsid w:val="00F50A2C"/>
    <w:rsid w:val="00F5164F"/>
    <w:rsid w:val="00F57816"/>
    <w:rsid w:val="00F6127D"/>
    <w:rsid w:val="00F72A2B"/>
    <w:rsid w:val="00F73AA8"/>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067C05CB-4F5D-41A8-8735-C21615E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12"/>
    <w:qFormat/>
    <w:rsid w:val="00F73AA8"/>
    <w:pPr>
      <w:spacing w:after="120"/>
    </w:pPr>
    <w:rPr>
      <w:rFonts w:ascii="Times" w:hAnsi="Times"/>
    </w:rPr>
  </w:style>
  <w:style w:type="character" w:customStyle="1" w:styleId="af1">
    <w:name w:val="正文文本 字符"/>
    <w:basedOn w:val="a0"/>
    <w:uiPriority w:val="99"/>
    <w:semiHidden/>
    <w:rsid w:val="00F73AA8"/>
  </w:style>
  <w:style w:type="character" w:customStyle="1" w:styleId="12">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0"/>
    <w:qFormat/>
    <w:rsid w:val="00F73AA8"/>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887B8-55F1-4F35-8769-63973947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3</Pages>
  <Words>1141</Words>
  <Characters>6504</Characters>
  <Application>Microsoft Office Word</Application>
  <DocSecurity>0</DocSecurity>
  <Lines>54</Lines>
  <Paragraphs>15</Paragraphs>
  <ScaleCrop>false</ScaleCrop>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21</cp:revision>
  <dcterms:created xsi:type="dcterms:W3CDTF">2024-01-08T02:26:00Z</dcterms:created>
  <dcterms:modified xsi:type="dcterms:W3CDTF">2025-03-28T10:26:00Z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