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5A8B1" w14:textId="2A967FD1" w:rsidR="00337097" w:rsidRPr="00337097" w:rsidRDefault="00337097" w:rsidP="00337097">
      <w:pPr>
        <w:rPr>
          <w:rFonts w:ascii="Arial" w:eastAsia="Calibri" w:hAnsi="Arial" w:cs="Arial"/>
          <w:b/>
          <w:bCs/>
          <w:sz w:val="24"/>
          <w:lang w:val="en-US"/>
        </w:rPr>
      </w:pPr>
      <w:r w:rsidRPr="00337097">
        <w:rPr>
          <w:rFonts w:ascii="Arial" w:eastAsia="Calibri" w:hAnsi="Arial" w:cs="Arial"/>
          <w:b/>
          <w:bCs/>
          <w:sz w:val="24"/>
          <w:lang w:val="en-US"/>
        </w:rPr>
        <w:t xml:space="preserve">3GPP TSG-RAN WG4 Meeting #114                               </w:t>
      </w:r>
      <w:r w:rsidR="00B02E97">
        <w:rPr>
          <w:rFonts w:ascii="Arial" w:eastAsia="Calibri" w:hAnsi="Arial" w:cs="Arial"/>
          <w:b/>
          <w:bCs/>
          <w:sz w:val="24"/>
          <w:lang w:val="en-US"/>
        </w:rPr>
        <w:t xml:space="preserve">                        </w:t>
      </w:r>
      <w:r w:rsidR="00613AED" w:rsidRPr="00613AED">
        <w:rPr>
          <w:rFonts w:ascii="Arial" w:eastAsia="Calibri" w:hAnsi="Arial" w:cs="Arial"/>
          <w:b/>
          <w:bCs/>
          <w:sz w:val="24"/>
          <w:lang w:val="en-US"/>
        </w:rPr>
        <w:t>R4-2503523</w:t>
      </w:r>
    </w:p>
    <w:p w14:paraId="6FDAD981" w14:textId="3DB5E6F1" w:rsidR="00337097" w:rsidRDefault="00AA5CE6" w:rsidP="00AA5CE6">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Wuhan</w:t>
      </w:r>
      <w:r w:rsidRPr="00F542A0">
        <w:rPr>
          <w:rFonts w:ascii="Arial" w:eastAsia="SimSun" w:hAnsi="Arial" w:cs="Arial"/>
          <w:b/>
          <w:sz w:val="24"/>
          <w:szCs w:val="24"/>
          <w:lang w:eastAsia="zh-CN"/>
        </w:rPr>
        <w:t xml:space="preserve">, </w:t>
      </w:r>
      <w:r>
        <w:rPr>
          <w:rFonts w:ascii="Arial" w:eastAsia="SimSun" w:hAnsi="Arial" w:cs="Arial"/>
          <w:b/>
          <w:sz w:val="24"/>
          <w:szCs w:val="24"/>
          <w:lang w:eastAsia="zh-CN"/>
        </w:rPr>
        <w:t>Hubei, China</w:t>
      </w:r>
      <w:r w:rsidRPr="00F542A0">
        <w:rPr>
          <w:rFonts w:ascii="Arial" w:eastAsia="SimSun" w:hAnsi="Arial" w:cs="Arial"/>
          <w:b/>
          <w:sz w:val="24"/>
          <w:szCs w:val="24"/>
          <w:lang w:eastAsia="zh-CN"/>
        </w:rPr>
        <w:t xml:space="preserve">, </w:t>
      </w:r>
      <w:r>
        <w:rPr>
          <w:rFonts w:ascii="Arial" w:eastAsia="SimSun" w:hAnsi="Arial" w:cs="Arial"/>
          <w:b/>
          <w:sz w:val="24"/>
          <w:szCs w:val="24"/>
          <w:lang w:eastAsia="zh-CN"/>
        </w:rPr>
        <w:t>0</w:t>
      </w:r>
      <w:r w:rsidRPr="00F542A0">
        <w:rPr>
          <w:rFonts w:ascii="Arial" w:eastAsia="SimSun" w:hAnsi="Arial" w:cs="Arial"/>
          <w:b/>
          <w:sz w:val="24"/>
          <w:szCs w:val="24"/>
          <w:lang w:eastAsia="zh-CN"/>
        </w:rPr>
        <w:t>7</w:t>
      </w:r>
      <w:r w:rsidRPr="00F542A0">
        <w:rPr>
          <w:rFonts w:ascii="Arial" w:eastAsia="SimSun" w:hAnsi="Arial" w:cs="Arial"/>
          <w:b/>
          <w:sz w:val="24"/>
          <w:szCs w:val="24"/>
          <w:vertAlign w:val="superscript"/>
          <w:lang w:eastAsia="zh-CN"/>
        </w:rPr>
        <w:t>th</w:t>
      </w:r>
      <w:r w:rsidRPr="00F542A0">
        <w:rPr>
          <w:rFonts w:ascii="Arial" w:eastAsia="SimSun" w:hAnsi="Arial" w:cs="Arial"/>
          <w:b/>
          <w:sz w:val="24"/>
          <w:szCs w:val="24"/>
          <w:lang w:eastAsia="zh-CN"/>
        </w:rPr>
        <w:t xml:space="preserve"> – </w:t>
      </w:r>
      <w:r>
        <w:rPr>
          <w:rFonts w:ascii="Arial" w:eastAsia="SimSun" w:hAnsi="Arial" w:cs="Arial"/>
          <w:b/>
          <w:sz w:val="24"/>
          <w:szCs w:val="24"/>
          <w:lang w:eastAsia="zh-CN"/>
        </w:rPr>
        <w:t>11</w:t>
      </w:r>
      <w:r>
        <w:rPr>
          <w:rFonts w:ascii="Arial" w:eastAsia="SimSun" w:hAnsi="Arial" w:cs="Arial"/>
          <w:b/>
          <w:sz w:val="24"/>
          <w:szCs w:val="24"/>
          <w:vertAlign w:val="superscript"/>
          <w:lang w:eastAsia="zh-CN"/>
        </w:rPr>
        <w:t>th</w:t>
      </w:r>
      <w:r w:rsidRPr="00F542A0">
        <w:rPr>
          <w:rFonts w:ascii="Arial" w:eastAsia="SimSun" w:hAnsi="Arial" w:cs="Arial"/>
          <w:b/>
          <w:sz w:val="24"/>
          <w:szCs w:val="24"/>
          <w:lang w:eastAsia="zh-CN"/>
        </w:rPr>
        <w:t xml:space="preserve"> </w:t>
      </w:r>
      <w:proofErr w:type="gramStart"/>
      <w:r>
        <w:rPr>
          <w:rFonts w:ascii="Arial" w:eastAsia="SimSun" w:hAnsi="Arial" w:cs="Arial"/>
          <w:b/>
          <w:sz w:val="24"/>
          <w:szCs w:val="24"/>
          <w:lang w:eastAsia="zh-CN"/>
        </w:rPr>
        <w:t>April</w:t>
      </w:r>
      <w:r w:rsidRPr="00F542A0">
        <w:rPr>
          <w:rFonts w:ascii="Arial" w:eastAsia="SimSun" w:hAnsi="Arial" w:cs="Arial"/>
          <w:b/>
          <w:sz w:val="24"/>
          <w:szCs w:val="24"/>
          <w:lang w:eastAsia="zh-CN"/>
        </w:rPr>
        <w:t>,</w:t>
      </w:r>
      <w:proofErr w:type="gramEnd"/>
      <w:r w:rsidRPr="00F542A0">
        <w:rPr>
          <w:rFonts w:ascii="Arial" w:eastAsia="SimSun" w:hAnsi="Arial" w:cs="Arial"/>
          <w:b/>
          <w:sz w:val="24"/>
          <w:szCs w:val="24"/>
          <w:lang w:eastAsia="zh-CN"/>
        </w:rPr>
        <w:t xml:space="preserve"> 2025</w:t>
      </w:r>
    </w:p>
    <w:p w14:paraId="1682FDC8" w14:textId="77777777" w:rsidR="00AA5CE6" w:rsidRPr="00AA5CE6" w:rsidRDefault="00AA5CE6" w:rsidP="00AA5CE6">
      <w:pPr>
        <w:pStyle w:val="Header"/>
        <w:tabs>
          <w:tab w:val="right" w:pos="9781"/>
          <w:tab w:val="right" w:pos="13323"/>
        </w:tabs>
        <w:spacing w:before="60" w:after="60"/>
        <w:outlineLvl w:val="0"/>
        <w:rPr>
          <w:rFonts w:ascii="Arial" w:eastAsia="SimSun" w:hAnsi="Arial" w:cs="Arial"/>
          <w:b/>
          <w:sz w:val="24"/>
          <w:szCs w:val="24"/>
          <w:lang w:eastAsia="zh-CN"/>
        </w:rPr>
      </w:pPr>
    </w:p>
    <w:p w14:paraId="1B7C250B" w14:textId="5DD67240" w:rsidR="00841BCD"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bookmarkStart w:id="0" w:name="OLE_LINK3"/>
      <w:r w:rsidR="00CE30E6" w:rsidRPr="00CE30E6">
        <w:rPr>
          <w:rFonts w:ascii="Arial" w:eastAsia="Calibri" w:hAnsi="Arial" w:cs="Arial" w:hint="eastAsia"/>
          <w:b/>
          <w:bCs/>
          <w:sz w:val="24"/>
          <w:lang w:val="en-US"/>
        </w:rPr>
        <w:t>S</w:t>
      </w:r>
      <w:r w:rsidR="00CE30E6" w:rsidRPr="00CE30E6">
        <w:rPr>
          <w:rFonts w:ascii="Arial" w:eastAsia="Calibri" w:hAnsi="Arial" w:cs="Arial"/>
          <w:b/>
          <w:bCs/>
          <w:sz w:val="24"/>
          <w:lang w:val="en-US"/>
        </w:rPr>
        <w:t xml:space="preserve">tudy of RAN4 impacts </w:t>
      </w:r>
      <w:r w:rsidR="00CE30E6" w:rsidRPr="00CE30E6">
        <w:rPr>
          <w:rFonts w:ascii="Arial" w:eastAsia="Calibri" w:hAnsi="Arial" w:cs="Arial" w:hint="eastAsia"/>
          <w:b/>
          <w:bCs/>
          <w:sz w:val="24"/>
          <w:lang w:val="en-US"/>
        </w:rPr>
        <w:t>f</w:t>
      </w:r>
      <w:r w:rsidR="00CE30E6" w:rsidRPr="00CE30E6">
        <w:rPr>
          <w:rFonts w:ascii="Arial" w:eastAsia="Calibri" w:hAnsi="Arial" w:cs="Arial"/>
          <w:b/>
          <w:bCs/>
          <w:sz w:val="24"/>
          <w:lang w:val="en-US"/>
        </w:rPr>
        <w:t xml:space="preserve">or </w:t>
      </w:r>
      <w:bookmarkEnd w:id="0"/>
      <w:r w:rsidR="00CE30E6" w:rsidRPr="00CE30E6">
        <w:rPr>
          <w:rFonts w:ascii="Arial" w:eastAsia="Calibri" w:hAnsi="Arial" w:cs="Arial"/>
          <w:b/>
          <w:bCs/>
          <w:sz w:val="24"/>
          <w:lang w:val="en-US"/>
        </w:rPr>
        <w:t>measurement event prediction</w:t>
      </w:r>
      <w:r w:rsidR="00CE30E6" w:rsidRPr="00CE30E6">
        <w:rPr>
          <w:rFonts w:ascii="Arial" w:eastAsia="Calibri" w:hAnsi="Arial" w:cs="Arial" w:hint="eastAsia"/>
          <w:b/>
          <w:bCs/>
          <w:sz w:val="24"/>
          <w:lang w:val="en-US"/>
        </w:rPr>
        <w:t xml:space="preserve"> </w:t>
      </w:r>
      <w:r w:rsidR="00741A63">
        <w:rPr>
          <w:rFonts w:ascii="Arial" w:eastAsia="Calibri" w:hAnsi="Arial" w:cs="Arial"/>
          <w:b/>
          <w:bCs/>
          <w:sz w:val="24"/>
          <w:lang w:val="en-US"/>
        </w:rPr>
        <w:t xml:space="preserve">for </w:t>
      </w:r>
      <w:r w:rsidR="00D3644B">
        <w:rPr>
          <w:rFonts w:ascii="Arial" w:eastAsia="Calibri" w:hAnsi="Arial" w:cs="Arial"/>
          <w:b/>
          <w:bCs/>
          <w:sz w:val="24"/>
          <w:lang w:val="en-US"/>
        </w:rPr>
        <w:t xml:space="preserve">AIML Mobility </w:t>
      </w:r>
      <w:r w:rsidR="00741A63">
        <w:rPr>
          <w:rFonts w:ascii="Arial" w:eastAsia="Calibri" w:hAnsi="Arial" w:cs="Arial"/>
          <w:b/>
          <w:bCs/>
          <w:sz w:val="24"/>
          <w:lang w:val="en-US"/>
        </w:rPr>
        <w:t>in NR</w:t>
      </w:r>
    </w:p>
    <w:p w14:paraId="4AC9618A" w14:textId="77777777" w:rsidR="009A741B" w:rsidRPr="009A741B" w:rsidRDefault="009A741B" w:rsidP="009A741B">
      <w:pPr>
        <w:ind w:left="1985" w:hanging="1985"/>
        <w:rPr>
          <w:rFonts w:ascii="Arial" w:eastAsia="Calibri" w:hAnsi="Arial" w:cs="Arial"/>
          <w:b/>
          <w:bCs/>
          <w:sz w:val="24"/>
          <w:lang w:val="en-US"/>
        </w:rPr>
      </w:pPr>
      <w:r w:rsidRPr="009A741B">
        <w:rPr>
          <w:rFonts w:ascii="Arial" w:eastAsia="Calibri" w:hAnsi="Arial" w:cs="Arial"/>
          <w:b/>
          <w:bCs/>
          <w:sz w:val="24"/>
          <w:lang w:val="en-US"/>
        </w:rPr>
        <w:t>Source:</w:t>
      </w:r>
      <w:r w:rsidRPr="009A741B">
        <w:rPr>
          <w:rFonts w:ascii="Arial" w:eastAsia="Calibri" w:hAnsi="Arial" w:cs="Arial"/>
          <w:b/>
          <w:bCs/>
          <w:sz w:val="24"/>
          <w:lang w:val="en-US"/>
        </w:rPr>
        <w:tab/>
        <w:t>Apple</w:t>
      </w:r>
    </w:p>
    <w:p w14:paraId="04A5E2C1" w14:textId="61603E29"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663307">
        <w:rPr>
          <w:rFonts w:ascii="Arial" w:eastAsia="MS Mincho" w:hAnsi="Arial" w:cs="Arial"/>
          <w:b/>
          <w:bCs/>
          <w:sz w:val="24"/>
          <w:szCs w:val="20"/>
          <w:lang w:val="en-US"/>
        </w:rPr>
        <w:t>7</w:t>
      </w:r>
      <w:r w:rsidR="00C744E1">
        <w:rPr>
          <w:rFonts w:ascii="Arial" w:eastAsia="MS Mincho" w:hAnsi="Arial" w:cs="Arial"/>
          <w:b/>
          <w:bCs/>
          <w:sz w:val="24"/>
          <w:szCs w:val="20"/>
          <w:lang w:val="en-US"/>
        </w:rPr>
        <w:t>.</w:t>
      </w:r>
      <w:r w:rsidR="00337097">
        <w:rPr>
          <w:rFonts w:ascii="Arial" w:eastAsia="MS Mincho" w:hAnsi="Arial" w:cs="Arial"/>
          <w:b/>
          <w:bCs/>
          <w:sz w:val="24"/>
          <w:szCs w:val="20"/>
          <w:lang w:val="en-US"/>
        </w:rPr>
        <w:t>21</w:t>
      </w:r>
      <w:r w:rsidR="00C14737">
        <w:rPr>
          <w:rFonts w:ascii="Arial" w:eastAsia="MS Mincho" w:hAnsi="Arial" w:cs="Arial"/>
          <w:b/>
          <w:bCs/>
          <w:sz w:val="24"/>
          <w:szCs w:val="20"/>
          <w:lang w:val="en-US"/>
        </w:rPr>
        <w:t>.</w:t>
      </w:r>
      <w:r w:rsidR="00CC2C34">
        <w:rPr>
          <w:rFonts w:ascii="Arial" w:eastAsia="MS Mincho" w:hAnsi="Arial" w:cs="Arial"/>
          <w:b/>
          <w:bCs/>
          <w:sz w:val="24"/>
          <w:szCs w:val="20"/>
          <w:lang w:val="en-US"/>
        </w:rPr>
        <w:t>2</w:t>
      </w:r>
      <w:r w:rsidR="00AA5CE6">
        <w:rPr>
          <w:rFonts w:ascii="Arial" w:eastAsia="MS Mincho" w:hAnsi="Arial" w:cs="Arial"/>
          <w:b/>
          <w:bCs/>
          <w:sz w:val="24"/>
          <w:szCs w:val="20"/>
          <w:lang w:val="en-US"/>
        </w:rPr>
        <w:t>.</w:t>
      </w:r>
      <w:r w:rsidR="00A87F05">
        <w:rPr>
          <w:rFonts w:ascii="Arial" w:eastAsia="MS Mincho" w:hAnsi="Arial" w:cs="Arial"/>
          <w:b/>
          <w:bCs/>
          <w:sz w:val="24"/>
          <w:szCs w:val="20"/>
          <w:lang w:val="en-US"/>
        </w:rPr>
        <w:t>2</w:t>
      </w:r>
    </w:p>
    <w:p w14:paraId="60E0DF73" w14:textId="791EE229"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71BFB628" w14:textId="24DCBA36" w:rsidR="00EF5236" w:rsidRPr="00EF5236" w:rsidRDefault="00841BCD" w:rsidP="00EF5236">
      <w:pPr>
        <w:pStyle w:val="RAN4H1"/>
        <w:rPr>
          <w:lang w:val="en-US"/>
        </w:rPr>
      </w:pPr>
      <w:bookmarkStart w:id="1" w:name="_Toc116995841"/>
      <w:r w:rsidRPr="00614DD8">
        <w:rPr>
          <w:lang w:val="en-US"/>
        </w:rPr>
        <w:t>Intro</w:t>
      </w:r>
      <w:r w:rsidRPr="00614DD8">
        <w:rPr>
          <w:rStyle w:val="RAN4H1Char"/>
          <w:lang w:val="en-US"/>
        </w:rPr>
        <w:t>ductio</w:t>
      </w:r>
      <w:r w:rsidRPr="00614DD8">
        <w:rPr>
          <w:lang w:val="en-US"/>
        </w:rPr>
        <w:t>n</w:t>
      </w:r>
      <w:bookmarkEnd w:id="1"/>
    </w:p>
    <w:p w14:paraId="1AAA3CA4" w14:textId="77777777" w:rsidR="00EF5236" w:rsidRDefault="00EF5236" w:rsidP="00EF5236">
      <w:pPr>
        <w:overflowPunct w:val="0"/>
        <w:autoSpaceDE w:val="0"/>
        <w:autoSpaceDN w:val="0"/>
        <w:adjustRightInd w:val="0"/>
        <w:spacing w:after="0"/>
        <w:jc w:val="both"/>
        <w:textAlignment w:val="baseline"/>
        <w:rPr>
          <w:bCs/>
          <w:lang w:val="en-US"/>
        </w:rPr>
      </w:pPr>
      <w:r>
        <w:rPr>
          <w:bCs/>
          <w:lang w:val="en-US"/>
        </w:rPr>
        <w:t>In the last RAN2 meeting (RAN2 #128 [1]), the simulation framework, assumptions, and parameters for Measurement Event Prediction for handover events were discussed. Among the agreements captured in the Chair notes [1], definitions were agreed for 4 indirect measurement event prediction cases:</w:t>
      </w:r>
    </w:p>
    <w:p w14:paraId="0FE50FFC" w14:textId="77777777" w:rsidR="00EF5236" w:rsidRDefault="00EF5236" w:rsidP="00EF5236">
      <w:pPr>
        <w:overflowPunct w:val="0"/>
        <w:autoSpaceDE w:val="0"/>
        <w:autoSpaceDN w:val="0"/>
        <w:adjustRightInd w:val="0"/>
        <w:spacing w:after="0"/>
        <w:jc w:val="both"/>
        <w:textAlignment w:val="baseline"/>
        <w:rPr>
          <w:bCs/>
          <w:lang w:val="en-US"/>
        </w:rPr>
      </w:pPr>
    </w:p>
    <w:p w14:paraId="61A2F70F" w14:textId="77777777" w:rsidR="00EF5236" w:rsidRPr="00280C7F" w:rsidRDefault="00EF5236" w:rsidP="00EF5236">
      <w:pPr>
        <w:pStyle w:val="ListParagraph"/>
        <w:numPr>
          <w:ilvl w:val="0"/>
          <w:numId w:val="56"/>
        </w:numPr>
        <w:spacing w:after="180" w:line="240" w:lineRule="auto"/>
        <w:rPr>
          <w:bCs/>
          <w:lang w:val="en-US"/>
        </w:rPr>
      </w:pPr>
      <w:r w:rsidRPr="00280C7F">
        <w:rPr>
          <w:bCs/>
          <w:u w:val="single"/>
          <w:lang w:val="en-US"/>
        </w:rPr>
        <w:t>Indirect measurement event prediction for temporal domain case A</w:t>
      </w:r>
      <w:r w:rsidRPr="00280C7F">
        <w:rPr>
          <w:bCs/>
          <w:lang w:val="en-US"/>
        </w:rPr>
        <w:t>: Future measurement result(s) is predicted by an RRM measurement prediction model at first. Afterwards, predicted and optionally actual historical measurement result(s) are used to derive whether a measurement event at a future time occurs, without further involvement of an AI/ML model</w:t>
      </w:r>
    </w:p>
    <w:p w14:paraId="43ECE359" w14:textId="77777777" w:rsidR="00EF5236" w:rsidRPr="000A3F99" w:rsidRDefault="00EF5236" w:rsidP="00EF5236">
      <w:pPr>
        <w:pStyle w:val="ListParagraph"/>
        <w:numPr>
          <w:ilvl w:val="0"/>
          <w:numId w:val="56"/>
        </w:numPr>
        <w:spacing w:after="180" w:line="240" w:lineRule="auto"/>
        <w:rPr>
          <w:bCs/>
          <w:lang w:val="en-US"/>
        </w:rPr>
      </w:pPr>
      <w:r w:rsidRPr="000A3F99">
        <w:rPr>
          <w:bCs/>
          <w:u w:val="single"/>
          <w:lang w:val="en-US"/>
        </w:rPr>
        <w:t>Indirect measurement event prediction for temporal domain case B</w:t>
      </w:r>
      <w:r w:rsidRPr="00C962A1">
        <w:rPr>
          <w:bCs/>
          <w:lang w:val="en-US"/>
        </w:rPr>
        <w:t>: Future measurement result(s) is predicted by an RRM measurement prediction model at first. Afterwards, predicted and optionally actual historical measurement result(s) are used to derive whether a measurement event at a future time occurs, without further involvement of an AI/ML model</w:t>
      </w:r>
    </w:p>
    <w:p w14:paraId="71DAB28F" w14:textId="77777777" w:rsidR="00EF5236" w:rsidRPr="00C277AD" w:rsidRDefault="00EF5236" w:rsidP="00EF5236">
      <w:pPr>
        <w:pStyle w:val="ListParagraph"/>
        <w:numPr>
          <w:ilvl w:val="0"/>
          <w:numId w:val="56"/>
        </w:numPr>
        <w:overflowPunct w:val="0"/>
        <w:autoSpaceDE w:val="0"/>
        <w:autoSpaceDN w:val="0"/>
        <w:adjustRightInd w:val="0"/>
        <w:spacing w:after="180" w:line="240" w:lineRule="auto"/>
        <w:rPr>
          <w:bCs/>
          <w:lang w:val="en-US"/>
        </w:rPr>
      </w:pPr>
      <w:r w:rsidRPr="00C277AD">
        <w:rPr>
          <w:bCs/>
          <w:u w:val="single"/>
          <w:lang w:val="en-US"/>
        </w:rPr>
        <w:t>Indirect measurement event prediction for frequency domain</w:t>
      </w:r>
      <w:r>
        <w:rPr>
          <w:bCs/>
          <w:lang w:val="en-US"/>
        </w:rPr>
        <w:t xml:space="preserve">: </w:t>
      </w:r>
      <w:r w:rsidRPr="00C277AD">
        <w:rPr>
          <w:bCs/>
          <w:lang w:val="en-US"/>
        </w:rPr>
        <w:t>Measurement result(s) is predicted by an RRM measurement prediction model at first. Afterwards, predicted and optional actual historical measurement result(s) of serving cell are used to derive whether a measurement event at a time instance occurs, without further involvement of an AI/ML model​</w:t>
      </w:r>
    </w:p>
    <w:p w14:paraId="6E0100FF" w14:textId="77777777" w:rsidR="00EF5236" w:rsidRDefault="00EF5236" w:rsidP="00EF5236">
      <w:pPr>
        <w:pStyle w:val="ListParagraph"/>
        <w:numPr>
          <w:ilvl w:val="0"/>
          <w:numId w:val="56"/>
        </w:numPr>
        <w:overflowPunct w:val="0"/>
        <w:autoSpaceDE w:val="0"/>
        <w:autoSpaceDN w:val="0"/>
        <w:adjustRightInd w:val="0"/>
        <w:spacing w:after="0" w:line="240" w:lineRule="auto"/>
        <w:jc w:val="both"/>
        <w:textAlignment w:val="baseline"/>
        <w:rPr>
          <w:bCs/>
          <w:lang w:val="en-US"/>
        </w:rPr>
      </w:pPr>
      <w:r w:rsidRPr="00C277AD">
        <w:rPr>
          <w:bCs/>
          <w:u w:val="single"/>
          <w:lang w:val="en-US"/>
        </w:rPr>
        <w:t>Indirect measurement event prediction for spatial domain</w:t>
      </w:r>
      <w:r w:rsidRPr="00C277AD">
        <w:rPr>
          <w:bCs/>
          <w:lang w:val="en-US"/>
        </w:rPr>
        <w:t>: Measurement result(s) is predicted by an RRM measurement prediction model in spatial domain at first. Afterwards, predicted measurement result(s) and actual measurement results are used to derive whether a measurement event at one time instance occurs, without further involvement of an AI/ML model</w:t>
      </w:r>
    </w:p>
    <w:p w14:paraId="379029CD" w14:textId="77777777" w:rsidR="00EF5236" w:rsidRPr="00C277AD" w:rsidRDefault="00EF5236" w:rsidP="00EF5236">
      <w:pPr>
        <w:overflowPunct w:val="0"/>
        <w:autoSpaceDE w:val="0"/>
        <w:autoSpaceDN w:val="0"/>
        <w:adjustRightInd w:val="0"/>
        <w:spacing w:after="0"/>
        <w:jc w:val="both"/>
        <w:textAlignment w:val="baseline"/>
        <w:rPr>
          <w:bCs/>
          <w:lang w:val="en-US"/>
        </w:rPr>
      </w:pPr>
    </w:p>
    <w:p w14:paraId="3AF2A04F" w14:textId="133F82FF" w:rsidR="003B659E" w:rsidRDefault="003B659E" w:rsidP="00AE56B1">
      <w:pPr>
        <w:pStyle w:val="RAN4H1"/>
        <w:rPr>
          <w:lang w:val="en-US"/>
        </w:rPr>
      </w:pPr>
      <w:bookmarkStart w:id="2" w:name="_Toc116995842"/>
      <w:r w:rsidRPr="00614DD8">
        <w:rPr>
          <w:lang w:val="en-US"/>
        </w:rPr>
        <w:t>Discussion</w:t>
      </w:r>
      <w:bookmarkEnd w:id="2"/>
    </w:p>
    <w:p w14:paraId="0DDA5E8D" w14:textId="0981A305" w:rsidR="008F523D" w:rsidRPr="008F523D" w:rsidRDefault="008F523D" w:rsidP="008F523D">
      <w:pPr>
        <w:rPr>
          <w:lang w:val="en-US" w:eastAsia="zh-CN"/>
        </w:rPr>
      </w:pPr>
      <w:r>
        <w:rPr>
          <w:lang w:val="en-US" w:eastAsia="zh-CN"/>
        </w:rPr>
        <w:t>In the TP for TR 38.744 [4], the following is captured:</w:t>
      </w:r>
    </w:p>
    <w:tbl>
      <w:tblPr>
        <w:tblStyle w:val="TableGrid"/>
        <w:tblW w:w="0" w:type="auto"/>
        <w:tblLook w:val="04A0" w:firstRow="1" w:lastRow="0" w:firstColumn="1" w:lastColumn="0" w:noHBand="0" w:noVBand="1"/>
      </w:tblPr>
      <w:tblGrid>
        <w:gridCol w:w="9617"/>
      </w:tblGrid>
      <w:tr w:rsidR="008F523D" w14:paraId="005357AA" w14:textId="77777777" w:rsidTr="000364ED">
        <w:tc>
          <w:tcPr>
            <w:tcW w:w="9631" w:type="dxa"/>
          </w:tcPr>
          <w:p w14:paraId="3406FAB8" w14:textId="77777777" w:rsidR="008F523D" w:rsidRPr="00C6378C" w:rsidRDefault="008F523D" w:rsidP="000364ED">
            <w:pPr>
              <w:rPr>
                <w:lang w:val="en-US" w:eastAsia="zh-CN"/>
              </w:rPr>
            </w:pPr>
            <w:r w:rsidRPr="00C6378C">
              <w:rPr>
                <w:lang w:val="en-US" w:eastAsia="zh-CN"/>
              </w:rPr>
              <w:t xml:space="preserve">There are two methods to predict measurement event, namely indirect and direct measurement event prediction as illustrated in Figure </w:t>
            </w:r>
            <w:r>
              <w:rPr>
                <w:lang w:val="en-US" w:eastAsia="zh-CN"/>
              </w:rPr>
              <w:t>1-1</w:t>
            </w:r>
            <w:r w:rsidRPr="00C6378C">
              <w:rPr>
                <w:lang w:val="en-US" w:eastAsia="zh-CN"/>
              </w:rPr>
              <w:t xml:space="preserve"> and Figure </w:t>
            </w:r>
            <w:r>
              <w:rPr>
                <w:lang w:val="en-US" w:eastAsia="zh-CN"/>
              </w:rPr>
              <w:t>1-2</w:t>
            </w:r>
            <w:r w:rsidRPr="00C6378C">
              <w:rPr>
                <w:lang w:val="en-US" w:eastAsia="zh-CN"/>
              </w:rPr>
              <w:t xml:space="preserve"> respectively. </w:t>
            </w:r>
          </w:p>
          <w:p w14:paraId="0ACD23DD" w14:textId="77777777" w:rsidR="008F523D" w:rsidRPr="00C6378C" w:rsidRDefault="00CF6935" w:rsidP="000364ED">
            <w:pPr>
              <w:jc w:val="center"/>
              <w:rPr>
                <w:lang w:val="en-US"/>
              </w:rPr>
            </w:pPr>
            <w:r>
              <w:rPr>
                <w:rFonts w:hint="eastAsia"/>
                <w:noProof/>
              </w:rPr>
              <w:object w:dxaOrig="14505" w:dyaOrig="1740" w14:anchorId="1856B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1.4pt;height:57.5pt;mso-width-percent:0;mso-height-percent:0;mso-width-percent:0;mso-height-percent:0" o:ole="">
                  <v:imagedata r:id="rId8" o:title=""/>
                </v:shape>
                <o:OLEObject Type="Embed" ProgID="Visio.Drawing.15" ShapeID="_x0000_i1026" DrawAspect="Content" ObjectID="_1804664310" r:id="rId9"/>
              </w:object>
            </w:r>
          </w:p>
          <w:p w14:paraId="7AE57F8B" w14:textId="77777777" w:rsidR="008F523D" w:rsidRPr="00BA1777" w:rsidRDefault="008F523D" w:rsidP="000364ED">
            <w:pPr>
              <w:jc w:val="center"/>
              <w:rPr>
                <w:rFonts w:ascii="Arial" w:eastAsia="Arial" w:hAnsi="Arial" w:cs="Arial"/>
                <w:b/>
                <w:lang w:val="en-US" w:eastAsia="zh-CN"/>
              </w:rPr>
            </w:pPr>
            <w:r w:rsidRPr="00BA1777">
              <w:rPr>
                <w:rFonts w:ascii="Arial" w:eastAsia="Arial" w:hAnsi="Arial" w:cs="Arial"/>
                <w:b/>
                <w:lang w:val="en-US" w:eastAsia="zh-CN"/>
              </w:rPr>
              <w:t>Figure 1-1 Indirect measurement event prediction</w:t>
            </w:r>
          </w:p>
          <w:p w14:paraId="515AE26B" w14:textId="77777777" w:rsidR="008F523D" w:rsidRPr="0022520F" w:rsidRDefault="008F523D" w:rsidP="000364ED">
            <w:pPr>
              <w:rPr>
                <w:lang w:val="en-US"/>
              </w:rPr>
            </w:pPr>
            <w:r w:rsidRPr="0022520F">
              <w:rPr>
                <w:lang w:val="en-US"/>
              </w:rPr>
              <w:t>In indirect measurement event prediction for intra-frequency temporal domain case A, temporal domain case B or spatial domain, measurement result(s) is predicted by a RRM measurement prediction model at first. Afterwards, predicted and optionally actual historical measurement result(s) of the same cell are used to derive whether a measurement event at one future time instance occurs, without further involvement of an AI/ML model.</w:t>
            </w:r>
          </w:p>
          <w:p w14:paraId="26AD0481" w14:textId="77777777" w:rsidR="008F523D" w:rsidRPr="00C6378C" w:rsidRDefault="008F523D" w:rsidP="000364ED">
            <w:pPr>
              <w:rPr>
                <w:lang w:val="en-US"/>
              </w:rPr>
            </w:pPr>
            <w:r w:rsidRPr="0022520F">
              <w:rPr>
                <w:lang w:val="en-US"/>
              </w:rPr>
              <w:t>In indirect measurement event prediction for frequency domain, measurement result(s) is predicted by a RRM measurement prediction model for frequency domain at first. Afterwards, predicted and optionally actual historical measurement result(s) of serving cell are used to derive whether a measurement event at one time instance occurs, without further involvement of an AI/ML model.</w:t>
            </w:r>
          </w:p>
          <w:p w14:paraId="56929657" w14:textId="77777777" w:rsidR="008F523D" w:rsidRPr="00C6378C" w:rsidRDefault="00CF6935" w:rsidP="000364ED">
            <w:pPr>
              <w:jc w:val="center"/>
              <w:rPr>
                <w:lang w:val="en-US"/>
              </w:rPr>
            </w:pPr>
            <w:r w:rsidRPr="00CF6935">
              <w:rPr>
                <w:rFonts w:eastAsiaTheme="minorEastAsia"/>
                <w:noProof/>
              </w:rPr>
              <w:object w:dxaOrig="9630" w:dyaOrig="1155" w14:anchorId="677B60B4">
                <v:shape id="_x0000_i1025" type="#_x0000_t75" alt="" style="width:481.4pt;height:57.5pt;mso-width-percent:0;mso-height-percent:0;mso-width-percent:0;mso-height-percent:0" o:ole="">
                  <v:imagedata r:id="rId10" o:title=""/>
                </v:shape>
                <o:OLEObject Type="Embed" ProgID="Visio.Drawing.15" ShapeID="_x0000_i1025" DrawAspect="Content" ObjectID="_1804664311" r:id="rId11"/>
              </w:object>
            </w:r>
          </w:p>
          <w:p w14:paraId="509E5A67" w14:textId="77777777" w:rsidR="008F523D" w:rsidRPr="00BA1777" w:rsidRDefault="008F523D" w:rsidP="000364ED">
            <w:pPr>
              <w:spacing w:line="259" w:lineRule="auto"/>
              <w:jc w:val="center"/>
              <w:rPr>
                <w:rFonts w:ascii="Arial" w:eastAsia="Arial" w:hAnsi="Arial" w:cs="Arial"/>
                <w:b/>
                <w:lang w:val="en-US" w:eastAsia="zh-CN"/>
              </w:rPr>
            </w:pPr>
            <w:r w:rsidRPr="00BA1777">
              <w:rPr>
                <w:rFonts w:ascii="Arial" w:eastAsia="Arial" w:hAnsi="Arial" w:cs="Arial"/>
                <w:b/>
                <w:lang w:val="en-US" w:eastAsia="zh-CN"/>
              </w:rPr>
              <w:t>Figure 1-2 Direct measurement event prediction</w:t>
            </w:r>
          </w:p>
          <w:p w14:paraId="65FEF03E" w14:textId="77777777" w:rsidR="008F523D" w:rsidRDefault="008F523D" w:rsidP="000364ED">
            <w:pPr>
              <w:rPr>
                <w:lang w:val="en-US"/>
              </w:rPr>
            </w:pPr>
            <w:r w:rsidRPr="00C6378C">
              <w:rPr>
                <w:lang w:val="en-US" w:eastAsia="zh-CN"/>
              </w:rPr>
              <w:t xml:space="preserve">As illustrated in Figure </w:t>
            </w:r>
            <w:r>
              <w:rPr>
                <w:lang w:val="en-US" w:eastAsia="zh-CN"/>
              </w:rPr>
              <w:t>1-2</w:t>
            </w:r>
            <w:r w:rsidRPr="00C6378C">
              <w:rPr>
                <w:lang w:val="en-US" w:eastAsia="zh-CN"/>
              </w:rPr>
              <w:t xml:space="preserve">, the input of the model with direct prediction is the same as indirect prediction as illustrated in Figure </w:t>
            </w:r>
            <w:r>
              <w:rPr>
                <w:lang w:val="en-US" w:eastAsia="zh-CN"/>
              </w:rPr>
              <w:t>1-1</w:t>
            </w:r>
            <w:r w:rsidRPr="00C6378C">
              <w:rPr>
                <w:lang w:val="en-US" w:eastAsia="zh-CN"/>
              </w:rPr>
              <w:t xml:space="preserve"> and additional other input is also allowed. Measurement event is predicted directly without any intermediate measurement results.</w:t>
            </w:r>
          </w:p>
        </w:tc>
      </w:tr>
    </w:tbl>
    <w:p w14:paraId="7AB95BE3" w14:textId="77777777" w:rsidR="008F523D" w:rsidRDefault="008F523D" w:rsidP="00EF5236"/>
    <w:p w14:paraId="0B34F455" w14:textId="3C17DE56" w:rsidR="00EF5236" w:rsidRPr="00EF5236" w:rsidRDefault="00EF5236" w:rsidP="00EF5236">
      <w:r>
        <w:t>The RAN2 agreements from RAN2#127bis meeting validates the need for performance requirement for event prediction from RAN4.</w:t>
      </w:r>
    </w:p>
    <w:p w14:paraId="7D5144A8" w14:textId="77777777" w:rsidR="00EF5236" w:rsidRDefault="00EF5236" w:rsidP="00EF5236">
      <w:pPr>
        <w:rPr>
          <w:rFonts w:cstheme="minorHAnsi"/>
          <w:i/>
          <w:iCs/>
          <w:u w:val="single"/>
        </w:rPr>
      </w:pPr>
      <w:bookmarkStart w:id="3" w:name="_Toc116995849"/>
      <w:r>
        <w:rPr>
          <w:rFonts w:cstheme="minorHAnsi"/>
          <w:b/>
          <w:bCs/>
          <w:i/>
          <w:iCs/>
          <w:u w:val="single"/>
        </w:rPr>
        <w:t>Agreements on Inputs/outputs and KPIs for event prediction from RAN2#127bis [3]</w:t>
      </w:r>
    </w:p>
    <w:p w14:paraId="31C3D9E4" w14:textId="77777777" w:rsidR="00EF5236" w:rsidRDefault="00EF5236" w:rsidP="00EF5236">
      <w:pPr>
        <w:pStyle w:val="ListParagraph"/>
        <w:numPr>
          <w:ilvl w:val="0"/>
          <w:numId w:val="55"/>
        </w:numPr>
        <w:rPr>
          <w:rFonts w:cstheme="minorHAnsi"/>
          <w:i/>
          <w:iCs/>
        </w:rPr>
      </w:pPr>
      <w:r>
        <w:rPr>
          <w:rFonts w:cstheme="minorHAnsi"/>
          <w:i/>
          <w:iCs/>
        </w:rPr>
        <w:t xml:space="preserve">For </w:t>
      </w:r>
      <w:r>
        <w:rPr>
          <w:rFonts w:cstheme="minorHAnsi"/>
          <w:i/>
          <w:iCs/>
          <w:u w:val="single"/>
        </w:rPr>
        <w:t>indirect measurement event prediction</w:t>
      </w:r>
      <w:r>
        <w:rPr>
          <w:rFonts w:cstheme="minorHAnsi"/>
          <w:i/>
          <w:iCs/>
        </w:rPr>
        <w:t>, the intermediate output (i.e., the output of RRM prediction model) is RSRP of serving/neighbouring cells.  The final output is the expected occurrence time of a certain measurement event (ex. event A3).</w:t>
      </w:r>
    </w:p>
    <w:p w14:paraId="418AD938" w14:textId="77777777" w:rsidR="00EF5236" w:rsidRDefault="00EF5236" w:rsidP="00EF5236">
      <w:pPr>
        <w:pStyle w:val="ListParagraph"/>
        <w:numPr>
          <w:ilvl w:val="0"/>
          <w:numId w:val="55"/>
        </w:numPr>
        <w:rPr>
          <w:rFonts w:cstheme="minorHAnsi"/>
          <w:i/>
          <w:iCs/>
        </w:rPr>
      </w:pPr>
      <w:r>
        <w:rPr>
          <w:rFonts w:cstheme="minorHAnsi"/>
          <w:i/>
          <w:iCs/>
        </w:rPr>
        <w:t xml:space="preserve">For </w:t>
      </w:r>
      <w:r>
        <w:rPr>
          <w:rFonts w:cstheme="minorHAnsi"/>
          <w:i/>
          <w:iCs/>
          <w:u w:val="single"/>
        </w:rPr>
        <w:t>direct measurement event prediction</w:t>
      </w:r>
      <w:r>
        <w:rPr>
          <w:rFonts w:cstheme="minorHAnsi"/>
          <w:i/>
          <w:iCs/>
        </w:rPr>
        <w:t>, the model output is the probability of event occurrence within a time window.</w:t>
      </w:r>
    </w:p>
    <w:p w14:paraId="420C5371" w14:textId="4BE18ECF" w:rsidR="00EF5236" w:rsidRPr="005D507C" w:rsidRDefault="00EF5236" w:rsidP="00EF5236">
      <w:pPr>
        <w:pStyle w:val="ListParagraph"/>
        <w:numPr>
          <w:ilvl w:val="0"/>
          <w:numId w:val="55"/>
        </w:numPr>
        <w:rPr>
          <w:rFonts w:cstheme="minorHAnsi"/>
          <w:i/>
          <w:iCs/>
        </w:rPr>
      </w:pPr>
      <w:r>
        <w:rPr>
          <w:rFonts w:cstheme="minorHAnsi"/>
          <w:i/>
          <w:iCs/>
        </w:rPr>
        <w:t xml:space="preserve">A3 event prediction should follow legacy rules (i.e. the “predicted” conditions have to persist for the duration of TTT).  </w:t>
      </w:r>
    </w:p>
    <w:p w14:paraId="3033123C" w14:textId="77777777" w:rsidR="005D507C" w:rsidRPr="005D507C" w:rsidRDefault="005D507C" w:rsidP="005D507C">
      <w:pPr>
        <w:rPr>
          <w:color w:val="262626" w:themeColor="text1" w:themeTint="D9"/>
          <w:lang w:val="en-US"/>
        </w:rPr>
      </w:pPr>
      <w:r w:rsidRPr="005D507C">
        <w:rPr>
          <w:color w:val="262626" w:themeColor="text1" w:themeTint="D9"/>
          <w:lang w:val="en-US"/>
        </w:rPr>
        <w:t>For the </w:t>
      </w:r>
      <w:r w:rsidRPr="005D507C">
        <w:rPr>
          <w:b/>
          <w:bCs/>
          <w:color w:val="262626" w:themeColor="text1" w:themeTint="D9"/>
          <w:lang w:val="en-US"/>
        </w:rPr>
        <w:t>indirect measurement event prediction</w:t>
      </w:r>
      <w:r w:rsidRPr="005D507C">
        <w:rPr>
          <w:color w:val="262626" w:themeColor="text1" w:themeTint="D9"/>
          <w:lang w:val="en-US"/>
        </w:rPr>
        <w:t> problem in the temporal domain </w:t>
      </w:r>
      <w:r w:rsidRPr="005D507C">
        <w:rPr>
          <w:b/>
          <w:bCs/>
          <w:color w:val="262626" w:themeColor="text1" w:themeTint="D9"/>
          <w:lang w:val="en-US"/>
        </w:rPr>
        <w:t>Case A</w:t>
      </w:r>
      <w:r w:rsidRPr="005D507C">
        <w:rPr>
          <w:color w:val="262626" w:themeColor="text1" w:themeTint="D9"/>
          <w:lang w:val="en-US"/>
        </w:rPr>
        <w:t>, a Radio Resource Management (RRM) measurement prediction model generates predictions of future measurement results for all cells under consideration.</w:t>
      </w:r>
    </w:p>
    <w:p w14:paraId="324F5BF1" w14:textId="77777777" w:rsidR="005D507C" w:rsidRPr="005D507C" w:rsidRDefault="005D507C" w:rsidP="005D507C">
      <w:pPr>
        <w:rPr>
          <w:color w:val="262626" w:themeColor="text1" w:themeTint="D9"/>
          <w:lang w:val="en-US"/>
        </w:rPr>
      </w:pPr>
      <w:r w:rsidRPr="005D507C">
        <w:rPr>
          <w:color w:val="262626" w:themeColor="text1" w:themeTint="D9"/>
          <w:lang w:val="en-US"/>
        </w:rPr>
        <w:t>The process operates as follows:</w:t>
      </w:r>
    </w:p>
    <w:p w14:paraId="298705B8" w14:textId="77777777" w:rsidR="005D507C" w:rsidRPr="005D507C" w:rsidRDefault="005D507C" w:rsidP="005D507C">
      <w:pPr>
        <w:numPr>
          <w:ilvl w:val="0"/>
          <w:numId w:val="63"/>
        </w:numPr>
        <w:rPr>
          <w:color w:val="262626" w:themeColor="text1" w:themeTint="D9"/>
          <w:lang w:val="en-US"/>
        </w:rPr>
      </w:pPr>
      <w:r w:rsidRPr="005D507C">
        <w:rPr>
          <w:b/>
          <w:bCs/>
          <w:color w:val="262626" w:themeColor="text1" w:themeTint="D9"/>
          <w:lang w:val="en-US"/>
        </w:rPr>
        <w:t>Input</w:t>
      </w:r>
      <w:r w:rsidRPr="005D507C">
        <w:rPr>
          <w:color w:val="262626" w:themeColor="text1" w:themeTint="D9"/>
          <w:lang w:val="en-US"/>
        </w:rPr>
        <w:t>: A set of historical RRM measurements collected across all cells within a </w:t>
      </w:r>
      <w:r w:rsidRPr="005D507C">
        <w:rPr>
          <w:b/>
          <w:bCs/>
          <w:color w:val="262626" w:themeColor="text1" w:themeTint="D9"/>
          <w:lang w:val="en-US"/>
        </w:rPr>
        <w:t>sliding observation window (OW)</w:t>
      </w:r>
      <w:r w:rsidRPr="005D507C">
        <w:rPr>
          <w:color w:val="262626" w:themeColor="text1" w:themeTint="D9"/>
          <w:lang w:val="en-US"/>
        </w:rPr>
        <w:t>.</w:t>
      </w:r>
    </w:p>
    <w:p w14:paraId="3BF31D2A" w14:textId="77777777" w:rsidR="005D507C" w:rsidRPr="005D507C" w:rsidRDefault="005D507C" w:rsidP="005D507C">
      <w:pPr>
        <w:numPr>
          <w:ilvl w:val="0"/>
          <w:numId w:val="63"/>
        </w:numPr>
        <w:rPr>
          <w:color w:val="262626" w:themeColor="text1" w:themeTint="D9"/>
          <w:lang w:val="en-US"/>
        </w:rPr>
      </w:pPr>
      <w:r w:rsidRPr="005D507C">
        <w:rPr>
          <w:b/>
          <w:bCs/>
          <w:color w:val="262626" w:themeColor="text1" w:themeTint="D9"/>
          <w:lang w:val="en-US"/>
        </w:rPr>
        <w:t>Prediction</w:t>
      </w:r>
      <w:r w:rsidRPr="005D507C">
        <w:rPr>
          <w:color w:val="262626" w:themeColor="text1" w:themeTint="D9"/>
          <w:lang w:val="en-US"/>
        </w:rPr>
        <w:t>: The model generates predicted RRM values for all cells at future measurement instances within a </w:t>
      </w:r>
      <w:r w:rsidRPr="005D507C">
        <w:rPr>
          <w:b/>
          <w:bCs/>
          <w:color w:val="262626" w:themeColor="text1" w:themeTint="D9"/>
          <w:lang w:val="en-US"/>
        </w:rPr>
        <w:t>sliding prediction window (PW)</w:t>
      </w:r>
      <w:r w:rsidRPr="005D507C">
        <w:rPr>
          <w:color w:val="262626" w:themeColor="text1" w:themeTint="D9"/>
          <w:lang w:val="en-US"/>
        </w:rPr>
        <w:t>.</w:t>
      </w:r>
    </w:p>
    <w:p w14:paraId="78B2AC5F" w14:textId="77777777" w:rsidR="005D507C" w:rsidRPr="005D507C" w:rsidRDefault="005D507C" w:rsidP="005D507C">
      <w:pPr>
        <w:numPr>
          <w:ilvl w:val="0"/>
          <w:numId w:val="63"/>
        </w:numPr>
        <w:rPr>
          <w:color w:val="262626" w:themeColor="text1" w:themeTint="D9"/>
          <w:lang w:val="en-US"/>
        </w:rPr>
      </w:pPr>
      <w:r w:rsidRPr="005D507C">
        <w:rPr>
          <w:b/>
          <w:bCs/>
          <w:color w:val="262626" w:themeColor="text1" w:themeTint="D9"/>
          <w:lang w:val="en-US"/>
        </w:rPr>
        <w:t>Event Prediction</w:t>
      </w:r>
      <w:r w:rsidRPr="005D507C">
        <w:rPr>
          <w:color w:val="262626" w:themeColor="text1" w:themeTint="D9"/>
          <w:lang w:val="en-US"/>
        </w:rPr>
        <w:t>: These predicted values are then analyzed to determine whether a measurement event (e.g., Event A3) will occur at a future time instance.</w:t>
      </w:r>
    </w:p>
    <w:p w14:paraId="798BA9BA" w14:textId="77777777" w:rsidR="005D507C" w:rsidRPr="005D507C" w:rsidRDefault="005D507C" w:rsidP="005D507C">
      <w:pPr>
        <w:rPr>
          <w:color w:val="262626" w:themeColor="text1" w:themeTint="D9"/>
          <w:lang w:val="en-US"/>
        </w:rPr>
      </w:pPr>
      <w:r w:rsidRPr="005D507C">
        <w:rPr>
          <w:color w:val="262626" w:themeColor="text1" w:themeTint="D9"/>
          <w:lang w:val="en-US"/>
        </w:rPr>
        <w:t>Figure 2 illustrates the sliding observation and prediction windows used in this process.</w:t>
      </w:r>
    </w:p>
    <w:p w14:paraId="42B0F1CE" w14:textId="77777777" w:rsidR="005D507C" w:rsidRPr="005D507C" w:rsidRDefault="005D507C" w:rsidP="00EF5236">
      <w:pPr>
        <w:rPr>
          <w:color w:val="262626" w:themeColor="text1" w:themeTint="D9"/>
          <w:lang w:val="en-US"/>
        </w:rPr>
      </w:pPr>
    </w:p>
    <w:p w14:paraId="008E6C4D" w14:textId="77777777" w:rsidR="00EF5236" w:rsidRDefault="00EF5236" w:rsidP="00EF5236">
      <w:pPr>
        <w:jc w:val="center"/>
        <w:rPr>
          <w:color w:val="262626" w:themeColor="text1" w:themeTint="D9"/>
        </w:rPr>
      </w:pPr>
      <w:r>
        <w:rPr>
          <w:noProof/>
          <w:color w:val="262626" w:themeColor="text1" w:themeTint="D9"/>
        </w:rPr>
        <w:drawing>
          <wp:inline distT="0" distB="0" distL="0" distR="0" wp14:anchorId="36AE3543" wp14:editId="543E0B8D">
            <wp:extent cx="4919980" cy="1688465"/>
            <wp:effectExtent l="0" t="0" r="0" b="6985"/>
            <wp:docPr id="2029294492" name="Picture 3" descr="A diagram of a window&#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294492" name="Picture 3" descr="A diagram of a window&#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19980" cy="1688465"/>
                    </a:xfrm>
                    <a:prstGeom prst="rect">
                      <a:avLst/>
                    </a:prstGeom>
                    <a:noFill/>
                  </pic:spPr>
                </pic:pic>
              </a:graphicData>
            </a:graphic>
          </wp:inline>
        </w:drawing>
      </w:r>
    </w:p>
    <w:p w14:paraId="72DD8117" w14:textId="6DCE665F" w:rsidR="00EF5236" w:rsidRDefault="00EF5236" w:rsidP="00EF5236">
      <w:pPr>
        <w:jc w:val="center"/>
        <w:rPr>
          <w:color w:val="262626" w:themeColor="text1" w:themeTint="D9"/>
        </w:rPr>
      </w:pPr>
      <w:r w:rsidRPr="00C34F5D">
        <w:rPr>
          <w:b/>
          <w:bCs/>
          <w:color w:val="262626" w:themeColor="text1" w:themeTint="D9"/>
        </w:rPr>
        <w:t xml:space="preserve">Figure </w:t>
      </w:r>
      <w:r w:rsidR="00EC2E86">
        <w:rPr>
          <w:b/>
          <w:bCs/>
          <w:color w:val="262626" w:themeColor="text1" w:themeTint="D9"/>
        </w:rPr>
        <w:t>2</w:t>
      </w:r>
      <w:r>
        <w:rPr>
          <w:color w:val="262626" w:themeColor="text1" w:themeTint="D9"/>
        </w:rPr>
        <w:t xml:space="preserve"> </w:t>
      </w:r>
      <w:r w:rsidR="00EC2E86">
        <w:rPr>
          <w:color w:val="262626" w:themeColor="text1" w:themeTint="D9"/>
        </w:rPr>
        <w:t>S</w:t>
      </w:r>
      <w:r>
        <w:rPr>
          <w:color w:val="262626" w:themeColor="text1" w:themeTint="D9"/>
        </w:rPr>
        <w:t>liding observation/prediction windows in temporal domain case A prediction</w:t>
      </w:r>
    </w:p>
    <w:p w14:paraId="17D95DC7" w14:textId="6DE9EEB0" w:rsidR="000F51AD" w:rsidRDefault="000F51AD" w:rsidP="000F51AD">
      <w:pPr>
        <w:pStyle w:val="RAN4proposal"/>
        <w:numPr>
          <w:ilvl w:val="0"/>
          <w:numId w:val="0"/>
        </w:numPr>
        <w:rPr>
          <w:b w:val="0"/>
          <w:bCs/>
        </w:rPr>
      </w:pPr>
    </w:p>
    <w:p w14:paraId="45CEBDBB" w14:textId="77777777" w:rsidR="00EF5236" w:rsidRDefault="00EF5236" w:rsidP="00EF5236">
      <w:r>
        <w:t xml:space="preserve">The following was agreed in the previous RAN2 meeting </w:t>
      </w:r>
      <w:r w:rsidRPr="00F07D20">
        <w:t>(RAN2 #128 [1])</w:t>
      </w:r>
      <w:r>
        <w:t>:</w:t>
      </w:r>
    </w:p>
    <w:p w14:paraId="4917296B" w14:textId="223A46D2" w:rsidR="00EF5236" w:rsidRDefault="00EF5236" w:rsidP="00EF5236">
      <w:r>
        <w:lastRenderedPageBreak/>
        <w:t>- For both temporal domain RRM measurement prediction Case A and Case B, upon receiving a Measurement Event prediction report from the UE, e.g., containing a prediction that an event A3 will occur at a future time, the network initiates handover preparation</w:t>
      </w:r>
    </w:p>
    <w:p w14:paraId="7686B6C6" w14:textId="77777777" w:rsidR="001F31E1" w:rsidRDefault="001F31E1" w:rsidP="001F31E1">
      <w:pPr>
        <w:jc w:val="both"/>
        <w:rPr>
          <w:rFonts w:cs="Arial"/>
          <w:lang w:val="en-US"/>
        </w:rPr>
      </w:pPr>
      <w:r w:rsidRPr="00CE037E">
        <w:rPr>
          <w:rFonts w:cs="Arial"/>
          <w:lang w:val="en-US"/>
        </w:rPr>
        <w:t>Temporal prediction Case A is related to the case where the UE or network is trying to predict RSRP values into the future</w:t>
      </w:r>
      <w:r>
        <w:rPr>
          <w:rFonts w:cs="Arial"/>
          <w:lang w:val="en-US"/>
        </w:rPr>
        <w:t>, e.g. to</w:t>
      </w:r>
      <w:r w:rsidRPr="00CE037E">
        <w:rPr>
          <w:rFonts w:cs="Arial"/>
          <w:lang w:val="en-US"/>
        </w:rPr>
        <w:t xml:space="preserve"> help with mobility decisions. </w:t>
      </w:r>
    </w:p>
    <w:p w14:paraId="291EB4A1" w14:textId="102E67F5" w:rsidR="001F31E1" w:rsidRPr="00CE037E" w:rsidRDefault="001F31E1" w:rsidP="001F31E1">
      <w:pPr>
        <w:jc w:val="both"/>
        <w:rPr>
          <w:rFonts w:cs="Arial"/>
          <w:lang w:val="en-US"/>
        </w:rPr>
      </w:pPr>
      <w:r w:rsidRPr="00CE037E">
        <w:rPr>
          <w:rFonts w:cs="Arial"/>
          <w:lang w:val="en-US"/>
        </w:rPr>
        <w:t>In the indirect approach</w:t>
      </w:r>
      <w:r>
        <w:rPr>
          <w:rFonts w:cs="Arial"/>
          <w:lang w:val="en-US"/>
        </w:rPr>
        <w:t xml:space="preserve"> Case A</w:t>
      </w:r>
      <w:r w:rsidRPr="00CE037E">
        <w:rPr>
          <w:rFonts w:cs="Arial"/>
          <w:lang w:val="en-US"/>
        </w:rPr>
        <w:t>, the cell</w:t>
      </w:r>
      <w:r>
        <w:rPr>
          <w:rFonts w:cs="Arial"/>
          <w:lang w:val="en-US"/>
        </w:rPr>
        <w:t>s</w:t>
      </w:r>
      <w:r w:rsidRPr="00CE037E">
        <w:rPr>
          <w:rFonts w:cs="Arial"/>
          <w:lang w:val="en-US"/>
        </w:rPr>
        <w:t xml:space="preserve"> predictions (e.g. predicted RSRP) are used in the</w:t>
      </w:r>
      <w:r>
        <w:rPr>
          <w:rFonts w:cs="Arial"/>
          <w:lang w:val="en-US"/>
        </w:rPr>
        <w:t xml:space="preserve"> A3 event </w:t>
      </w:r>
      <w:r w:rsidRPr="00CE037E">
        <w:rPr>
          <w:rFonts w:cs="Arial"/>
          <w:lang w:val="en-US"/>
        </w:rPr>
        <w:t xml:space="preserve">inequality formulas (which are defined in TS 38.331), instead of the actual cell quality measurements. </w:t>
      </w:r>
      <w:r>
        <w:rPr>
          <w:rFonts w:cs="Arial"/>
          <w:lang w:val="en-US"/>
        </w:rPr>
        <w:t xml:space="preserve">Therefore, we have the following phases: observation window =&gt; measurement predictions =&gt; evaluation of events.  </w:t>
      </w:r>
    </w:p>
    <w:p w14:paraId="617767FD" w14:textId="7B3699FF" w:rsidR="001F31E1" w:rsidRDefault="001F31E1" w:rsidP="001F31E1">
      <w:pPr>
        <w:jc w:val="both"/>
        <w:rPr>
          <w:lang w:val="en-US"/>
        </w:rPr>
      </w:pPr>
      <w:r>
        <w:rPr>
          <w:lang w:val="en-US"/>
        </w:rPr>
        <w:t xml:space="preserve">Based on RAN 2 simulation results [2] </w:t>
      </w:r>
      <w:r>
        <w:rPr>
          <w:rFonts w:cs="Arial"/>
          <w:lang w:val="en-US"/>
        </w:rPr>
        <w:t>the current simulation and setting r</w:t>
      </w:r>
      <w:r w:rsidRPr="0003159D">
        <w:rPr>
          <w:rFonts w:cs="Arial"/>
          <w:lang w:val="en-US"/>
        </w:rPr>
        <w:t>esult in a minimal error for</w:t>
      </w:r>
      <w:r>
        <w:rPr>
          <w:rFonts w:cs="Arial"/>
          <w:lang w:val="en-US"/>
        </w:rPr>
        <w:t xml:space="preserve"> AI/ML and sample and hold </w:t>
      </w:r>
      <w:r w:rsidRPr="0003159D">
        <w:rPr>
          <w:rFonts w:cs="Arial"/>
          <w:lang w:val="en-US"/>
        </w:rPr>
        <w:t xml:space="preserve">algorithms </w:t>
      </w:r>
      <w:r>
        <w:rPr>
          <w:rFonts w:cs="Arial"/>
          <w:lang w:val="en-US"/>
        </w:rPr>
        <w:t xml:space="preserve">(comparing to the total number of A3 events) and if we would like to show the gain of the AI/ML based algorithm more challenging scenarios by considering </w:t>
      </w:r>
      <w:r w:rsidRPr="0023598D">
        <w:rPr>
          <w:lang w:val="en-US"/>
        </w:rPr>
        <w:t>measurement error</w:t>
      </w:r>
      <w:r>
        <w:rPr>
          <w:lang w:val="en-US"/>
        </w:rPr>
        <w:t xml:space="preserve"> and different UE mobility patterns are needed for evaluation. </w:t>
      </w:r>
      <w:r w:rsidRPr="0055753F">
        <w:rPr>
          <w:lang w:val="en-US"/>
        </w:rPr>
        <w:t>Moreover</w:t>
      </w:r>
      <w:r w:rsidRPr="00CE037E">
        <w:rPr>
          <w:rFonts w:cs="Arial"/>
          <w:lang w:val="en-US"/>
        </w:rPr>
        <w:t xml:space="preserve">, </w:t>
      </w:r>
      <w:r>
        <w:rPr>
          <w:rFonts w:cs="Arial"/>
          <w:lang w:val="en-US"/>
        </w:rPr>
        <w:t>the</w:t>
      </w:r>
      <w:r w:rsidRPr="00CE037E">
        <w:rPr>
          <w:rFonts w:cs="Arial"/>
          <w:b/>
          <w:bCs/>
          <w:lang w:val="en-US"/>
        </w:rPr>
        <w:t xml:space="preserve"> </w:t>
      </w:r>
      <w:r w:rsidRPr="00CE037E">
        <w:rPr>
          <w:rFonts w:cs="Arial"/>
          <w:lang w:val="en-US"/>
        </w:rPr>
        <w:t>false detection of mobility events could impose higher costs on the network by leading to incorrect mobility decisions, whereas missing a mobility event might be mitigated by detecting it in subsequent predictions.</w:t>
      </w:r>
      <w:r>
        <w:rPr>
          <w:rFonts w:cs="Arial"/>
          <w:lang w:val="en-US"/>
        </w:rPr>
        <w:t xml:space="preserve"> </w:t>
      </w:r>
      <w:proofErr w:type="gramStart"/>
      <w:r>
        <w:rPr>
          <w:lang w:val="en-US"/>
        </w:rPr>
        <w:t>In light of</w:t>
      </w:r>
      <w:proofErr w:type="gramEnd"/>
      <w:r>
        <w:rPr>
          <w:lang w:val="en-US"/>
        </w:rPr>
        <w:t xml:space="preserve"> the simulation observation, we have the following proposal: </w:t>
      </w:r>
    </w:p>
    <w:p w14:paraId="3AC0FEB4" w14:textId="30BBA6F4" w:rsidR="001F31E1" w:rsidRPr="001F31E1" w:rsidRDefault="001F31E1" w:rsidP="001F31E1">
      <w:pPr>
        <w:rPr>
          <w:b/>
          <w:bCs/>
        </w:rPr>
      </w:pPr>
      <w:r w:rsidRPr="001F31E1">
        <w:rPr>
          <w:b/>
          <w:bCs/>
          <w:lang w:val="en-US"/>
        </w:rPr>
        <w:t>Proposal</w:t>
      </w:r>
      <w:r w:rsidR="008F523D">
        <w:rPr>
          <w:b/>
          <w:bCs/>
          <w:lang w:val="en-US"/>
        </w:rPr>
        <w:t xml:space="preserve"> 1</w:t>
      </w:r>
      <w:r w:rsidRPr="001F31E1">
        <w:rPr>
          <w:b/>
          <w:bCs/>
          <w:lang w:val="en-US"/>
        </w:rPr>
        <w:t xml:space="preserve">: </w:t>
      </w:r>
      <w:r w:rsidRPr="001F31E1">
        <w:rPr>
          <w:b/>
          <w:bCs/>
        </w:rPr>
        <w:t>RAN4 to discuss the modelling of measurement errors and their impact to evaluate AI/ML event prediction benefits compared to sample-and-hold and the impact to false detection of events (</w:t>
      </w:r>
      <w:r w:rsidR="004F5493">
        <w:rPr>
          <w:b/>
          <w:bCs/>
        </w:rPr>
        <w:t xml:space="preserve">which incurs a </w:t>
      </w:r>
      <w:r w:rsidRPr="001F31E1">
        <w:rPr>
          <w:b/>
          <w:bCs/>
        </w:rPr>
        <w:t>higher cost)</w:t>
      </w:r>
    </w:p>
    <w:p w14:paraId="3F3C5C43" w14:textId="5C65B4D3" w:rsidR="001F31E1" w:rsidRDefault="001F31E1" w:rsidP="001F31E1">
      <w:pPr>
        <w:rPr>
          <w:rFonts w:eastAsia="Malgun Gothic"/>
          <w:lang w:val="en-US" w:eastAsia="ko-KR"/>
        </w:rPr>
      </w:pPr>
      <w:r>
        <w:rPr>
          <w:rFonts w:eastAsia="Malgun Gothic"/>
          <w:lang w:val="en-US" w:eastAsia="ko-KR"/>
        </w:rPr>
        <w:t>The following figure shows how indirect Event A3 works in a simulation [3].</w:t>
      </w:r>
    </w:p>
    <w:p w14:paraId="09AC59EC" w14:textId="77777777" w:rsidR="001F31E1" w:rsidRDefault="001F31E1" w:rsidP="001F31E1">
      <w:pPr>
        <w:keepNext/>
        <w:jc w:val="center"/>
      </w:pPr>
      <w:r w:rsidRPr="00E226EF">
        <w:rPr>
          <w:rFonts w:eastAsia="Malgun Gothic"/>
          <w:noProof/>
          <w:lang w:eastAsia="ko-KR"/>
        </w:rPr>
        <w:drawing>
          <wp:inline distT="0" distB="0" distL="0" distR="0" wp14:anchorId="5D653CC7" wp14:editId="5A80813B">
            <wp:extent cx="3982407" cy="1912344"/>
            <wp:effectExtent l="0" t="0" r="0" b="0"/>
            <wp:docPr id="100" name="그림 99" descr="A graph of a graph of a graph&#10;&#10;AI-generated content may be incorrect.">
              <a:extLst xmlns:a="http://schemas.openxmlformats.org/drawingml/2006/main">
                <a:ext uri="{FF2B5EF4-FFF2-40B4-BE49-F238E27FC236}">
                  <a16:creationId xmlns:a16="http://schemas.microsoft.com/office/drawing/2014/main" id="{10E01967-A75F-408C-8A3D-FD29504A3E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그림 99" descr="A graph of a graph of a graph&#10;&#10;AI-generated content may be incorrect.">
                      <a:extLst>
                        <a:ext uri="{FF2B5EF4-FFF2-40B4-BE49-F238E27FC236}">
                          <a16:creationId xmlns:a16="http://schemas.microsoft.com/office/drawing/2014/main" id="{10E01967-A75F-408C-8A3D-FD29504A3E11}"/>
                        </a:ext>
                      </a:extLst>
                    </pic:cNvPr>
                    <pic:cNvPicPr>
                      <a:picLocks noChangeAspect="1"/>
                    </pic:cNvPicPr>
                  </pic:nvPicPr>
                  <pic:blipFill>
                    <a:blip r:embed="rId13"/>
                    <a:stretch>
                      <a:fillRect/>
                    </a:stretch>
                  </pic:blipFill>
                  <pic:spPr>
                    <a:xfrm>
                      <a:off x="0" y="0"/>
                      <a:ext cx="3992573" cy="1917226"/>
                    </a:xfrm>
                    <a:prstGeom prst="rect">
                      <a:avLst/>
                    </a:prstGeom>
                  </pic:spPr>
                </pic:pic>
              </a:graphicData>
            </a:graphic>
          </wp:inline>
        </w:drawing>
      </w:r>
    </w:p>
    <w:p w14:paraId="34027592" w14:textId="4EC5D51B" w:rsidR="001F31E1" w:rsidRDefault="001F31E1" w:rsidP="001F31E1">
      <w:pPr>
        <w:pStyle w:val="Caption"/>
        <w:rPr>
          <w:i w:val="0"/>
          <w:iCs w:val="0"/>
        </w:rPr>
      </w:pPr>
      <w:r w:rsidRPr="00EC2E86">
        <w:rPr>
          <w:i w:val="0"/>
          <w:iCs w:val="0"/>
        </w:rPr>
        <w:t xml:space="preserve">Figure </w:t>
      </w:r>
      <w:r w:rsidR="00EC2E86" w:rsidRPr="00EC2E86">
        <w:rPr>
          <w:i w:val="0"/>
          <w:iCs w:val="0"/>
        </w:rPr>
        <w:t>3</w:t>
      </w:r>
      <w:r w:rsidRPr="00EC2E86">
        <w:rPr>
          <w:i w:val="0"/>
          <w:iCs w:val="0"/>
        </w:rPr>
        <w:t>. Indirect measurement event prediction</w:t>
      </w:r>
    </w:p>
    <w:p w14:paraId="359BC7D6" w14:textId="77777777" w:rsidR="00EC2E86" w:rsidRPr="00EC2E86" w:rsidRDefault="00EC2E86" w:rsidP="00EC2E86">
      <w:pPr>
        <w:rPr>
          <w:lang w:val="en-US"/>
        </w:rPr>
      </w:pPr>
      <w:r w:rsidRPr="00EC2E86">
        <w:rPr>
          <w:lang w:val="en-US"/>
        </w:rPr>
        <w:t>In Figure 1, at the current time </w:t>
      </w:r>
      <w:r w:rsidRPr="00EC2E86">
        <w:rPr>
          <w:b/>
          <w:bCs/>
          <w:lang w:val="en-US"/>
        </w:rPr>
        <w:t>T1</w:t>
      </w:r>
      <w:r w:rsidRPr="00EC2E86">
        <w:rPr>
          <w:lang w:val="en-US"/>
        </w:rPr>
        <w:t>, the UE uses the </w:t>
      </w:r>
      <w:r w:rsidRPr="00EC2E86">
        <w:rPr>
          <w:b/>
          <w:bCs/>
          <w:lang w:val="en-US"/>
        </w:rPr>
        <w:t>Case A prediction model</w:t>
      </w:r>
      <w:r w:rsidRPr="00EC2E86">
        <w:rPr>
          <w:lang w:val="en-US"/>
        </w:rPr>
        <w:t> to predict future L3 RSRP values within the prediction window (PW, </w:t>
      </w:r>
      <w:r w:rsidRPr="00EC2E86">
        <w:rPr>
          <w:b/>
          <w:bCs/>
          <w:lang w:val="en-US"/>
        </w:rPr>
        <w:t>T1–T4</w:t>
      </w:r>
      <w:r w:rsidRPr="00EC2E86">
        <w:rPr>
          <w:lang w:val="en-US"/>
        </w:rPr>
        <w:t>) based on historical L3 RSRP measurements from the serving and neighboring cells during the observation window (OW, </w:t>
      </w:r>
      <w:r w:rsidRPr="00EC2E86">
        <w:rPr>
          <w:b/>
          <w:bCs/>
          <w:lang w:val="en-US"/>
        </w:rPr>
        <w:t>T0–T1</w:t>
      </w:r>
      <w:r w:rsidRPr="00EC2E86">
        <w:rPr>
          <w:lang w:val="en-US"/>
        </w:rPr>
        <w:t>). Subsequently, we evaluate whether an </w:t>
      </w:r>
      <w:r w:rsidRPr="00EC2E86">
        <w:rPr>
          <w:b/>
          <w:bCs/>
          <w:lang w:val="en-US"/>
        </w:rPr>
        <w:t>Event A3</w:t>
      </w:r>
      <w:r w:rsidRPr="00EC2E86">
        <w:rPr>
          <w:lang w:val="en-US"/>
        </w:rPr>
        <w:t> report would be triggered by analyzing the predicted L3 RSRP values within the PW.</w:t>
      </w:r>
    </w:p>
    <w:p w14:paraId="344E2F64" w14:textId="77777777" w:rsidR="00EC2E86" w:rsidRPr="00EC2E86" w:rsidRDefault="00EC2E86" w:rsidP="00EC2E86">
      <w:pPr>
        <w:rPr>
          <w:lang w:val="en-US"/>
        </w:rPr>
      </w:pPr>
      <w:r w:rsidRPr="00EC2E86">
        <w:rPr>
          <w:lang w:val="en-US"/>
        </w:rPr>
        <w:t>In the example provided, the </w:t>
      </w:r>
      <w:r w:rsidRPr="00EC2E86">
        <w:rPr>
          <w:b/>
          <w:bCs/>
          <w:lang w:val="en-US"/>
        </w:rPr>
        <w:t>Event A3 entering condition</w:t>
      </w:r>
      <w:r w:rsidRPr="00EC2E86">
        <w:rPr>
          <w:lang w:val="en-US"/>
        </w:rPr>
        <w:t> is predicted to be first satisfied at </w:t>
      </w:r>
      <w:r w:rsidRPr="00EC2E86">
        <w:rPr>
          <w:b/>
          <w:bCs/>
          <w:lang w:val="en-US"/>
        </w:rPr>
        <w:t>T2</w:t>
      </w:r>
      <w:r w:rsidRPr="00EC2E86">
        <w:rPr>
          <w:lang w:val="en-US"/>
        </w:rPr>
        <w:t> and sustained throughout the time-to-trigger (TTT) period (</w:t>
      </w:r>
      <w:r w:rsidRPr="00EC2E86">
        <w:rPr>
          <w:b/>
          <w:bCs/>
          <w:lang w:val="en-US"/>
        </w:rPr>
        <w:t>T2–T3</w:t>
      </w:r>
      <w:r w:rsidRPr="00EC2E86">
        <w:rPr>
          <w:lang w:val="en-US"/>
        </w:rPr>
        <w:t>). Consequently, the output of the Event A3 prediction is labeled </w:t>
      </w:r>
      <w:r w:rsidRPr="00EC2E86">
        <w:rPr>
          <w:b/>
          <w:bCs/>
          <w:lang w:val="en-US"/>
        </w:rPr>
        <w:t>‘predicted at T3’</w:t>
      </w:r>
      <w:r w:rsidRPr="00EC2E86">
        <w:rPr>
          <w:lang w:val="en-US"/>
        </w:rPr>
        <w:t>. If no Event A3 condition is predicted within the PW, the output defaults to </w:t>
      </w:r>
      <w:r w:rsidRPr="00EC2E86">
        <w:rPr>
          <w:b/>
          <w:bCs/>
          <w:lang w:val="en-US"/>
        </w:rPr>
        <w:t>‘not predicted’</w:t>
      </w:r>
      <w:r w:rsidRPr="00EC2E86">
        <w:rPr>
          <w:lang w:val="en-US"/>
        </w:rPr>
        <w:t>.</w:t>
      </w:r>
    </w:p>
    <w:p w14:paraId="367CD038" w14:textId="77777777" w:rsidR="00EC2E86" w:rsidRPr="00EC2E86" w:rsidRDefault="00EC2E86" w:rsidP="00EC2E86">
      <w:pPr>
        <w:rPr>
          <w:lang w:val="en-US"/>
        </w:rPr>
      </w:pPr>
      <w:r w:rsidRPr="00EC2E86">
        <w:rPr>
          <w:lang w:val="en-US"/>
        </w:rPr>
        <w:t>For </w:t>
      </w:r>
      <w:r w:rsidRPr="00EC2E86">
        <w:rPr>
          <w:b/>
          <w:bCs/>
          <w:lang w:val="en-US"/>
        </w:rPr>
        <w:t>indirect measurement event prediction</w:t>
      </w:r>
      <w:r w:rsidRPr="00EC2E86">
        <w:rPr>
          <w:lang w:val="en-US"/>
        </w:rPr>
        <w:t>, the process involves two steps:</w:t>
      </w:r>
    </w:p>
    <w:p w14:paraId="6D4CB35B" w14:textId="77777777" w:rsidR="00EC2E86" w:rsidRPr="00EC2E86" w:rsidRDefault="00EC2E86" w:rsidP="00EC2E86">
      <w:pPr>
        <w:numPr>
          <w:ilvl w:val="0"/>
          <w:numId w:val="59"/>
        </w:numPr>
        <w:rPr>
          <w:lang w:val="en-US"/>
        </w:rPr>
      </w:pPr>
      <w:r w:rsidRPr="00EC2E86">
        <w:rPr>
          <w:lang w:val="en-US"/>
        </w:rPr>
        <w:t>A </w:t>
      </w:r>
      <w:r w:rsidRPr="00EC2E86">
        <w:rPr>
          <w:b/>
          <w:bCs/>
          <w:lang w:val="en-US"/>
        </w:rPr>
        <w:t>Radio Resource Management (RRM) measurement prediction model</w:t>
      </w:r>
      <w:r w:rsidRPr="00EC2E86">
        <w:rPr>
          <w:lang w:val="en-US"/>
        </w:rPr>
        <w:t> (intra-frequency temporal domain Case A) generates future measurement results.</w:t>
      </w:r>
    </w:p>
    <w:p w14:paraId="3289A10C" w14:textId="77777777" w:rsidR="00EC2E86" w:rsidRPr="00EC2E86" w:rsidRDefault="00EC2E86" w:rsidP="00EC2E86">
      <w:pPr>
        <w:numPr>
          <w:ilvl w:val="0"/>
          <w:numId w:val="59"/>
        </w:numPr>
        <w:rPr>
          <w:lang w:val="en-US"/>
        </w:rPr>
      </w:pPr>
      <w:r w:rsidRPr="00EC2E86">
        <w:rPr>
          <w:lang w:val="en-US"/>
        </w:rPr>
        <w:t>These predicted results, optionally combined with actual historical measurements, are used to determine whether a measurement event will occur at a future time instance. Notably, this step does not require additional involvement of an AI/ML model.</w:t>
      </w:r>
    </w:p>
    <w:p w14:paraId="615CE828" w14:textId="416325D6" w:rsidR="001F31E1" w:rsidRPr="00EC2E86" w:rsidRDefault="00EC2E86" w:rsidP="00EC2E86">
      <w:pPr>
        <w:rPr>
          <w:lang w:val="en-US"/>
        </w:rPr>
      </w:pPr>
      <w:r w:rsidRPr="00EC2E86">
        <w:rPr>
          <w:lang w:val="en-US"/>
        </w:rPr>
        <w:t>The accuracy of event prediction is evaluated using </w:t>
      </w:r>
      <w:r w:rsidRPr="00EC2E86">
        <w:rPr>
          <w:b/>
          <w:bCs/>
          <w:lang w:val="en-US"/>
        </w:rPr>
        <w:t>F1 score, precision, and recall</w:t>
      </w:r>
      <w:r w:rsidRPr="00EC2E86">
        <w:rPr>
          <w:lang w:val="en-US"/>
        </w:rPr>
        <w:t>, as defined in RAN2#128. Simulation results for F1-score as a function of UE speed are presented in [3]. Since F1 scores depend on RSRP prediction accuracy, which itself relies on RSRP measurement accuracy, the impact of measurement errors must be further investigated.</w:t>
      </w:r>
      <w:r w:rsidR="001F31E1">
        <w:rPr>
          <w:rFonts w:eastAsia="Malgun Gothic"/>
          <w:lang w:eastAsia="ko-KR"/>
        </w:rPr>
        <w:t xml:space="preserve"> </w:t>
      </w:r>
    </w:p>
    <w:p w14:paraId="545563E1" w14:textId="60785AFD" w:rsidR="00EF5236" w:rsidRDefault="001F31E1" w:rsidP="008F523D">
      <w:pPr>
        <w:jc w:val="both"/>
        <w:rPr>
          <w:rFonts w:eastAsia="Malgun Gothic"/>
          <w:b/>
          <w:lang w:val="en-US" w:eastAsia="ko-KR"/>
        </w:rPr>
      </w:pPr>
      <w:r>
        <w:rPr>
          <w:rFonts w:eastAsia="Malgun Gothic"/>
          <w:b/>
          <w:lang w:val="en-US" w:eastAsia="ko-KR"/>
        </w:rPr>
        <w:lastRenderedPageBreak/>
        <w:t xml:space="preserve">Proposal 2: For indirect measurement event prediction, RAN4 to discuss the modeling and impact of measurement errors to the prediction accuracy (i.e., F1 score)  </w:t>
      </w:r>
    </w:p>
    <w:p w14:paraId="790B9161" w14:textId="0FB0A599" w:rsidR="008F523D" w:rsidRDefault="006D7BA8" w:rsidP="008F523D">
      <w:pPr>
        <w:jc w:val="both"/>
        <w:rPr>
          <w:rFonts w:eastAsia="Malgun Gothic"/>
          <w:b/>
          <w:lang w:eastAsia="ko-KR"/>
        </w:rPr>
      </w:pPr>
      <w:r>
        <w:rPr>
          <w:rFonts w:eastAsia="Malgun Gothic"/>
          <w:b/>
          <w:lang w:val="en-US" w:eastAsia="ko-KR"/>
        </w:rPr>
        <w:t xml:space="preserve">Proposal 3: </w:t>
      </w:r>
      <w:r w:rsidR="00A25442" w:rsidRPr="00A25442">
        <w:rPr>
          <w:rFonts w:eastAsia="Malgun Gothic"/>
          <w:b/>
          <w:lang w:eastAsia="ko-KR"/>
        </w:rPr>
        <w:t xml:space="preserve"> RAN4 to investigate </w:t>
      </w:r>
      <w:proofErr w:type="spellStart"/>
      <w:r w:rsidR="00A25442" w:rsidRPr="00A25442">
        <w:rPr>
          <w:rFonts w:eastAsia="Malgun Gothic"/>
          <w:b/>
          <w:lang w:eastAsia="ko-KR"/>
        </w:rPr>
        <w:t>modeling</w:t>
      </w:r>
      <w:proofErr w:type="spellEnd"/>
      <w:r w:rsidR="00A25442" w:rsidRPr="00A25442">
        <w:rPr>
          <w:rFonts w:eastAsia="Malgun Gothic"/>
          <w:b/>
          <w:lang w:eastAsia="ko-KR"/>
        </w:rPr>
        <w:t> </w:t>
      </w:r>
      <w:r w:rsidR="00A25442" w:rsidRPr="00A25442">
        <w:rPr>
          <w:rFonts w:eastAsia="Malgun Gothic"/>
          <w:b/>
          <w:bCs/>
          <w:lang w:eastAsia="ko-KR"/>
        </w:rPr>
        <w:t>measurement errors</w:t>
      </w:r>
      <w:r w:rsidR="00A25442" w:rsidRPr="00A25442">
        <w:rPr>
          <w:rFonts w:eastAsia="Malgun Gothic"/>
          <w:b/>
          <w:lang w:eastAsia="ko-KR"/>
        </w:rPr>
        <w:t> as a function of SINR. This analysis must account for variations in propagation environments across </w:t>
      </w:r>
      <w:r w:rsidR="00A25442" w:rsidRPr="00A25442">
        <w:rPr>
          <w:rFonts w:eastAsia="Malgun Gothic"/>
          <w:b/>
          <w:bCs/>
          <w:lang w:eastAsia="ko-KR"/>
        </w:rPr>
        <w:t xml:space="preserve">serving and </w:t>
      </w:r>
      <w:proofErr w:type="spellStart"/>
      <w:r w:rsidR="00A25442" w:rsidRPr="00A25442">
        <w:rPr>
          <w:rFonts w:eastAsia="Malgun Gothic"/>
          <w:b/>
          <w:bCs/>
          <w:lang w:eastAsia="ko-KR"/>
        </w:rPr>
        <w:t>neighboring</w:t>
      </w:r>
      <w:proofErr w:type="spellEnd"/>
      <w:r w:rsidR="00A25442" w:rsidRPr="00A25442">
        <w:rPr>
          <w:rFonts w:eastAsia="Malgun Gothic"/>
          <w:b/>
          <w:bCs/>
          <w:lang w:eastAsia="ko-KR"/>
        </w:rPr>
        <w:t xml:space="preserve"> cells</w:t>
      </w:r>
      <w:r w:rsidR="00A25442" w:rsidRPr="00A25442">
        <w:rPr>
          <w:rFonts w:eastAsia="Malgun Gothic"/>
          <w:b/>
          <w:lang w:eastAsia="ko-KR"/>
        </w:rPr>
        <w:t>, as measurement errors are inherently influenced by </w:t>
      </w:r>
      <w:r w:rsidR="00A25442" w:rsidRPr="00A25442">
        <w:rPr>
          <w:rFonts w:eastAsia="Malgun Gothic"/>
          <w:b/>
          <w:bCs/>
          <w:lang w:eastAsia="ko-KR"/>
        </w:rPr>
        <w:t>cell-specific SINR conditions</w:t>
      </w:r>
      <w:r w:rsidR="00A25442" w:rsidRPr="00A25442">
        <w:rPr>
          <w:rFonts w:eastAsia="Malgun Gothic"/>
          <w:b/>
          <w:lang w:eastAsia="ko-KR"/>
        </w:rPr>
        <w:t>.</w:t>
      </w:r>
    </w:p>
    <w:p w14:paraId="0F0F24D5" w14:textId="77777777" w:rsidR="008F523D" w:rsidRDefault="008F523D" w:rsidP="008F523D">
      <w:pPr>
        <w:jc w:val="both"/>
      </w:pPr>
      <w:r w:rsidRPr="00750105">
        <w:t>Another aspect of measurement prediction is the enhancement of mobility and handover (HO) performance when the time and spatial density of measurements remain unchanged, meaning there is no reduction in measurements. In this use case, future measurements predicted using AI/ML are leveraged to optimize mobility decisions.</w:t>
      </w:r>
    </w:p>
    <w:p w14:paraId="5304B840" w14:textId="77777777" w:rsidR="008F523D" w:rsidRDefault="008F523D" w:rsidP="008F523D">
      <w:pPr>
        <w:jc w:val="both"/>
        <w:rPr>
          <w:lang w:val="en-US"/>
        </w:rPr>
      </w:pPr>
      <w:r w:rsidRPr="00750105">
        <w:t xml:space="preserve">The measurements may be predicted by the UE and either reported to the network or utilized within the UE to derive further predictions, such as forecasting handovers, radio link failures, or measurement events. The specific use cases and decisions regarding how the predicted measurements are employed to optimize mobility performance, along with their </w:t>
      </w:r>
      <w:proofErr w:type="spellStart"/>
      <w:r w:rsidRPr="00750105">
        <w:t>signaling</w:t>
      </w:r>
      <w:proofErr w:type="spellEnd"/>
      <w:r w:rsidRPr="00750105">
        <w:t xml:space="preserve"> impact, are still under further study in RAN2</w:t>
      </w:r>
    </w:p>
    <w:p w14:paraId="771D43EA" w14:textId="77777777" w:rsidR="008F523D" w:rsidRDefault="008F523D" w:rsidP="008F523D">
      <w:pPr>
        <w:jc w:val="both"/>
        <w:rPr>
          <w:lang w:val="en-US"/>
        </w:rPr>
      </w:pPr>
      <w:r w:rsidRPr="00750105">
        <w:t>Ultimately, the interplay between achievable prediction accuracy and mobility performance is crucial. The evaluation of the benefits provided by AI/ML-assisted mobility should consider KPIs related to handovers (e.g., ping-pong handovers, handover failures/radio link failures, time of stay, handover interruptions, prediction accuracy, and measurement reduction). These factors will shape the formulation of RAN4 requirements, as the primary objective is to enhance the robustness of mobility procedures and minimize failures</w:t>
      </w:r>
    </w:p>
    <w:p w14:paraId="38C371F4" w14:textId="34F0860A" w:rsidR="008F523D" w:rsidRDefault="008F523D" w:rsidP="008F523D">
      <w:pPr>
        <w:jc w:val="both"/>
        <w:rPr>
          <w:b/>
          <w:bCs/>
        </w:rPr>
      </w:pPr>
      <w:r>
        <w:rPr>
          <w:b/>
          <w:bCs/>
          <w:lang w:val="en-US"/>
        </w:rPr>
        <w:t xml:space="preserve">Proposal 4: </w:t>
      </w:r>
      <w:r w:rsidRPr="00750105">
        <w:rPr>
          <w:b/>
          <w:bCs/>
        </w:rPr>
        <w:t xml:space="preserve">Investigate the translation of RAN2 KPI requirements into RAN4 RRM measurement accuracy </w:t>
      </w:r>
      <w:r>
        <w:rPr>
          <w:b/>
          <w:bCs/>
        </w:rPr>
        <w:t xml:space="preserve">and prediction measurement accuracy </w:t>
      </w:r>
      <w:r w:rsidRPr="00750105">
        <w:rPr>
          <w:b/>
          <w:bCs/>
        </w:rPr>
        <w:t>requirements to assess the feasibility of the RAN2 study.</w:t>
      </w:r>
      <w:r>
        <w:rPr>
          <w:b/>
          <w:bCs/>
        </w:rPr>
        <w:t xml:space="preserve"> </w:t>
      </w:r>
      <w:r w:rsidRPr="00750105">
        <w:rPr>
          <w:b/>
          <w:bCs/>
        </w:rPr>
        <w:t xml:space="preserve">The evaluation of the benefits provided by AI/ML-assisted mobility should consider (KPIs) related to handovers (e.g., ping-pong handovers, handover failures/radio link failures, time of stay, handover interruptions, prediction accuracy, and measurement reduction). These factors will </w:t>
      </w:r>
      <w:r>
        <w:rPr>
          <w:b/>
          <w:bCs/>
        </w:rPr>
        <w:t xml:space="preserve">determine </w:t>
      </w:r>
      <w:r w:rsidRPr="00750105">
        <w:rPr>
          <w:b/>
          <w:bCs/>
        </w:rPr>
        <w:t>the formulation of RAN4 requirements, as the primary objective is to enhance the robustness of mobility procedures and minimize failures.</w:t>
      </w:r>
    </w:p>
    <w:p w14:paraId="75C126FD" w14:textId="7FEB308F" w:rsidR="00EC2E86" w:rsidRDefault="00EC2E86" w:rsidP="00EC2E86">
      <w:pPr>
        <w:jc w:val="both"/>
      </w:pPr>
      <w:r w:rsidRPr="00602C33">
        <w:rPr>
          <w:rFonts w:eastAsia="Malgun Gothic"/>
          <w:b/>
          <w:bCs/>
          <w:lang w:eastAsia="ko-KR"/>
        </w:rPr>
        <w:t>Proposal</w:t>
      </w:r>
      <w:r>
        <w:rPr>
          <w:rFonts w:eastAsia="Malgun Gothic"/>
          <w:b/>
          <w:bCs/>
          <w:lang w:eastAsia="ko-KR"/>
        </w:rPr>
        <w:t xml:space="preserve"> 5</w:t>
      </w:r>
      <w:r w:rsidRPr="00602C33">
        <w:rPr>
          <w:rFonts w:eastAsia="Malgun Gothic"/>
          <w:b/>
          <w:bCs/>
          <w:lang w:eastAsia="ko-KR"/>
        </w:rPr>
        <w:t>:</w:t>
      </w:r>
      <w:r w:rsidRPr="00602C33">
        <w:rPr>
          <w:rFonts w:eastAsia="Malgun Gothic"/>
          <w:b/>
          <w:lang w:eastAsia="ko-KR"/>
        </w:rPr>
        <w:t> </w:t>
      </w:r>
      <w:r w:rsidRPr="001809E0">
        <w:rPr>
          <w:rFonts w:eastAsia="Malgun Gothic"/>
          <w:b/>
          <w:lang w:eastAsia="ko-KR"/>
        </w:rPr>
        <w:t>Different cells may operate under </w:t>
      </w:r>
      <w:r w:rsidRPr="001809E0">
        <w:rPr>
          <w:rFonts w:eastAsia="Malgun Gothic"/>
          <w:b/>
          <w:bCs/>
          <w:lang w:eastAsia="ko-KR"/>
        </w:rPr>
        <w:t>distinct network conditions</w:t>
      </w:r>
      <w:r w:rsidRPr="001809E0">
        <w:rPr>
          <w:rFonts w:eastAsia="Malgun Gothic"/>
          <w:b/>
          <w:lang w:eastAsia="ko-KR"/>
        </w:rPr>
        <w:t xml:space="preserve"> (e.g., transmit (TX) codebook configurations, beamwidths, TX implementation variations). RAN4 to investigate whether an AI/ML model trained on data from one cell (e.g., </w:t>
      </w:r>
      <w:proofErr w:type="spellStart"/>
      <w:r w:rsidRPr="001809E0">
        <w:rPr>
          <w:rFonts w:eastAsia="Malgun Gothic"/>
          <w:b/>
          <w:lang w:eastAsia="ko-KR"/>
        </w:rPr>
        <w:t>neighbor</w:t>
      </w:r>
      <w:proofErr w:type="spellEnd"/>
      <w:r w:rsidRPr="001809E0">
        <w:rPr>
          <w:rFonts w:eastAsia="Malgun Gothic"/>
          <w:b/>
          <w:lang w:eastAsia="ko-KR"/>
        </w:rPr>
        <w:t xml:space="preserve"> cell 1) can generalize effectively for inference on another cell. Critical conditions (e.g., beam alignment parameters, hardware compatibility, signal propagation characteristics) must be defined to ensure consistency between </w:t>
      </w:r>
      <w:r w:rsidRPr="001809E0">
        <w:rPr>
          <w:rFonts w:eastAsia="Malgun Gothic"/>
          <w:b/>
          <w:bCs/>
          <w:lang w:eastAsia="ko-KR"/>
        </w:rPr>
        <w:t>training</w:t>
      </w:r>
      <w:r w:rsidRPr="001809E0">
        <w:rPr>
          <w:rFonts w:eastAsia="Malgun Gothic"/>
          <w:b/>
          <w:lang w:eastAsia="ko-KR"/>
        </w:rPr>
        <w:t> and </w:t>
      </w:r>
      <w:r w:rsidRPr="001809E0">
        <w:rPr>
          <w:rFonts w:eastAsia="Malgun Gothic"/>
          <w:b/>
          <w:bCs/>
          <w:lang w:eastAsia="ko-KR"/>
        </w:rPr>
        <w:t>inference phases</w:t>
      </w:r>
      <w:r w:rsidRPr="001809E0">
        <w:rPr>
          <w:rFonts w:eastAsia="Malgun Gothic"/>
          <w:b/>
          <w:lang w:eastAsia="ko-KR"/>
        </w:rPr>
        <w:t> for robust generalization.</w:t>
      </w:r>
    </w:p>
    <w:p w14:paraId="743FB577" w14:textId="48EAF40F" w:rsidR="00D411DC" w:rsidRDefault="00EC2E86" w:rsidP="00EC2E86">
      <w:pPr>
        <w:rPr>
          <w:lang w:val="en-US"/>
        </w:rPr>
      </w:pPr>
      <w:r w:rsidRPr="00EC2E86">
        <w:rPr>
          <w:lang w:val="en-US"/>
        </w:rPr>
        <w:t>For RRM measurement prediction (e.g., L3-RSRP), metrics such as prediction accuracy (RMSE, MAE) and statistical reliability are typically used. For event prediction (e.g., Event A3), additional considerations are necessary, such as the temporal alignment of predicted events with ground truth occurrences and probabilistic confidence in predictions.</w:t>
      </w:r>
    </w:p>
    <w:p w14:paraId="6AF202B4" w14:textId="09AF2432" w:rsidR="00EC2E86" w:rsidRPr="00EC2E86" w:rsidRDefault="00EC2E86" w:rsidP="00EC2E86">
      <w:pPr>
        <w:rPr>
          <w:b/>
          <w:bCs/>
          <w:lang w:val="en-US"/>
        </w:rPr>
      </w:pPr>
      <w:r w:rsidRPr="00EC2E86">
        <w:rPr>
          <w:b/>
          <w:bCs/>
          <w:lang w:val="en-US"/>
        </w:rPr>
        <w:t>Proposal</w:t>
      </w:r>
      <w:r>
        <w:rPr>
          <w:b/>
          <w:bCs/>
          <w:lang w:val="en-US"/>
        </w:rPr>
        <w:t xml:space="preserve"> 6</w:t>
      </w:r>
      <w:r w:rsidRPr="00EC2E86">
        <w:rPr>
          <w:b/>
          <w:bCs/>
          <w:lang w:val="en-US"/>
        </w:rPr>
        <w:t>: RAN4 should consider the following performance metrics for AI/ML-based measurement event prediction:</w:t>
      </w:r>
    </w:p>
    <w:p w14:paraId="615EA1A5" w14:textId="77777777" w:rsidR="00EC2E86" w:rsidRPr="00EC2E86" w:rsidRDefault="00EC2E86" w:rsidP="00EC2E86">
      <w:pPr>
        <w:numPr>
          <w:ilvl w:val="0"/>
          <w:numId w:val="60"/>
        </w:numPr>
        <w:rPr>
          <w:b/>
          <w:bCs/>
          <w:lang w:val="en-US"/>
        </w:rPr>
      </w:pPr>
      <w:r w:rsidRPr="00EC2E86">
        <w:rPr>
          <w:b/>
          <w:bCs/>
          <w:lang w:val="en-US"/>
        </w:rPr>
        <w:t>Baseline Metrics from L3-RSRP Prediction</w:t>
      </w:r>
    </w:p>
    <w:p w14:paraId="066C2EE8" w14:textId="1F3CB0C2" w:rsidR="00EC2E86" w:rsidRPr="00EC2E86" w:rsidRDefault="00EC2E86" w:rsidP="00EC2E86">
      <w:pPr>
        <w:numPr>
          <w:ilvl w:val="1"/>
          <w:numId w:val="60"/>
        </w:numPr>
        <w:rPr>
          <w:b/>
          <w:bCs/>
          <w:lang w:val="en-US"/>
        </w:rPr>
      </w:pPr>
      <w:r w:rsidRPr="00EC2E86">
        <w:rPr>
          <w:b/>
          <w:bCs/>
          <w:lang w:val="en-US"/>
        </w:rPr>
        <w:t>Retain one or multiple existing performance metrics defined for AI/ML-based L3-RSRP prediction</w:t>
      </w:r>
    </w:p>
    <w:p w14:paraId="7F502656" w14:textId="77777777" w:rsidR="00EC2E86" w:rsidRPr="00EC2E86" w:rsidRDefault="00EC2E86" w:rsidP="00EC2E86">
      <w:pPr>
        <w:numPr>
          <w:ilvl w:val="0"/>
          <w:numId w:val="60"/>
        </w:numPr>
        <w:rPr>
          <w:b/>
          <w:bCs/>
          <w:lang w:val="en-US"/>
        </w:rPr>
      </w:pPr>
      <w:r w:rsidRPr="00EC2E86">
        <w:rPr>
          <w:b/>
          <w:bCs/>
          <w:lang w:val="en-US"/>
        </w:rPr>
        <w:t>Event-Specific Temporal Accuracy</w:t>
      </w:r>
    </w:p>
    <w:p w14:paraId="40DBA9F4" w14:textId="7655BC3E" w:rsidR="00EC2E86" w:rsidRPr="00EC2E86" w:rsidRDefault="00EC2E86" w:rsidP="00EC2E86">
      <w:pPr>
        <w:numPr>
          <w:ilvl w:val="1"/>
          <w:numId w:val="60"/>
        </w:numPr>
        <w:rPr>
          <w:b/>
          <w:bCs/>
          <w:lang w:val="en-US"/>
        </w:rPr>
      </w:pPr>
      <w:r w:rsidRPr="00EC2E86">
        <w:rPr>
          <w:b/>
          <w:bCs/>
          <w:lang w:val="en-US"/>
        </w:rPr>
        <w:t>Define a time-domain gap metric: The difference between the </w:t>
      </w:r>
      <w:r w:rsidRPr="00EC2E86">
        <w:rPr>
          <w:b/>
          <w:bCs/>
          <w:i/>
          <w:iCs/>
          <w:lang w:val="en-US"/>
        </w:rPr>
        <w:t>predicted time instance</w:t>
      </w:r>
      <w:r w:rsidRPr="00EC2E86">
        <w:rPr>
          <w:b/>
          <w:bCs/>
          <w:lang w:val="en-US"/>
        </w:rPr>
        <w:t> when the event is forecasted to occur (e.g., entering condition met at T2) and the </w:t>
      </w:r>
      <w:r w:rsidRPr="00EC2E86">
        <w:rPr>
          <w:b/>
          <w:bCs/>
          <w:i/>
          <w:iCs/>
          <w:lang w:val="en-US"/>
        </w:rPr>
        <w:t>actual time instance</w:t>
      </w:r>
      <w:r>
        <w:rPr>
          <w:b/>
          <w:bCs/>
          <w:i/>
          <w:iCs/>
          <w:lang w:val="en-US"/>
        </w:rPr>
        <w:t xml:space="preserve"> </w:t>
      </w:r>
      <w:r w:rsidRPr="00EC2E86">
        <w:rPr>
          <w:b/>
          <w:bCs/>
          <w:lang w:val="en-US"/>
        </w:rPr>
        <w:t>when the event occurs, based on ground truth L3-RSRP.</w:t>
      </w:r>
    </w:p>
    <w:p w14:paraId="4613C118" w14:textId="77777777" w:rsidR="00EC2E86" w:rsidRPr="00EC2E86" w:rsidRDefault="00EC2E86" w:rsidP="00EC2E86">
      <w:pPr>
        <w:numPr>
          <w:ilvl w:val="1"/>
          <w:numId w:val="60"/>
        </w:numPr>
        <w:rPr>
          <w:b/>
          <w:bCs/>
          <w:lang w:val="en-US"/>
        </w:rPr>
      </w:pPr>
      <w:r w:rsidRPr="00EC2E86">
        <w:rPr>
          <w:b/>
          <w:bCs/>
          <w:lang w:val="en-US"/>
        </w:rPr>
        <w:t>Example: If an event is predicted at T2 but occurs at T3 (ground truth), the gap is ΔT = T3 – T2.</w:t>
      </w:r>
    </w:p>
    <w:p w14:paraId="7EE38C2F" w14:textId="77777777" w:rsidR="00EC2E86" w:rsidRPr="00EC2E86" w:rsidRDefault="00EC2E86" w:rsidP="00EC2E86">
      <w:pPr>
        <w:numPr>
          <w:ilvl w:val="0"/>
          <w:numId w:val="60"/>
        </w:numPr>
        <w:rPr>
          <w:b/>
          <w:bCs/>
          <w:lang w:val="en-US"/>
        </w:rPr>
      </w:pPr>
      <w:r w:rsidRPr="00EC2E86">
        <w:rPr>
          <w:b/>
          <w:bCs/>
          <w:lang w:val="en-US"/>
        </w:rPr>
        <w:t>Combined or Down-Selected Metrics</w:t>
      </w:r>
    </w:p>
    <w:p w14:paraId="7A85D870" w14:textId="77777777" w:rsidR="00EC2E86" w:rsidRPr="00EC2E86" w:rsidRDefault="00EC2E86" w:rsidP="00EC2E86">
      <w:pPr>
        <w:numPr>
          <w:ilvl w:val="1"/>
          <w:numId w:val="60"/>
        </w:numPr>
        <w:rPr>
          <w:b/>
          <w:bCs/>
          <w:lang w:val="en-US"/>
        </w:rPr>
      </w:pPr>
      <w:r w:rsidRPr="00EC2E86">
        <w:rPr>
          <w:b/>
          <w:bCs/>
          <w:lang w:val="en-US"/>
        </w:rPr>
        <w:t>The above metrics (L3-RSRP prediction accuracy + temporal gap) may be:</w:t>
      </w:r>
    </w:p>
    <w:p w14:paraId="7BCD3A25" w14:textId="77777777" w:rsidR="00EC2E86" w:rsidRPr="00EC2E86" w:rsidRDefault="00EC2E86" w:rsidP="00EC2E86">
      <w:pPr>
        <w:numPr>
          <w:ilvl w:val="2"/>
          <w:numId w:val="60"/>
        </w:numPr>
        <w:rPr>
          <w:b/>
          <w:bCs/>
          <w:lang w:val="en-US"/>
        </w:rPr>
      </w:pPr>
      <w:r w:rsidRPr="00EC2E86">
        <w:rPr>
          <w:b/>
          <w:bCs/>
          <w:lang w:val="en-US"/>
        </w:rPr>
        <w:t>Jointly used for comprehensive performance assessment, or</w:t>
      </w:r>
    </w:p>
    <w:p w14:paraId="0B3C8838" w14:textId="77777777" w:rsidR="00EC2E86" w:rsidRPr="00EC2E86" w:rsidRDefault="00EC2E86" w:rsidP="00EC2E86">
      <w:pPr>
        <w:numPr>
          <w:ilvl w:val="2"/>
          <w:numId w:val="60"/>
        </w:numPr>
        <w:rPr>
          <w:b/>
          <w:bCs/>
          <w:lang w:val="en-US"/>
        </w:rPr>
      </w:pPr>
      <w:r w:rsidRPr="00EC2E86">
        <w:rPr>
          <w:b/>
          <w:bCs/>
          <w:lang w:val="en-US"/>
        </w:rPr>
        <w:t>Independently selected depending on use-case priorities.</w:t>
      </w:r>
    </w:p>
    <w:p w14:paraId="4F8FC6C3" w14:textId="2C4279AD" w:rsidR="00EC2E86" w:rsidRDefault="00EC2E86" w:rsidP="00EC2E86">
      <w:pPr>
        <w:rPr>
          <w:lang w:val="en-US"/>
        </w:rPr>
      </w:pPr>
    </w:p>
    <w:p w14:paraId="7E908039" w14:textId="3231E465" w:rsidR="00EC2E86" w:rsidRPr="00EC2E86" w:rsidRDefault="00EC2E86" w:rsidP="00EC2E86">
      <w:pPr>
        <w:rPr>
          <w:lang w:val="en-US"/>
        </w:rPr>
      </w:pPr>
      <w:r w:rsidRPr="00EC2E86">
        <w:rPr>
          <w:lang w:val="en-US"/>
        </w:rPr>
        <w:t>The final selection and weighting of metrics should account for the following aspects, to be resolved in RAN2 discussions:</w:t>
      </w:r>
    </w:p>
    <w:p w14:paraId="089408D1" w14:textId="77777777" w:rsidR="00EC2E86" w:rsidRPr="00EC2E86" w:rsidRDefault="00EC2E86" w:rsidP="00EC2E86">
      <w:pPr>
        <w:numPr>
          <w:ilvl w:val="0"/>
          <w:numId w:val="61"/>
        </w:numPr>
        <w:rPr>
          <w:lang w:val="en-US"/>
        </w:rPr>
      </w:pPr>
      <w:r w:rsidRPr="00EC2E86">
        <w:rPr>
          <w:lang w:val="en-US"/>
        </w:rPr>
        <w:t>AI/ML Model Type</w:t>
      </w:r>
    </w:p>
    <w:p w14:paraId="3222E203" w14:textId="77777777" w:rsidR="00EC2E86" w:rsidRPr="00EC2E86" w:rsidRDefault="00EC2E86" w:rsidP="00EC2E86">
      <w:pPr>
        <w:numPr>
          <w:ilvl w:val="1"/>
          <w:numId w:val="61"/>
        </w:numPr>
        <w:rPr>
          <w:lang w:val="en-US"/>
        </w:rPr>
      </w:pPr>
      <w:r w:rsidRPr="00EC2E86">
        <w:rPr>
          <w:lang w:val="en-US"/>
        </w:rPr>
        <w:t>Whether the model performs indirect prediction (e.g., event derived from predicted RSRP) or direct prediction (e.g., event forecasted directly by the AI/ML model).</w:t>
      </w:r>
    </w:p>
    <w:p w14:paraId="7F456DBE" w14:textId="77777777" w:rsidR="00EC2E86" w:rsidRPr="00EC2E86" w:rsidRDefault="00EC2E86" w:rsidP="00EC2E86">
      <w:pPr>
        <w:numPr>
          <w:ilvl w:val="0"/>
          <w:numId w:val="61"/>
        </w:numPr>
        <w:rPr>
          <w:lang w:val="en-US"/>
        </w:rPr>
      </w:pPr>
      <w:r w:rsidRPr="00EC2E86">
        <w:rPr>
          <w:lang w:val="en-US"/>
        </w:rPr>
        <w:t>Reporting Requirements</w:t>
      </w:r>
    </w:p>
    <w:p w14:paraId="25901E5E" w14:textId="77777777" w:rsidR="00EC2E86" w:rsidRPr="00EC2E86" w:rsidRDefault="00EC2E86" w:rsidP="00EC2E86">
      <w:pPr>
        <w:numPr>
          <w:ilvl w:val="1"/>
          <w:numId w:val="61"/>
        </w:numPr>
        <w:rPr>
          <w:lang w:val="en-US"/>
        </w:rPr>
      </w:pPr>
      <w:r w:rsidRPr="00EC2E86">
        <w:rPr>
          <w:lang w:val="en-US"/>
        </w:rPr>
        <w:t>Whether metrics should include probabilistic confidence (e.g., likelihood of an event occurring within a time window) or focus solely on deterministic predictions.</w:t>
      </w:r>
    </w:p>
    <w:p w14:paraId="24E9B7DE" w14:textId="77777777" w:rsidR="00EC2E86" w:rsidRPr="00EC2E86" w:rsidRDefault="00EC2E86" w:rsidP="00EC2E86">
      <w:pPr>
        <w:numPr>
          <w:ilvl w:val="0"/>
          <w:numId w:val="61"/>
        </w:numPr>
        <w:rPr>
          <w:lang w:val="en-US"/>
        </w:rPr>
      </w:pPr>
      <w:r w:rsidRPr="00EC2E86">
        <w:rPr>
          <w:lang w:val="en-US"/>
        </w:rPr>
        <w:t>Network Signaling Constraints</w:t>
      </w:r>
    </w:p>
    <w:p w14:paraId="389B1A0D" w14:textId="50740422" w:rsidR="00EC2E86" w:rsidRPr="00EC2E86" w:rsidRDefault="00EC2E86" w:rsidP="00EC2E86">
      <w:pPr>
        <w:numPr>
          <w:ilvl w:val="1"/>
          <w:numId w:val="61"/>
        </w:numPr>
        <w:rPr>
          <w:lang w:val="en-US"/>
        </w:rPr>
      </w:pPr>
      <w:r w:rsidRPr="00EC2E86">
        <w:rPr>
          <w:lang w:val="en-US"/>
        </w:rPr>
        <w:t>Practical limitations on reporting granularity (e.g., time-domain resolution) to the serving cell.</w:t>
      </w:r>
    </w:p>
    <w:p w14:paraId="4CF28618" w14:textId="77777777" w:rsidR="008F523D" w:rsidRPr="008F523D" w:rsidRDefault="008F523D" w:rsidP="006D7BA8">
      <w:pPr>
        <w:rPr>
          <w:lang w:val="en-US"/>
        </w:rPr>
      </w:pPr>
    </w:p>
    <w:p w14:paraId="47DB24EB" w14:textId="77777777" w:rsidR="00D339A3" w:rsidRPr="00614DD8" w:rsidRDefault="00D339A3" w:rsidP="00D339A3">
      <w:pPr>
        <w:pStyle w:val="RAN4H1"/>
        <w:rPr>
          <w:lang w:val="en-US"/>
        </w:rPr>
      </w:pPr>
      <w:r w:rsidRPr="00614DD8">
        <w:rPr>
          <w:lang w:val="en-US"/>
        </w:rPr>
        <w:t>Conclusion</w:t>
      </w:r>
    </w:p>
    <w:p w14:paraId="3D543ED1" w14:textId="54F07345" w:rsidR="00D339A3" w:rsidRPr="008F523D" w:rsidRDefault="00D339A3" w:rsidP="00D339A3">
      <w:pPr>
        <w:rPr>
          <w:lang w:val="en-US"/>
        </w:rPr>
      </w:pPr>
      <w:r w:rsidRPr="00D339A3">
        <w:t xml:space="preserve">This paper </w:t>
      </w:r>
      <w:r w:rsidR="008F523D">
        <w:t>we discuss</w:t>
      </w:r>
      <w:r w:rsidR="008F523D" w:rsidRPr="008F523D">
        <w:rPr>
          <w:rFonts w:ascii="Arial" w:eastAsia="Calibri" w:hAnsi="Arial" w:cs="Arial"/>
          <w:b/>
          <w:bCs/>
          <w:sz w:val="24"/>
          <w:lang w:val="en-US"/>
        </w:rPr>
        <w:t xml:space="preserve"> </w:t>
      </w:r>
      <w:r w:rsidR="008F523D" w:rsidRPr="008F523D">
        <w:rPr>
          <w:lang w:val="en-US"/>
        </w:rPr>
        <w:t xml:space="preserve">RAN4 impacts </w:t>
      </w:r>
      <w:r w:rsidR="008F523D">
        <w:rPr>
          <w:lang w:val="en-US"/>
        </w:rPr>
        <w:t xml:space="preserve">on measurement accuracy </w:t>
      </w:r>
      <w:r w:rsidR="008F523D" w:rsidRPr="008F523D">
        <w:rPr>
          <w:rFonts w:hint="eastAsia"/>
          <w:lang w:val="en-US"/>
        </w:rPr>
        <w:t>f</w:t>
      </w:r>
      <w:r w:rsidR="008F523D" w:rsidRPr="008F523D">
        <w:rPr>
          <w:lang w:val="en-US"/>
        </w:rPr>
        <w:t>or measurement event prediction</w:t>
      </w:r>
      <w:r w:rsidR="008F523D" w:rsidRPr="008F523D">
        <w:rPr>
          <w:rFonts w:hint="eastAsia"/>
          <w:lang w:val="en-US"/>
        </w:rPr>
        <w:t xml:space="preserve"> </w:t>
      </w:r>
      <w:r w:rsidR="008F523D" w:rsidRPr="008F523D">
        <w:rPr>
          <w:lang w:val="en-US"/>
        </w:rPr>
        <w:t>for AIML Mobility in NR</w:t>
      </w:r>
      <w:r w:rsidR="008F523D">
        <w:rPr>
          <w:lang w:val="en-US"/>
        </w:rPr>
        <w:t xml:space="preserve">. </w:t>
      </w:r>
    </w:p>
    <w:p w14:paraId="69922237" w14:textId="77777777" w:rsidR="008F523D" w:rsidRPr="001F31E1" w:rsidRDefault="008F523D" w:rsidP="008F523D">
      <w:pPr>
        <w:rPr>
          <w:b/>
          <w:bCs/>
        </w:rPr>
      </w:pPr>
      <w:r w:rsidRPr="001F31E1">
        <w:rPr>
          <w:b/>
          <w:bCs/>
          <w:lang w:val="en-US"/>
        </w:rPr>
        <w:t>Proposal</w:t>
      </w:r>
      <w:r>
        <w:rPr>
          <w:b/>
          <w:bCs/>
          <w:lang w:val="en-US"/>
        </w:rPr>
        <w:t xml:space="preserve"> 1</w:t>
      </w:r>
      <w:r w:rsidRPr="001F31E1">
        <w:rPr>
          <w:b/>
          <w:bCs/>
          <w:lang w:val="en-US"/>
        </w:rPr>
        <w:t xml:space="preserve">: </w:t>
      </w:r>
      <w:r w:rsidRPr="001F31E1">
        <w:rPr>
          <w:b/>
          <w:bCs/>
        </w:rPr>
        <w:t>RAN4 to discuss the modelling of measurement errors and their impact to evaluate AI/ML event prediction benefits compared to sample-and-hold and the impact to false detection of events (higher cost)</w:t>
      </w:r>
    </w:p>
    <w:p w14:paraId="3654ADB7" w14:textId="77777777" w:rsidR="008F523D" w:rsidRDefault="008F523D" w:rsidP="008F523D">
      <w:pPr>
        <w:jc w:val="both"/>
        <w:rPr>
          <w:rFonts w:eastAsia="Malgun Gothic"/>
          <w:b/>
          <w:lang w:val="en-US" w:eastAsia="ko-KR"/>
        </w:rPr>
      </w:pPr>
      <w:r>
        <w:rPr>
          <w:rFonts w:eastAsia="Malgun Gothic"/>
          <w:b/>
          <w:lang w:val="en-US" w:eastAsia="ko-KR"/>
        </w:rPr>
        <w:t xml:space="preserve">Proposal 2: For indirect measurement event prediction, RAN4 to discuss the modeling and impact of measurement errors to the prediction accuracy (i.e., F1 score)  </w:t>
      </w:r>
    </w:p>
    <w:p w14:paraId="69991F04" w14:textId="77777777" w:rsidR="008F523D" w:rsidRDefault="008F523D" w:rsidP="008F523D">
      <w:pPr>
        <w:jc w:val="both"/>
        <w:rPr>
          <w:rFonts w:eastAsia="Malgun Gothic"/>
          <w:b/>
          <w:lang w:eastAsia="ko-KR"/>
        </w:rPr>
      </w:pPr>
      <w:r>
        <w:rPr>
          <w:rFonts w:eastAsia="Malgun Gothic"/>
          <w:b/>
          <w:lang w:val="en-US" w:eastAsia="ko-KR"/>
        </w:rPr>
        <w:t xml:space="preserve">Proposal 3: RAN4 to discuss modeling measurements errors as a function of SINR. </w:t>
      </w:r>
      <w:r w:rsidRPr="006D7BA8">
        <w:rPr>
          <w:rFonts w:eastAsia="Malgun Gothic"/>
          <w:b/>
          <w:lang w:eastAsia="ko-KR"/>
        </w:rPr>
        <w:t xml:space="preserve">The propagation environment varies across </w:t>
      </w:r>
      <w:r>
        <w:rPr>
          <w:rFonts w:eastAsia="Malgun Gothic"/>
          <w:b/>
          <w:lang w:eastAsia="ko-KR"/>
        </w:rPr>
        <w:t>serving/</w:t>
      </w:r>
      <w:r w:rsidRPr="006D7BA8">
        <w:rPr>
          <w:rFonts w:eastAsia="Malgun Gothic"/>
          <w:b/>
          <w:lang w:eastAsia="ko-KR"/>
        </w:rPr>
        <w:t xml:space="preserve">neighbouring cells. Measurement errors depend on the cell-specific SINR </w:t>
      </w:r>
    </w:p>
    <w:p w14:paraId="0D41204C" w14:textId="77777777" w:rsidR="008F523D" w:rsidRPr="00F351ED" w:rsidRDefault="008F523D" w:rsidP="008F523D">
      <w:pPr>
        <w:jc w:val="both"/>
        <w:rPr>
          <w:b/>
          <w:bCs/>
          <w:lang w:val="en-US"/>
        </w:rPr>
      </w:pPr>
      <w:r>
        <w:rPr>
          <w:b/>
          <w:bCs/>
          <w:lang w:val="en-US"/>
        </w:rPr>
        <w:t xml:space="preserve">Proposal 4: </w:t>
      </w:r>
      <w:r w:rsidRPr="00750105">
        <w:rPr>
          <w:b/>
          <w:bCs/>
        </w:rPr>
        <w:t xml:space="preserve">Investigate the translation of RAN2 KPI requirements into RAN4 RRM measurement accuracy </w:t>
      </w:r>
      <w:r>
        <w:rPr>
          <w:b/>
          <w:bCs/>
        </w:rPr>
        <w:t xml:space="preserve">and prediction measurement accuracy </w:t>
      </w:r>
      <w:r w:rsidRPr="00750105">
        <w:rPr>
          <w:b/>
          <w:bCs/>
        </w:rPr>
        <w:t>requirements to assess the feasibility of the RAN2 study.</w:t>
      </w:r>
      <w:r>
        <w:rPr>
          <w:b/>
          <w:bCs/>
        </w:rPr>
        <w:t xml:space="preserve"> </w:t>
      </w:r>
      <w:r w:rsidRPr="00750105">
        <w:rPr>
          <w:b/>
          <w:bCs/>
        </w:rPr>
        <w:t xml:space="preserve">The evaluation of the benefits provided by AI/ML-assisted mobility should consider (KPIs) related to handovers (e.g., ping-pong handovers, handover failures/radio link failures, time of stay, handover interruptions, prediction accuracy, and measurement reduction). These factors will </w:t>
      </w:r>
      <w:r>
        <w:rPr>
          <w:b/>
          <w:bCs/>
        </w:rPr>
        <w:t xml:space="preserve">determine </w:t>
      </w:r>
      <w:r w:rsidRPr="00750105">
        <w:rPr>
          <w:b/>
          <w:bCs/>
        </w:rPr>
        <w:t>the formulation of RAN4 requirements, as the primary objective is to enhance the robustness of mobility procedures and minimize failures.</w:t>
      </w:r>
    </w:p>
    <w:p w14:paraId="3E50282F" w14:textId="77777777" w:rsidR="00EC2E86" w:rsidRDefault="00EC2E86" w:rsidP="00EC2E86">
      <w:pPr>
        <w:jc w:val="both"/>
      </w:pPr>
      <w:r w:rsidRPr="00602C33">
        <w:rPr>
          <w:rFonts w:eastAsia="Malgun Gothic"/>
          <w:b/>
          <w:bCs/>
          <w:lang w:eastAsia="ko-KR"/>
        </w:rPr>
        <w:t>Proposal</w:t>
      </w:r>
      <w:r>
        <w:rPr>
          <w:rFonts w:eastAsia="Malgun Gothic"/>
          <w:b/>
          <w:bCs/>
          <w:lang w:eastAsia="ko-KR"/>
        </w:rPr>
        <w:t xml:space="preserve"> 5</w:t>
      </w:r>
      <w:r w:rsidRPr="00602C33">
        <w:rPr>
          <w:rFonts w:eastAsia="Malgun Gothic"/>
          <w:b/>
          <w:bCs/>
          <w:lang w:eastAsia="ko-KR"/>
        </w:rPr>
        <w:t>:</w:t>
      </w:r>
      <w:r w:rsidRPr="00602C33">
        <w:rPr>
          <w:rFonts w:eastAsia="Malgun Gothic"/>
          <w:b/>
          <w:lang w:eastAsia="ko-KR"/>
        </w:rPr>
        <w:t> </w:t>
      </w:r>
      <w:r w:rsidRPr="001809E0">
        <w:rPr>
          <w:rFonts w:eastAsia="Malgun Gothic"/>
          <w:b/>
          <w:lang w:eastAsia="ko-KR"/>
        </w:rPr>
        <w:t>Different cells may operate under </w:t>
      </w:r>
      <w:r w:rsidRPr="001809E0">
        <w:rPr>
          <w:rFonts w:eastAsia="Malgun Gothic"/>
          <w:b/>
          <w:bCs/>
          <w:lang w:eastAsia="ko-KR"/>
        </w:rPr>
        <w:t>distinct network conditions</w:t>
      </w:r>
      <w:r w:rsidRPr="001809E0">
        <w:rPr>
          <w:rFonts w:eastAsia="Malgun Gothic"/>
          <w:b/>
          <w:lang w:eastAsia="ko-KR"/>
        </w:rPr>
        <w:t xml:space="preserve"> (e.g., transmit (TX) codebook configurations, beamwidths, TX implementation variations). RAN4 to investigate whether an AI/ML model trained on data from one cell (e.g., </w:t>
      </w:r>
      <w:proofErr w:type="spellStart"/>
      <w:r w:rsidRPr="001809E0">
        <w:rPr>
          <w:rFonts w:eastAsia="Malgun Gothic"/>
          <w:b/>
          <w:lang w:eastAsia="ko-KR"/>
        </w:rPr>
        <w:t>neighbor</w:t>
      </w:r>
      <w:proofErr w:type="spellEnd"/>
      <w:r w:rsidRPr="001809E0">
        <w:rPr>
          <w:rFonts w:eastAsia="Malgun Gothic"/>
          <w:b/>
          <w:lang w:eastAsia="ko-KR"/>
        </w:rPr>
        <w:t xml:space="preserve"> cell 1) can generalize effectively for inference on another cell. Critical conditions (e.g., beam alignment parameters, hardware compatibility, signal propagation characteristics) must be defined to ensure consistency between </w:t>
      </w:r>
      <w:r w:rsidRPr="001809E0">
        <w:rPr>
          <w:rFonts w:eastAsia="Malgun Gothic"/>
          <w:b/>
          <w:bCs/>
          <w:lang w:eastAsia="ko-KR"/>
        </w:rPr>
        <w:t>training</w:t>
      </w:r>
      <w:r w:rsidRPr="001809E0">
        <w:rPr>
          <w:rFonts w:eastAsia="Malgun Gothic"/>
          <w:b/>
          <w:lang w:eastAsia="ko-KR"/>
        </w:rPr>
        <w:t> and </w:t>
      </w:r>
      <w:r w:rsidRPr="001809E0">
        <w:rPr>
          <w:rFonts w:eastAsia="Malgun Gothic"/>
          <w:b/>
          <w:bCs/>
          <w:lang w:eastAsia="ko-KR"/>
        </w:rPr>
        <w:t>inference phases</w:t>
      </w:r>
      <w:r w:rsidRPr="001809E0">
        <w:rPr>
          <w:rFonts w:eastAsia="Malgun Gothic"/>
          <w:b/>
          <w:lang w:eastAsia="ko-KR"/>
        </w:rPr>
        <w:t> for robust generalization.</w:t>
      </w:r>
    </w:p>
    <w:p w14:paraId="00398688" w14:textId="77777777" w:rsidR="00EC2E86" w:rsidRPr="00EC2E86" w:rsidRDefault="00EC2E86" w:rsidP="00EC2E86">
      <w:pPr>
        <w:rPr>
          <w:b/>
          <w:bCs/>
          <w:lang w:val="en-US"/>
        </w:rPr>
      </w:pPr>
      <w:r w:rsidRPr="00EC2E86">
        <w:rPr>
          <w:b/>
          <w:bCs/>
          <w:lang w:val="en-US"/>
        </w:rPr>
        <w:t>Proposal</w:t>
      </w:r>
      <w:r>
        <w:rPr>
          <w:b/>
          <w:bCs/>
          <w:lang w:val="en-US"/>
        </w:rPr>
        <w:t xml:space="preserve"> 6</w:t>
      </w:r>
      <w:r w:rsidRPr="00EC2E86">
        <w:rPr>
          <w:b/>
          <w:bCs/>
          <w:lang w:val="en-US"/>
        </w:rPr>
        <w:t>: RAN4 should consider the following performance metrics for AI/ML-based measurement event prediction:</w:t>
      </w:r>
    </w:p>
    <w:p w14:paraId="39EACBF3" w14:textId="77777777" w:rsidR="00EC2E86" w:rsidRPr="00EC2E86" w:rsidRDefault="00EC2E86" w:rsidP="00EC2E86">
      <w:pPr>
        <w:numPr>
          <w:ilvl w:val="0"/>
          <w:numId w:val="62"/>
        </w:numPr>
        <w:rPr>
          <w:b/>
          <w:bCs/>
          <w:lang w:val="en-US"/>
        </w:rPr>
      </w:pPr>
      <w:r w:rsidRPr="00EC2E86">
        <w:rPr>
          <w:b/>
          <w:bCs/>
          <w:lang w:val="en-US"/>
        </w:rPr>
        <w:t>Baseline Metrics from L3-RSRP Prediction</w:t>
      </w:r>
    </w:p>
    <w:p w14:paraId="7F9EFA1F" w14:textId="77777777" w:rsidR="00EC2E86" w:rsidRPr="00EC2E86" w:rsidRDefault="00EC2E86" w:rsidP="00EC2E86">
      <w:pPr>
        <w:numPr>
          <w:ilvl w:val="1"/>
          <w:numId w:val="62"/>
        </w:numPr>
        <w:rPr>
          <w:b/>
          <w:bCs/>
          <w:lang w:val="en-US"/>
        </w:rPr>
      </w:pPr>
      <w:r w:rsidRPr="00EC2E86">
        <w:rPr>
          <w:b/>
          <w:bCs/>
          <w:lang w:val="en-US"/>
        </w:rPr>
        <w:t>Retain one or multiple existing performance metrics defined for AI/ML-based L3-RSRP prediction</w:t>
      </w:r>
    </w:p>
    <w:p w14:paraId="10EE857B" w14:textId="77777777" w:rsidR="00EC2E86" w:rsidRPr="00EC2E86" w:rsidRDefault="00EC2E86" w:rsidP="00EC2E86">
      <w:pPr>
        <w:numPr>
          <w:ilvl w:val="0"/>
          <w:numId w:val="62"/>
        </w:numPr>
        <w:rPr>
          <w:b/>
          <w:bCs/>
          <w:lang w:val="en-US"/>
        </w:rPr>
      </w:pPr>
      <w:r w:rsidRPr="00EC2E86">
        <w:rPr>
          <w:b/>
          <w:bCs/>
          <w:lang w:val="en-US"/>
        </w:rPr>
        <w:t>Event-Specific Temporal Accuracy</w:t>
      </w:r>
    </w:p>
    <w:p w14:paraId="298369B8" w14:textId="77777777" w:rsidR="00EC2E86" w:rsidRPr="00EC2E86" w:rsidRDefault="00EC2E86" w:rsidP="00EC2E86">
      <w:pPr>
        <w:numPr>
          <w:ilvl w:val="1"/>
          <w:numId w:val="62"/>
        </w:numPr>
        <w:rPr>
          <w:b/>
          <w:bCs/>
          <w:lang w:val="en-US"/>
        </w:rPr>
      </w:pPr>
      <w:r w:rsidRPr="00EC2E86">
        <w:rPr>
          <w:b/>
          <w:bCs/>
          <w:lang w:val="en-US"/>
        </w:rPr>
        <w:t>Define a time-domain gap metric: The difference between the </w:t>
      </w:r>
      <w:r w:rsidRPr="00EC2E86">
        <w:rPr>
          <w:b/>
          <w:bCs/>
          <w:i/>
          <w:iCs/>
          <w:lang w:val="en-US"/>
        </w:rPr>
        <w:t>predicted time instance</w:t>
      </w:r>
      <w:r w:rsidRPr="00EC2E86">
        <w:rPr>
          <w:b/>
          <w:bCs/>
          <w:lang w:val="en-US"/>
        </w:rPr>
        <w:t> when the event is forecasted to occur (e.g., entering condition met at T2) and the </w:t>
      </w:r>
      <w:r w:rsidRPr="00EC2E86">
        <w:rPr>
          <w:b/>
          <w:bCs/>
          <w:i/>
          <w:iCs/>
          <w:lang w:val="en-US"/>
        </w:rPr>
        <w:t>actual time instance</w:t>
      </w:r>
      <w:r>
        <w:rPr>
          <w:b/>
          <w:bCs/>
          <w:i/>
          <w:iCs/>
          <w:lang w:val="en-US"/>
        </w:rPr>
        <w:t xml:space="preserve"> </w:t>
      </w:r>
      <w:r w:rsidRPr="00EC2E86">
        <w:rPr>
          <w:b/>
          <w:bCs/>
          <w:lang w:val="en-US"/>
        </w:rPr>
        <w:t>when the event occurs, based on ground truth L3-RSRP.</w:t>
      </w:r>
    </w:p>
    <w:p w14:paraId="317B8DDD" w14:textId="77777777" w:rsidR="00EC2E86" w:rsidRPr="00EC2E86" w:rsidRDefault="00EC2E86" w:rsidP="00EC2E86">
      <w:pPr>
        <w:numPr>
          <w:ilvl w:val="1"/>
          <w:numId w:val="62"/>
        </w:numPr>
        <w:rPr>
          <w:b/>
          <w:bCs/>
          <w:lang w:val="en-US"/>
        </w:rPr>
      </w:pPr>
      <w:r w:rsidRPr="00EC2E86">
        <w:rPr>
          <w:b/>
          <w:bCs/>
          <w:lang w:val="en-US"/>
        </w:rPr>
        <w:lastRenderedPageBreak/>
        <w:t>Example: If an event is predicted at T2 but occurs at T3 (ground truth), the gap is ΔT = T3 – T2.</w:t>
      </w:r>
    </w:p>
    <w:p w14:paraId="6BFE1ED7" w14:textId="77777777" w:rsidR="00EC2E86" w:rsidRPr="00EC2E86" w:rsidRDefault="00EC2E86" w:rsidP="00EC2E86">
      <w:pPr>
        <w:numPr>
          <w:ilvl w:val="0"/>
          <w:numId w:val="62"/>
        </w:numPr>
        <w:rPr>
          <w:b/>
          <w:bCs/>
          <w:lang w:val="en-US"/>
        </w:rPr>
      </w:pPr>
      <w:r w:rsidRPr="00EC2E86">
        <w:rPr>
          <w:b/>
          <w:bCs/>
          <w:lang w:val="en-US"/>
        </w:rPr>
        <w:t>Combined or Down-Selected Metrics</w:t>
      </w:r>
    </w:p>
    <w:p w14:paraId="0EF209DB" w14:textId="77777777" w:rsidR="00EC2E86" w:rsidRPr="00EC2E86" w:rsidRDefault="00EC2E86" w:rsidP="00EC2E86">
      <w:pPr>
        <w:numPr>
          <w:ilvl w:val="1"/>
          <w:numId w:val="62"/>
        </w:numPr>
        <w:rPr>
          <w:b/>
          <w:bCs/>
          <w:lang w:val="en-US"/>
        </w:rPr>
      </w:pPr>
      <w:r w:rsidRPr="00EC2E86">
        <w:rPr>
          <w:b/>
          <w:bCs/>
          <w:lang w:val="en-US"/>
        </w:rPr>
        <w:t>The above metrics (L3-RSRP prediction accuracy + temporal gap) may be:</w:t>
      </w:r>
    </w:p>
    <w:p w14:paraId="7670D1AD" w14:textId="77777777" w:rsidR="00EC2E86" w:rsidRPr="00EC2E86" w:rsidRDefault="00EC2E86" w:rsidP="00EC2E86">
      <w:pPr>
        <w:numPr>
          <w:ilvl w:val="2"/>
          <w:numId w:val="62"/>
        </w:numPr>
        <w:rPr>
          <w:b/>
          <w:bCs/>
          <w:lang w:val="en-US"/>
        </w:rPr>
      </w:pPr>
      <w:r w:rsidRPr="00EC2E86">
        <w:rPr>
          <w:b/>
          <w:bCs/>
          <w:lang w:val="en-US"/>
        </w:rPr>
        <w:t>Jointly used for comprehensive performance assessment, or</w:t>
      </w:r>
    </w:p>
    <w:p w14:paraId="6128BFC0" w14:textId="77777777" w:rsidR="00EC2E86" w:rsidRPr="00EC2E86" w:rsidRDefault="00EC2E86" w:rsidP="00EC2E86">
      <w:pPr>
        <w:numPr>
          <w:ilvl w:val="2"/>
          <w:numId w:val="62"/>
        </w:numPr>
        <w:rPr>
          <w:b/>
          <w:bCs/>
          <w:lang w:val="en-US"/>
        </w:rPr>
      </w:pPr>
      <w:r w:rsidRPr="00EC2E86">
        <w:rPr>
          <w:b/>
          <w:bCs/>
          <w:lang w:val="en-US"/>
        </w:rPr>
        <w:t>Independently selected depending on use-case priorities.</w:t>
      </w:r>
    </w:p>
    <w:p w14:paraId="1B35217A" w14:textId="05090A27" w:rsidR="00847264" w:rsidRPr="00EC2E86" w:rsidRDefault="00847264" w:rsidP="00ED141B">
      <w:pPr>
        <w:pStyle w:val="RAN4proposal"/>
        <w:numPr>
          <w:ilvl w:val="0"/>
          <w:numId w:val="0"/>
        </w:numPr>
        <w:rPr>
          <w:lang w:val="en-US"/>
        </w:rPr>
      </w:pPr>
    </w:p>
    <w:p w14:paraId="573AA45E" w14:textId="77777777" w:rsidR="00EC2E86" w:rsidRPr="00EC2E86" w:rsidRDefault="00EC2E86" w:rsidP="00EC2E86"/>
    <w:p w14:paraId="6051F4F9" w14:textId="705F72B1" w:rsidR="003B659E" w:rsidRPr="00614DD8" w:rsidRDefault="003B659E" w:rsidP="0060543D">
      <w:pPr>
        <w:pStyle w:val="RAN4H1"/>
        <w:numPr>
          <w:ilvl w:val="0"/>
          <w:numId w:val="0"/>
        </w:numPr>
        <w:ind w:left="360" w:hanging="360"/>
        <w:rPr>
          <w:lang w:val="en-US"/>
        </w:rPr>
      </w:pPr>
      <w:r w:rsidRPr="00614DD8">
        <w:rPr>
          <w:lang w:val="en-US"/>
        </w:rPr>
        <w:t>References</w:t>
      </w:r>
      <w:bookmarkEnd w:id="3"/>
    </w:p>
    <w:p w14:paraId="401912B8" w14:textId="77777777" w:rsidR="00EF5236" w:rsidRDefault="00EF5236" w:rsidP="00EF5236">
      <w:pPr>
        <w:ind w:left="1350" w:hanging="1350"/>
        <w:rPr>
          <w:rFonts w:eastAsia="PMingLiU"/>
          <w:lang w:val="en-US" w:eastAsia="zh-TW"/>
        </w:rPr>
      </w:pPr>
      <w:bookmarkStart w:id="4" w:name="_Ref114500673"/>
      <w:bookmarkEnd w:id="4"/>
      <w:r w:rsidRPr="007D6342">
        <w:rPr>
          <w:bCs/>
        </w:rPr>
        <w:t>[</w:t>
      </w:r>
      <w:r>
        <w:rPr>
          <w:bCs/>
        </w:rPr>
        <w:t>1</w:t>
      </w:r>
      <w:r w:rsidRPr="00070AF7">
        <w:rPr>
          <w:bCs/>
        </w:rPr>
        <w:t xml:space="preserve">] </w:t>
      </w:r>
      <w:r>
        <w:rPr>
          <w:rFonts w:eastAsia="PMingLiU"/>
          <w:lang w:val="en-US" w:eastAsia="zh-TW"/>
        </w:rPr>
        <w:t>Chair notes, RAN2 #128 meeting.</w:t>
      </w:r>
    </w:p>
    <w:p w14:paraId="628108DB" w14:textId="73AF782C" w:rsidR="001F31E1" w:rsidRDefault="001F31E1" w:rsidP="00EF5236">
      <w:pPr>
        <w:ind w:left="1350" w:hanging="1350"/>
        <w:rPr>
          <w:rFonts w:cs="Arial"/>
          <w:szCs w:val="24"/>
          <w:lang w:val="en-US"/>
        </w:rPr>
      </w:pPr>
      <w:r>
        <w:rPr>
          <w:rFonts w:eastAsia="PMingLiU"/>
          <w:lang w:val="en-US" w:eastAsia="zh-TW"/>
        </w:rPr>
        <w:t xml:space="preserve">[2] </w:t>
      </w:r>
      <w:r w:rsidRPr="00D0001B">
        <w:rPr>
          <w:rFonts w:cs="Arial"/>
          <w:szCs w:val="24"/>
          <w:lang w:val="en-US"/>
        </w:rPr>
        <w:t>R2-2500919</w:t>
      </w:r>
      <w:r>
        <w:rPr>
          <w:rFonts w:cs="Arial"/>
          <w:szCs w:val="24"/>
          <w:lang w:val="en-US"/>
        </w:rPr>
        <w:t xml:space="preserve">, </w:t>
      </w:r>
      <w:r w:rsidRPr="00CE037E">
        <w:rPr>
          <w:rFonts w:cs="Arial"/>
          <w:sz w:val="22"/>
          <w:lang w:val="en-US"/>
        </w:rPr>
        <w:t>Evaluation of measurement event prediction</w:t>
      </w:r>
      <w:r>
        <w:rPr>
          <w:rFonts w:cs="Arial"/>
          <w:sz w:val="22"/>
          <w:lang w:val="en-US"/>
        </w:rPr>
        <w:t xml:space="preserve"> </w:t>
      </w:r>
      <w:r>
        <w:rPr>
          <w:rFonts w:cs="Arial"/>
          <w:szCs w:val="24"/>
          <w:lang w:val="en-US"/>
        </w:rPr>
        <w:t xml:space="preserve"> </w:t>
      </w:r>
    </w:p>
    <w:p w14:paraId="44D8BB13" w14:textId="19F19664" w:rsidR="001F31E1" w:rsidRDefault="001F31E1" w:rsidP="001F31E1">
      <w:pPr>
        <w:ind w:left="1350" w:hanging="1350"/>
        <w:rPr>
          <w:rFonts w:cs="Arial"/>
          <w:szCs w:val="24"/>
          <w:lang w:val="en-US"/>
        </w:rPr>
      </w:pPr>
      <w:r>
        <w:rPr>
          <w:rFonts w:eastAsia="PMingLiU"/>
          <w:lang w:val="en-US" w:eastAsia="zh-TW"/>
        </w:rPr>
        <w:t xml:space="preserve">[3] </w:t>
      </w:r>
      <w:r w:rsidRPr="001F31E1">
        <w:rPr>
          <w:rFonts w:eastAsia="PMingLiU"/>
          <w:bCs/>
          <w:lang w:eastAsia="zh-TW"/>
        </w:rPr>
        <w:t>R2-2500640</w:t>
      </w:r>
      <w:r>
        <w:rPr>
          <w:rFonts w:cs="Arial"/>
          <w:szCs w:val="24"/>
          <w:lang w:val="en-US"/>
        </w:rPr>
        <w:t xml:space="preserve">, </w:t>
      </w:r>
      <w:r w:rsidRPr="001F31E1">
        <w:rPr>
          <w:rFonts w:cs="Arial"/>
          <w:bCs/>
          <w:sz w:val="22"/>
        </w:rPr>
        <w:t>Simulation results for measurement event prediction and system level performance</w:t>
      </w:r>
      <w:r>
        <w:rPr>
          <w:rFonts w:cs="Arial"/>
          <w:szCs w:val="24"/>
          <w:lang w:val="en-US"/>
        </w:rPr>
        <w:t xml:space="preserve"> </w:t>
      </w:r>
    </w:p>
    <w:p w14:paraId="0A30B945" w14:textId="26883671" w:rsidR="008F523D" w:rsidRDefault="008F523D" w:rsidP="008F523D">
      <w:pPr>
        <w:pStyle w:val="paragraph"/>
        <w:spacing w:before="0" w:beforeAutospacing="0" w:after="180" w:afterAutospacing="0"/>
        <w:textAlignment w:val="baseline"/>
        <w:rPr>
          <w:rStyle w:val="normaltextrun"/>
          <w:rFonts w:ascii="Arial" w:eastAsia="SimSun" w:hAnsi="Arial"/>
          <w:sz w:val="20"/>
          <w:szCs w:val="20"/>
          <w:lang w:val="en-GB"/>
        </w:rPr>
      </w:pPr>
      <w:r w:rsidRPr="00053499">
        <w:rPr>
          <w:rStyle w:val="normaltextrun"/>
          <w:sz w:val="20"/>
          <w:szCs w:val="20"/>
          <w:lang w:val="en-GB"/>
        </w:rPr>
        <w:t>[</w:t>
      </w:r>
      <w:r>
        <w:rPr>
          <w:rStyle w:val="normaltextrun"/>
          <w:sz w:val="20"/>
          <w:szCs w:val="20"/>
          <w:lang w:val="en-GB"/>
        </w:rPr>
        <w:t>4</w:t>
      </w:r>
      <w:r w:rsidRPr="00053499">
        <w:rPr>
          <w:rStyle w:val="normaltextrun"/>
          <w:sz w:val="20"/>
          <w:szCs w:val="20"/>
          <w:lang w:val="en-GB"/>
        </w:rPr>
        <w:t>]</w:t>
      </w:r>
      <w:r>
        <w:rPr>
          <w:rStyle w:val="tabchar"/>
          <w:sz w:val="20"/>
          <w:szCs w:val="20"/>
        </w:rPr>
        <w:t xml:space="preserve"> </w:t>
      </w:r>
      <w:r w:rsidRPr="003A4CC0">
        <w:rPr>
          <w:sz w:val="20"/>
          <w:szCs w:val="20"/>
          <w:lang w:val="en-GB"/>
        </w:rPr>
        <w:t>R2-2500287</w:t>
      </w:r>
      <w:r>
        <w:rPr>
          <w:rStyle w:val="normaltextrun"/>
          <w:sz w:val="20"/>
          <w:szCs w:val="20"/>
        </w:rPr>
        <w:t xml:space="preserve"> </w:t>
      </w:r>
      <w:r>
        <w:rPr>
          <w:rStyle w:val="normaltextrun"/>
          <w:i/>
          <w:iCs/>
          <w:sz w:val="20"/>
          <w:szCs w:val="20"/>
        </w:rPr>
        <w:t xml:space="preserve">Text Proposal of 38.744 </w:t>
      </w:r>
      <w:r>
        <w:rPr>
          <w:rStyle w:val="normaltextrun"/>
          <w:sz w:val="20"/>
          <w:szCs w:val="20"/>
        </w:rPr>
        <w:t>3GPP RAN2#129, Athens, Greece, February 17 – 21, 2025</w:t>
      </w:r>
    </w:p>
    <w:p w14:paraId="32268107" w14:textId="77777777" w:rsidR="008F523D" w:rsidRPr="008F523D" w:rsidRDefault="008F523D" w:rsidP="001F31E1">
      <w:pPr>
        <w:ind w:left="1350" w:hanging="1350"/>
        <w:rPr>
          <w:rFonts w:eastAsia="PMingLiU"/>
          <w:lang w:eastAsia="zh-TW"/>
        </w:rPr>
      </w:pPr>
    </w:p>
    <w:p w14:paraId="63F83A12" w14:textId="77777777" w:rsidR="001F31E1" w:rsidRDefault="001F31E1" w:rsidP="00EF5236">
      <w:pPr>
        <w:ind w:left="1350" w:hanging="1350"/>
        <w:rPr>
          <w:rFonts w:eastAsia="PMingLiU"/>
          <w:lang w:val="en-US" w:eastAsia="zh-TW"/>
        </w:rPr>
      </w:pPr>
    </w:p>
    <w:p w14:paraId="5E7B9FF9" w14:textId="27055C8F" w:rsidR="004762DA" w:rsidRPr="00D1717B" w:rsidRDefault="004762DA" w:rsidP="00D1717B">
      <w:pPr>
        <w:spacing w:after="120"/>
        <w:ind w:left="360" w:right="840"/>
        <w:rPr>
          <w:rFonts w:cs="Times New Roman"/>
          <w:lang w:val="en-US"/>
        </w:rPr>
      </w:pPr>
    </w:p>
    <w:p w14:paraId="7AF43E1B" w14:textId="7C614403" w:rsidR="00981258" w:rsidRPr="00981258" w:rsidRDefault="00981258" w:rsidP="00981258">
      <w:pPr>
        <w:pStyle w:val="ListParagraph"/>
        <w:ind w:right="-22"/>
        <w:rPr>
          <w:lang w:val="en-US"/>
        </w:rPr>
      </w:pPr>
    </w:p>
    <w:p w14:paraId="2F38E6AE" w14:textId="77777777" w:rsidR="00E43BF9" w:rsidRDefault="00E43BF9" w:rsidP="00E43BF9">
      <w:pPr>
        <w:ind w:right="-22"/>
        <w:rPr>
          <w:lang w:val="en-US"/>
        </w:rPr>
      </w:pPr>
    </w:p>
    <w:p w14:paraId="66854262" w14:textId="77777777" w:rsidR="00530103" w:rsidRDefault="00530103" w:rsidP="00E43BF9">
      <w:pPr>
        <w:ind w:right="-22"/>
        <w:rPr>
          <w:lang w:val="en-US"/>
        </w:rPr>
      </w:pPr>
    </w:p>
    <w:p w14:paraId="44ECE3FA" w14:textId="3E4C3675" w:rsidR="00530103" w:rsidRPr="00530103" w:rsidRDefault="00530103" w:rsidP="00530103">
      <w:pPr>
        <w:ind w:right="-22"/>
        <w:rPr>
          <w:lang w:val="en-US"/>
        </w:rPr>
      </w:pPr>
      <w:r w:rsidRPr="00530103">
        <w:rPr>
          <w:lang w:val="en-US"/>
        </w:rPr>
        <w:t xml:space="preserve">             </w:t>
      </w:r>
    </w:p>
    <w:sectPr w:rsidR="00530103" w:rsidRPr="00530103"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D052D" w14:textId="77777777" w:rsidR="00CF6935" w:rsidRDefault="00CF6935" w:rsidP="00001C9B">
      <w:pPr>
        <w:spacing w:after="0" w:line="240" w:lineRule="auto"/>
      </w:pPr>
      <w:r>
        <w:separator/>
      </w:r>
    </w:p>
  </w:endnote>
  <w:endnote w:type="continuationSeparator" w:id="0">
    <w:p w14:paraId="71B3BA28" w14:textId="77777777" w:rsidR="00CF6935" w:rsidRDefault="00CF6935" w:rsidP="00001C9B">
      <w:pPr>
        <w:spacing w:after="0" w:line="240" w:lineRule="auto"/>
      </w:pPr>
      <w:r>
        <w:continuationSeparator/>
      </w:r>
    </w:p>
  </w:endnote>
  <w:endnote w:type="continuationNotice" w:id="1">
    <w:p w14:paraId="7CAB8B10" w14:textId="77777777" w:rsidR="00CF6935" w:rsidRDefault="00CF69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39B9C" w14:textId="77777777" w:rsidR="00CF6935" w:rsidRDefault="00CF6935" w:rsidP="00001C9B">
      <w:pPr>
        <w:spacing w:after="0" w:line="240" w:lineRule="auto"/>
      </w:pPr>
      <w:r>
        <w:separator/>
      </w:r>
    </w:p>
  </w:footnote>
  <w:footnote w:type="continuationSeparator" w:id="0">
    <w:p w14:paraId="1D7F3852" w14:textId="77777777" w:rsidR="00CF6935" w:rsidRDefault="00CF6935" w:rsidP="00001C9B">
      <w:pPr>
        <w:spacing w:after="0" w:line="240" w:lineRule="auto"/>
      </w:pPr>
      <w:r>
        <w:continuationSeparator/>
      </w:r>
    </w:p>
  </w:footnote>
  <w:footnote w:type="continuationNotice" w:id="1">
    <w:p w14:paraId="0891A53F" w14:textId="77777777" w:rsidR="00CF6935" w:rsidRDefault="00CF693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8471D"/>
    <w:multiLevelType w:val="hybridMultilevel"/>
    <w:tmpl w:val="47A60E92"/>
    <w:lvl w:ilvl="0" w:tplc="96141F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DC1F2C"/>
    <w:multiLevelType w:val="hybridMultilevel"/>
    <w:tmpl w:val="03FE5F6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A06959"/>
    <w:multiLevelType w:val="hybridMultilevel"/>
    <w:tmpl w:val="80666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7B4673"/>
    <w:multiLevelType w:val="multilevel"/>
    <w:tmpl w:val="F648E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EB7712"/>
    <w:multiLevelType w:val="multilevel"/>
    <w:tmpl w:val="834A2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4CE75E"/>
    <w:multiLevelType w:val="singleLevel"/>
    <w:tmpl w:val="134CE75E"/>
    <w:lvl w:ilvl="0">
      <w:start w:val="1"/>
      <w:numFmt w:val="bullet"/>
      <w:lvlText w:val=""/>
      <w:lvlJc w:val="left"/>
      <w:pPr>
        <w:tabs>
          <w:tab w:val="num" w:pos="0"/>
        </w:tabs>
        <w:ind w:left="420" w:hanging="420"/>
      </w:pPr>
      <w:rPr>
        <w:rFonts w:ascii="Wingdings" w:hAnsi="Wingdings" w:hint="default"/>
      </w:rPr>
    </w:lvl>
  </w:abstractNum>
  <w:abstractNum w:abstractNumId="9"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BDB4DCC"/>
    <w:multiLevelType w:val="multilevel"/>
    <w:tmpl w:val="834A2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F1B76A2"/>
    <w:multiLevelType w:val="hybridMultilevel"/>
    <w:tmpl w:val="6302E4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6F52F2"/>
    <w:multiLevelType w:val="hybridMultilevel"/>
    <w:tmpl w:val="0B9CA474"/>
    <w:lvl w:ilvl="0" w:tplc="96141F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106A8D"/>
    <w:multiLevelType w:val="multilevel"/>
    <w:tmpl w:val="F4CCCF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0C1867"/>
    <w:multiLevelType w:val="singleLevel"/>
    <w:tmpl w:val="2F0C1867"/>
    <w:lvl w:ilvl="0">
      <w:start w:val="1"/>
      <w:numFmt w:val="bullet"/>
      <w:lvlText w:val=""/>
      <w:lvlJc w:val="left"/>
      <w:pPr>
        <w:tabs>
          <w:tab w:val="num" w:pos="-420"/>
        </w:tabs>
        <w:ind w:left="0" w:hanging="420"/>
      </w:pPr>
      <w:rPr>
        <w:rFonts w:ascii="Wingdings" w:hAnsi="Wingdings" w:hint="default"/>
      </w:rPr>
    </w:lvl>
  </w:abstractNum>
  <w:abstractNum w:abstractNumId="18" w15:restartNumberingAfterBreak="0">
    <w:nsid w:val="2F20254C"/>
    <w:multiLevelType w:val="multilevel"/>
    <w:tmpl w:val="2F2025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FDF2939"/>
    <w:multiLevelType w:val="hybridMultilevel"/>
    <w:tmpl w:val="49188E1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316C32F8"/>
    <w:multiLevelType w:val="hybridMultilevel"/>
    <w:tmpl w:val="14E62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76667B"/>
    <w:multiLevelType w:val="hybridMultilevel"/>
    <w:tmpl w:val="8F9848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B8C32D7"/>
    <w:multiLevelType w:val="hybridMultilevel"/>
    <w:tmpl w:val="270430DE"/>
    <w:lvl w:ilvl="0" w:tplc="F920D0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F97AC9"/>
    <w:multiLevelType w:val="hybridMultilevel"/>
    <w:tmpl w:val="8D5A3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B43B9D"/>
    <w:multiLevelType w:val="hybridMultilevel"/>
    <w:tmpl w:val="0338BD68"/>
    <w:lvl w:ilvl="0" w:tplc="ED5EBDC0">
      <w:start w:val="1"/>
      <w:numFmt w:val="decimal"/>
      <w:pStyle w:val="RAN4Observation"/>
      <w:suff w:val="space"/>
      <w:lvlText w:val="Observation %1:"/>
      <w:lvlJc w:val="left"/>
      <w:pPr>
        <w:ind w:left="5220" w:hanging="360"/>
      </w:pPr>
      <w:rPr>
        <w:b/>
        <w:bCs/>
      </w:rPr>
    </w:lvl>
    <w:lvl w:ilvl="1" w:tplc="04090019" w:tentative="1">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26" w15:restartNumberingAfterBreak="0">
    <w:nsid w:val="48674D0C"/>
    <w:multiLevelType w:val="hybridMultilevel"/>
    <w:tmpl w:val="38044E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D6E3167"/>
    <w:multiLevelType w:val="hybridMultilevel"/>
    <w:tmpl w:val="D95AD90E"/>
    <w:lvl w:ilvl="0" w:tplc="A944421C">
      <w:start w:val="1"/>
      <w:numFmt w:val="decimal"/>
      <w:pStyle w:val="RAN4proposal"/>
      <w:suff w:val="space"/>
      <w:lvlText w:val="Proposal %1:"/>
      <w:lvlJc w:val="left"/>
      <w:pPr>
        <w:ind w:left="4140" w:hanging="360"/>
      </w:pPr>
      <w:rPr>
        <w:rFonts w:ascii="Times New Roman" w:hAnsi="Times New Roman" w:hint="default"/>
        <w:b/>
        <w:i w:val="0"/>
        <w:color w:val="auto"/>
        <w:sz w:val="20"/>
      </w:rPr>
    </w:lvl>
    <w:lvl w:ilvl="1" w:tplc="04090019" w:tentative="1">
      <w:start w:val="1"/>
      <w:numFmt w:val="lowerLetter"/>
      <w:lvlText w:val="%2."/>
      <w:lvlJc w:val="left"/>
      <w:pPr>
        <w:ind w:left="450" w:hanging="360"/>
      </w:pPr>
    </w:lvl>
    <w:lvl w:ilvl="2" w:tplc="0409001B" w:tentative="1">
      <w:start w:val="1"/>
      <w:numFmt w:val="lowerRoman"/>
      <w:lvlText w:val="%3."/>
      <w:lvlJc w:val="right"/>
      <w:pPr>
        <w:ind w:left="1170" w:hanging="180"/>
      </w:pPr>
    </w:lvl>
    <w:lvl w:ilvl="3" w:tplc="0409000F" w:tentative="1">
      <w:start w:val="1"/>
      <w:numFmt w:val="decimal"/>
      <w:lvlText w:val="%4."/>
      <w:lvlJc w:val="left"/>
      <w:pPr>
        <w:ind w:left="1890" w:hanging="360"/>
      </w:pPr>
    </w:lvl>
    <w:lvl w:ilvl="4" w:tplc="04090019" w:tentative="1">
      <w:start w:val="1"/>
      <w:numFmt w:val="lowerLetter"/>
      <w:lvlText w:val="%5."/>
      <w:lvlJc w:val="left"/>
      <w:pPr>
        <w:ind w:left="2610" w:hanging="360"/>
      </w:pPr>
    </w:lvl>
    <w:lvl w:ilvl="5" w:tplc="0409001B" w:tentative="1">
      <w:start w:val="1"/>
      <w:numFmt w:val="lowerRoman"/>
      <w:lvlText w:val="%6."/>
      <w:lvlJc w:val="right"/>
      <w:pPr>
        <w:ind w:left="3330" w:hanging="180"/>
      </w:pPr>
    </w:lvl>
    <w:lvl w:ilvl="6" w:tplc="0409000F" w:tentative="1">
      <w:start w:val="1"/>
      <w:numFmt w:val="decimal"/>
      <w:lvlText w:val="%7."/>
      <w:lvlJc w:val="left"/>
      <w:pPr>
        <w:ind w:left="4050" w:hanging="360"/>
      </w:pPr>
    </w:lvl>
    <w:lvl w:ilvl="7" w:tplc="04090019" w:tentative="1">
      <w:start w:val="1"/>
      <w:numFmt w:val="lowerLetter"/>
      <w:lvlText w:val="%8."/>
      <w:lvlJc w:val="left"/>
      <w:pPr>
        <w:ind w:left="4770" w:hanging="360"/>
      </w:pPr>
    </w:lvl>
    <w:lvl w:ilvl="8" w:tplc="0409001B" w:tentative="1">
      <w:start w:val="1"/>
      <w:numFmt w:val="lowerRoman"/>
      <w:lvlText w:val="%9."/>
      <w:lvlJc w:val="right"/>
      <w:pPr>
        <w:ind w:left="5490" w:hanging="180"/>
      </w:pPr>
    </w:lvl>
  </w:abstractNum>
  <w:abstractNum w:abstractNumId="2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243044"/>
    <w:multiLevelType w:val="hybridMultilevel"/>
    <w:tmpl w:val="C6B0F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5474214"/>
    <w:multiLevelType w:val="hybridMultilevel"/>
    <w:tmpl w:val="08F626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A0C4C58"/>
    <w:multiLevelType w:val="hybridMultilevel"/>
    <w:tmpl w:val="161ED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C30C1E"/>
    <w:multiLevelType w:val="hybridMultilevel"/>
    <w:tmpl w:val="42182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FC67E7E"/>
    <w:multiLevelType w:val="multilevel"/>
    <w:tmpl w:val="0D6C58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65C217B"/>
    <w:multiLevelType w:val="multilevel"/>
    <w:tmpl w:val="91529490"/>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58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6D707C4"/>
    <w:multiLevelType w:val="hybridMultilevel"/>
    <w:tmpl w:val="1828FB70"/>
    <w:lvl w:ilvl="0" w:tplc="B16C136C">
      <w:start w:val="1"/>
      <w:numFmt w:val="bullet"/>
      <w:lvlText w:val="•"/>
      <w:lvlJc w:val="left"/>
      <w:pPr>
        <w:tabs>
          <w:tab w:val="num" w:pos="720"/>
        </w:tabs>
        <w:ind w:left="720" w:hanging="360"/>
      </w:pPr>
      <w:rPr>
        <w:rFonts w:ascii="Arial" w:hAnsi="Arial" w:hint="default"/>
      </w:rPr>
    </w:lvl>
    <w:lvl w:ilvl="1" w:tplc="7CFAE504">
      <w:start w:val="1"/>
      <w:numFmt w:val="bullet"/>
      <w:lvlText w:val="•"/>
      <w:lvlJc w:val="left"/>
      <w:pPr>
        <w:tabs>
          <w:tab w:val="num" w:pos="1440"/>
        </w:tabs>
        <w:ind w:left="1440" w:hanging="360"/>
      </w:pPr>
      <w:rPr>
        <w:rFonts w:ascii="Arial" w:hAnsi="Arial" w:hint="default"/>
      </w:rPr>
    </w:lvl>
    <w:lvl w:ilvl="2" w:tplc="5C8A8BC4">
      <w:numFmt w:val="bullet"/>
      <w:lvlText w:val="o"/>
      <w:lvlJc w:val="left"/>
      <w:pPr>
        <w:tabs>
          <w:tab w:val="num" w:pos="2160"/>
        </w:tabs>
        <w:ind w:left="2160" w:hanging="360"/>
      </w:pPr>
      <w:rPr>
        <w:rFonts w:ascii="Courier New" w:hAnsi="Courier New" w:hint="default"/>
      </w:rPr>
    </w:lvl>
    <w:lvl w:ilvl="3" w:tplc="5020461C" w:tentative="1">
      <w:start w:val="1"/>
      <w:numFmt w:val="bullet"/>
      <w:lvlText w:val="•"/>
      <w:lvlJc w:val="left"/>
      <w:pPr>
        <w:tabs>
          <w:tab w:val="num" w:pos="2880"/>
        </w:tabs>
        <w:ind w:left="2880" w:hanging="360"/>
      </w:pPr>
      <w:rPr>
        <w:rFonts w:ascii="Arial" w:hAnsi="Arial" w:hint="default"/>
      </w:rPr>
    </w:lvl>
    <w:lvl w:ilvl="4" w:tplc="05529E0E" w:tentative="1">
      <w:start w:val="1"/>
      <w:numFmt w:val="bullet"/>
      <w:lvlText w:val="•"/>
      <w:lvlJc w:val="left"/>
      <w:pPr>
        <w:tabs>
          <w:tab w:val="num" w:pos="3600"/>
        </w:tabs>
        <w:ind w:left="3600" w:hanging="360"/>
      </w:pPr>
      <w:rPr>
        <w:rFonts w:ascii="Arial" w:hAnsi="Arial" w:hint="default"/>
      </w:rPr>
    </w:lvl>
    <w:lvl w:ilvl="5" w:tplc="F32ED9AE" w:tentative="1">
      <w:start w:val="1"/>
      <w:numFmt w:val="bullet"/>
      <w:lvlText w:val="•"/>
      <w:lvlJc w:val="left"/>
      <w:pPr>
        <w:tabs>
          <w:tab w:val="num" w:pos="4320"/>
        </w:tabs>
        <w:ind w:left="4320" w:hanging="360"/>
      </w:pPr>
      <w:rPr>
        <w:rFonts w:ascii="Arial" w:hAnsi="Arial" w:hint="default"/>
      </w:rPr>
    </w:lvl>
    <w:lvl w:ilvl="6" w:tplc="602A8C58" w:tentative="1">
      <w:start w:val="1"/>
      <w:numFmt w:val="bullet"/>
      <w:lvlText w:val="•"/>
      <w:lvlJc w:val="left"/>
      <w:pPr>
        <w:tabs>
          <w:tab w:val="num" w:pos="5040"/>
        </w:tabs>
        <w:ind w:left="5040" w:hanging="360"/>
      </w:pPr>
      <w:rPr>
        <w:rFonts w:ascii="Arial" w:hAnsi="Arial" w:hint="default"/>
      </w:rPr>
    </w:lvl>
    <w:lvl w:ilvl="7" w:tplc="7A324D26" w:tentative="1">
      <w:start w:val="1"/>
      <w:numFmt w:val="bullet"/>
      <w:lvlText w:val="•"/>
      <w:lvlJc w:val="left"/>
      <w:pPr>
        <w:tabs>
          <w:tab w:val="num" w:pos="5760"/>
        </w:tabs>
        <w:ind w:left="5760" w:hanging="360"/>
      </w:pPr>
      <w:rPr>
        <w:rFonts w:ascii="Arial" w:hAnsi="Arial" w:hint="default"/>
      </w:rPr>
    </w:lvl>
    <w:lvl w:ilvl="8" w:tplc="34C007D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73C26DF"/>
    <w:multiLevelType w:val="multilevel"/>
    <w:tmpl w:val="834A25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6D46768C"/>
    <w:multiLevelType w:val="hybridMultilevel"/>
    <w:tmpl w:val="61DEE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186C3A"/>
    <w:multiLevelType w:val="hybridMultilevel"/>
    <w:tmpl w:val="72B60FA0"/>
    <w:lvl w:ilvl="0" w:tplc="E900551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FE1C33"/>
    <w:multiLevelType w:val="multilevel"/>
    <w:tmpl w:val="834A25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16578AA"/>
    <w:multiLevelType w:val="hybridMultilevel"/>
    <w:tmpl w:val="0B9CA474"/>
    <w:lvl w:ilvl="0" w:tplc="96141F4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4A81307"/>
    <w:multiLevelType w:val="hybridMultilevel"/>
    <w:tmpl w:val="55DE9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7A30C08"/>
    <w:multiLevelType w:val="hybridMultilevel"/>
    <w:tmpl w:val="63EE0A5A"/>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8662DC4"/>
    <w:multiLevelType w:val="hybridMultilevel"/>
    <w:tmpl w:val="DFC644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15"/>
  </w:num>
  <w:num w:numId="3" w16cid:durableId="1792749823">
    <w:abstractNumId w:val="28"/>
  </w:num>
  <w:num w:numId="4" w16cid:durableId="517735681">
    <w:abstractNumId w:val="14"/>
  </w:num>
  <w:num w:numId="5" w16cid:durableId="1142041724">
    <w:abstractNumId w:val="41"/>
  </w:num>
  <w:num w:numId="6" w16cid:durableId="80681869">
    <w:abstractNumId w:val="25"/>
  </w:num>
  <w:num w:numId="7" w16cid:durableId="1566528953">
    <w:abstractNumId w:val="27"/>
  </w:num>
  <w:num w:numId="8" w16cid:durableId="809788981">
    <w:abstractNumId w:val="27"/>
    <w:lvlOverride w:ilvl="0">
      <w:startOverride w:val="1"/>
    </w:lvlOverride>
  </w:num>
  <w:num w:numId="9" w16cid:durableId="1398822153">
    <w:abstractNumId w:val="27"/>
    <w:lvlOverride w:ilvl="0">
      <w:startOverride w:val="1"/>
    </w:lvlOverride>
  </w:num>
  <w:num w:numId="10" w16cid:durableId="1825466284">
    <w:abstractNumId w:val="27"/>
    <w:lvlOverride w:ilvl="0">
      <w:startOverride w:val="1"/>
    </w:lvlOverride>
  </w:num>
  <w:num w:numId="11" w16cid:durableId="1446922321">
    <w:abstractNumId w:val="25"/>
    <w:lvlOverride w:ilvl="0">
      <w:startOverride w:val="1"/>
    </w:lvlOverride>
  </w:num>
  <w:num w:numId="12" w16cid:durableId="122584543">
    <w:abstractNumId w:val="27"/>
    <w:lvlOverride w:ilvl="0">
      <w:startOverride w:val="1"/>
    </w:lvlOverride>
  </w:num>
  <w:num w:numId="13" w16cid:durableId="818807267">
    <w:abstractNumId w:val="25"/>
    <w:lvlOverride w:ilvl="0">
      <w:startOverride w:val="1"/>
    </w:lvlOverride>
  </w:num>
  <w:num w:numId="14" w16cid:durableId="883829348">
    <w:abstractNumId w:val="27"/>
    <w:lvlOverride w:ilvl="0">
      <w:startOverride w:val="1"/>
    </w:lvlOverride>
  </w:num>
  <w:num w:numId="15" w16cid:durableId="438372887">
    <w:abstractNumId w:val="48"/>
  </w:num>
  <w:num w:numId="16" w16cid:durableId="516113510">
    <w:abstractNumId w:val="10"/>
  </w:num>
  <w:num w:numId="17" w16cid:durableId="1456096507">
    <w:abstractNumId w:val="38"/>
  </w:num>
  <w:num w:numId="18" w16cid:durableId="1397970374">
    <w:abstractNumId w:val="3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24"/>
  </w:num>
  <w:num w:numId="21" w16cid:durableId="1659071369">
    <w:abstractNumId w:val="34"/>
  </w:num>
  <w:num w:numId="22" w16cid:durableId="1938362445">
    <w:abstractNumId w:val="25"/>
    <w:lvlOverride w:ilvl="0">
      <w:startOverride w:val="1"/>
    </w:lvlOverride>
  </w:num>
  <w:num w:numId="23" w16cid:durableId="913515990">
    <w:abstractNumId w:val="27"/>
    <w:lvlOverride w:ilvl="0">
      <w:startOverride w:val="1"/>
    </w:lvlOverride>
  </w:num>
  <w:num w:numId="24" w16cid:durableId="978418003">
    <w:abstractNumId w:val="4"/>
  </w:num>
  <w:num w:numId="25" w16cid:durableId="143009612">
    <w:abstractNumId w:val="1"/>
  </w:num>
  <w:num w:numId="26" w16cid:durableId="212620654">
    <w:abstractNumId w:val="1"/>
    <w:lvlOverride w:ilvl="0">
      <w:startOverride w:val="1"/>
    </w:lvlOverride>
  </w:num>
  <w:num w:numId="27" w16cid:durableId="232282371">
    <w:abstractNumId w:val="5"/>
  </w:num>
  <w:num w:numId="28" w16cid:durableId="1965689989">
    <w:abstractNumId w:val="42"/>
  </w:num>
  <w:num w:numId="29" w16cid:durableId="745492583">
    <w:abstractNumId w:val="29"/>
  </w:num>
  <w:num w:numId="30" w16cid:durableId="886716952">
    <w:abstractNumId w:val="46"/>
  </w:num>
  <w:num w:numId="31" w16cid:durableId="1541360069">
    <w:abstractNumId w:val="26"/>
  </w:num>
  <w:num w:numId="32" w16cid:durableId="658967305">
    <w:abstractNumId w:val="22"/>
  </w:num>
  <w:num w:numId="33" w16cid:durableId="1949779268">
    <w:abstractNumId w:val="9"/>
  </w:num>
  <w:num w:numId="34" w16cid:durableId="1645313153">
    <w:abstractNumId w:val="19"/>
  </w:num>
  <w:num w:numId="35" w16cid:durableId="1789161455">
    <w:abstractNumId w:val="49"/>
  </w:num>
  <w:num w:numId="36" w16cid:durableId="398990024">
    <w:abstractNumId w:val="37"/>
  </w:num>
  <w:num w:numId="37" w16cid:durableId="832260532">
    <w:abstractNumId w:val="23"/>
  </w:num>
  <w:num w:numId="38" w16cid:durableId="1365131574">
    <w:abstractNumId w:val="3"/>
  </w:num>
  <w:num w:numId="39" w16cid:durableId="848298365">
    <w:abstractNumId w:val="33"/>
  </w:num>
  <w:num w:numId="40" w16cid:durableId="293564617">
    <w:abstractNumId w:val="20"/>
  </w:num>
  <w:num w:numId="41" w16cid:durableId="1849756334">
    <w:abstractNumId w:val="32"/>
  </w:num>
  <w:num w:numId="42" w16cid:durableId="1009874029">
    <w:abstractNumId w:val="30"/>
  </w:num>
  <w:num w:numId="43" w16cid:durableId="483474649">
    <w:abstractNumId w:val="13"/>
  </w:num>
  <w:num w:numId="44" w16cid:durableId="2074691248">
    <w:abstractNumId w:val="45"/>
  </w:num>
  <w:num w:numId="45" w16cid:durableId="228543183">
    <w:abstractNumId w:val="0"/>
  </w:num>
  <w:num w:numId="46" w16cid:durableId="1517037643">
    <w:abstractNumId w:val="47"/>
  </w:num>
  <w:num w:numId="47" w16cid:durableId="75977639">
    <w:abstractNumId w:val="39"/>
  </w:num>
  <w:num w:numId="48" w16cid:durableId="46034507">
    <w:abstractNumId w:val="17"/>
  </w:num>
  <w:num w:numId="49" w16cid:durableId="196965612">
    <w:abstractNumId w:val="8"/>
  </w:num>
  <w:num w:numId="50" w16cid:durableId="1410224858">
    <w:abstractNumId w:val="31"/>
  </w:num>
  <w:num w:numId="51" w16cid:durableId="991446336">
    <w:abstractNumId w:val="43"/>
  </w:num>
  <w:num w:numId="52" w16cid:durableId="596912215">
    <w:abstractNumId w:val="6"/>
  </w:num>
  <w:num w:numId="53" w16cid:durableId="1897888923">
    <w:abstractNumId w:val="16"/>
  </w:num>
  <w:num w:numId="54" w16cid:durableId="496264882">
    <w:abstractNumId w:val="50"/>
  </w:num>
  <w:num w:numId="55" w16cid:durableId="914165539">
    <w:abstractNumId w:val="18"/>
  </w:num>
  <w:num w:numId="56" w16cid:durableId="501090134">
    <w:abstractNumId w:val="12"/>
  </w:num>
  <w:num w:numId="57" w16cid:durableId="2146122266">
    <w:abstractNumId w:val="21"/>
  </w:num>
  <w:num w:numId="58" w16cid:durableId="233976980">
    <w:abstractNumId w:val="35"/>
  </w:num>
  <w:num w:numId="59" w16cid:durableId="1340959713">
    <w:abstractNumId w:val="7"/>
  </w:num>
  <w:num w:numId="60" w16cid:durableId="431820647">
    <w:abstractNumId w:val="44"/>
  </w:num>
  <w:num w:numId="61" w16cid:durableId="1630283319">
    <w:abstractNumId w:val="36"/>
  </w:num>
  <w:num w:numId="62" w16cid:durableId="1683556297">
    <w:abstractNumId w:val="40"/>
  </w:num>
  <w:num w:numId="63" w16cid:durableId="163506395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5"/>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1C9B"/>
    <w:rsid w:val="000040DC"/>
    <w:rsid w:val="0000437F"/>
    <w:rsid w:val="00011784"/>
    <w:rsid w:val="000122DE"/>
    <w:rsid w:val="00012E60"/>
    <w:rsid w:val="000151EF"/>
    <w:rsid w:val="0001558F"/>
    <w:rsid w:val="000239F5"/>
    <w:rsid w:val="000249E2"/>
    <w:rsid w:val="0002599B"/>
    <w:rsid w:val="00026600"/>
    <w:rsid w:val="0002798D"/>
    <w:rsid w:val="00031325"/>
    <w:rsid w:val="00037E3D"/>
    <w:rsid w:val="000527E7"/>
    <w:rsid w:val="00054ED0"/>
    <w:rsid w:val="00060D75"/>
    <w:rsid w:val="00072CCA"/>
    <w:rsid w:val="00074242"/>
    <w:rsid w:val="0007470A"/>
    <w:rsid w:val="0008612A"/>
    <w:rsid w:val="00090E18"/>
    <w:rsid w:val="00096AAD"/>
    <w:rsid w:val="000A04C4"/>
    <w:rsid w:val="000A10BC"/>
    <w:rsid w:val="000A1B21"/>
    <w:rsid w:val="000A3D74"/>
    <w:rsid w:val="000A7104"/>
    <w:rsid w:val="000A7F53"/>
    <w:rsid w:val="000B0056"/>
    <w:rsid w:val="000B10B9"/>
    <w:rsid w:val="000B5552"/>
    <w:rsid w:val="000C3C7B"/>
    <w:rsid w:val="000C7A84"/>
    <w:rsid w:val="000D0F93"/>
    <w:rsid w:val="000E03FB"/>
    <w:rsid w:val="000E242B"/>
    <w:rsid w:val="000E272F"/>
    <w:rsid w:val="000E4AAC"/>
    <w:rsid w:val="000F51AD"/>
    <w:rsid w:val="000F5D2A"/>
    <w:rsid w:val="00103F2B"/>
    <w:rsid w:val="00106416"/>
    <w:rsid w:val="00110481"/>
    <w:rsid w:val="001127C9"/>
    <w:rsid w:val="00114498"/>
    <w:rsid w:val="001144C0"/>
    <w:rsid w:val="00115B88"/>
    <w:rsid w:val="0012150C"/>
    <w:rsid w:val="001234B9"/>
    <w:rsid w:val="001249D0"/>
    <w:rsid w:val="00125D47"/>
    <w:rsid w:val="00132F6A"/>
    <w:rsid w:val="0013374F"/>
    <w:rsid w:val="00133913"/>
    <w:rsid w:val="00140221"/>
    <w:rsid w:val="00141627"/>
    <w:rsid w:val="00147989"/>
    <w:rsid w:val="00153A0B"/>
    <w:rsid w:val="001565F5"/>
    <w:rsid w:val="00156D17"/>
    <w:rsid w:val="00157AF6"/>
    <w:rsid w:val="001642FC"/>
    <w:rsid w:val="0016496B"/>
    <w:rsid w:val="0016571C"/>
    <w:rsid w:val="00170B4D"/>
    <w:rsid w:val="00170CB3"/>
    <w:rsid w:val="00173FED"/>
    <w:rsid w:val="001743E2"/>
    <w:rsid w:val="001745F8"/>
    <w:rsid w:val="00176CD9"/>
    <w:rsid w:val="00181D1C"/>
    <w:rsid w:val="001838CF"/>
    <w:rsid w:val="001868EE"/>
    <w:rsid w:val="0018718F"/>
    <w:rsid w:val="00190FE0"/>
    <w:rsid w:val="0019608F"/>
    <w:rsid w:val="00196DAB"/>
    <w:rsid w:val="001A06DC"/>
    <w:rsid w:val="001A12BC"/>
    <w:rsid w:val="001A27DC"/>
    <w:rsid w:val="001A3BA4"/>
    <w:rsid w:val="001A42DA"/>
    <w:rsid w:val="001A6795"/>
    <w:rsid w:val="001A6D1F"/>
    <w:rsid w:val="001A7603"/>
    <w:rsid w:val="001B161E"/>
    <w:rsid w:val="001B1EA8"/>
    <w:rsid w:val="001B39E3"/>
    <w:rsid w:val="001C63E2"/>
    <w:rsid w:val="001D4648"/>
    <w:rsid w:val="001E30F6"/>
    <w:rsid w:val="001E3C07"/>
    <w:rsid w:val="001E6C79"/>
    <w:rsid w:val="001F2C9D"/>
    <w:rsid w:val="001F31E1"/>
    <w:rsid w:val="001F37BD"/>
    <w:rsid w:val="001F55D5"/>
    <w:rsid w:val="001F6347"/>
    <w:rsid w:val="001F6496"/>
    <w:rsid w:val="002034D0"/>
    <w:rsid w:val="00203D67"/>
    <w:rsid w:val="002043F4"/>
    <w:rsid w:val="00205834"/>
    <w:rsid w:val="00212972"/>
    <w:rsid w:val="00217EE5"/>
    <w:rsid w:val="00226975"/>
    <w:rsid w:val="00227818"/>
    <w:rsid w:val="002321BC"/>
    <w:rsid w:val="00235F5C"/>
    <w:rsid w:val="00236B7F"/>
    <w:rsid w:val="00240F25"/>
    <w:rsid w:val="0025097A"/>
    <w:rsid w:val="00253516"/>
    <w:rsid w:val="00257FA3"/>
    <w:rsid w:val="002645FA"/>
    <w:rsid w:val="002706C4"/>
    <w:rsid w:val="00277B56"/>
    <w:rsid w:val="0028217A"/>
    <w:rsid w:val="00282A74"/>
    <w:rsid w:val="002849D4"/>
    <w:rsid w:val="00285BA3"/>
    <w:rsid w:val="00286950"/>
    <w:rsid w:val="002A19F5"/>
    <w:rsid w:val="002B03FB"/>
    <w:rsid w:val="002B4922"/>
    <w:rsid w:val="002B69F3"/>
    <w:rsid w:val="002C20BA"/>
    <w:rsid w:val="002C22C3"/>
    <w:rsid w:val="002C2D19"/>
    <w:rsid w:val="002C6C86"/>
    <w:rsid w:val="002D10FA"/>
    <w:rsid w:val="002D3185"/>
    <w:rsid w:val="002D4C55"/>
    <w:rsid w:val="002D5194"/>
    <w:rsid w:val="002E0D6B"/>
    <w:rsid w:val="002E58D7"/>
    <w:rsid w:val="002E59E4"/>
    <w:rsid w:val="002E6DED"/>
    <w:rsid w:val="002F129C"/>
    <w:rsid w:val="002F48A8"/>
    <w:rsid w:val="00300956"/>
    <w:rsid w:val="00300E9A"/>
    <w:rsid w:val="00311436"/>
    <w:rsid w:val="00312969"/>
    <w:rsid w:val="00317187"/>
    <w:rsid w:val="0032499A"/>
    <w:rsid w:val="003255BE"/>
    <w:rsid w:val="003263B7"/>
    <w:rsid w:val="003341F7"/>
    <w:rsid w:val="00337097"/>
    <w:rsid w:val="00340A3A"/>
    <w:rsid w:val="00342451"/>
    <w:rsid w:val="00347FEC"/>
    <w:rsid w:val="00350057"/>
    <w:rsid w:val="003509DF"/>
    <w:rsid w:val="00351179"/>
    <w:rsid w:val="00356F45"/>
    <w:rsid w:val="00362C23"/>
    <w:rsid w:val="0036306D"/>
    <w:rsid w:val="00366B74"/>
    <w:rsid w:val="003717A8"/>
    <w:rsid w:val="00374455"/>
    <w:rsid w:val="00376F83"/>
    <w:rsid w:val="003774C0"/>
    <w:rsid w:val="0038136C"/>
    <w:rsid w:val="00381F95"/>
    <w:rsid w:val="00384F9B"/>
    <w:rsid w:val="0038555B"/>
    <w:rsid w:val="00385FE9"/>
    <w:rsid w:val="00386BA6"/>
    <w:rsid w:val="00387B80"/>
    <w:rsid w:val="003904DD"/>
    <w:rsid w:val="003A4CDA"/>
    <w:rsid w:val="003A5CA3"/>
    <w:rsid w:val="003A710A"/>
    <w:rsid w:val="003B1E13"/>
    <w:rsid w:val="003B57D4"/>
    <w:rsid w:val="003B659E"/>
    <w:rsid w:val="003C275E"/>
    <w:rsid w:val="003C2947"/>
    <w:rsid w:val="003C4FDE"/>
    <w:rsid w:val="003C6511"/>
    <w:rsid w:val="003E3416"/>
    <w:rsid w:val="003E58DF"/>
    <w:rsid w:val="003F3E96"/>
    <w:rsid w:val="00404C4C"/>
    <w:rsid w:val="004111EE"/>
    <w:rsid w:val="00411B51"/>
    <w:rsid w:val="0041256C"/>
    <w:rsid w:val="0041423F"/>
    <w:rsid w:val="00414F81"/>
    <w:rsid w:val="004219E7"/>
    <w:rsid w:val="00436A0F"/>
    <w:rsid w:val="00437150"/>
    <w:rsid w:val="0043750A"/>
    <w:rsid w:val="0043753B"/>
    <w:rsid w:val="0043771D"/>
    <w:rsid w:val="004405C0"/>
    <w:rsid w:val="00445AB4"/>
    <w:rsid w:val="00446652"/>
    <w:rsid w:val="00447577"/>
    <w:rsid w:val="00452BFD"/>
    <w:rsid w:val="004546D0"/>
    <w:rsid w:val="00456A6A"/>
    <w:rsid w:val="004666D9"/>
    <w:rsid w:val="004732E9"/>
    <w:rsid w:val="004762DA"/>
    <w:rsid w:val="00480CEC"/>
    <w:rsid w:val="00480EC8"/>
    <w:rsid w:val="00480FB8"/>
    <w:rsid w:val="0048118E"/>
    <w:rsid w:val="004854BB"/>
    <w:rsid w:val="0048769A"/>
    <w:rsid w:val="00494493"/>
    <w:rsid w:val="00496606"/>
    <w:rsid w:val="0049704E"/>
    <w:rsid w:val="004A1CF9"/>
    <w:rsid w:val="004D2F3A"/>
    <w:rsid w:val="004D3AB6"/>
    <w:rsid w:val="004E2BDA"/>
    <w:rsid w:val="004E422F"/>
    <w:rsid w:val="004E5E66"/>
    <w:rsid w:val="004E72E6"/>
    <w:rsid w:val="004E7ADB"/>
    <w:rsid w:val="004F12AA"/>
    <w:rsid w:val="004F282F"/>
    <w:rsid w:val="004F5493"/>
    <w:rsid w:val="00501D2F"/>
    <w:rsid w:val="00503B4D"/>
    <w:rsid w:val="00504C71"/>
    <w:rsid w:val="00504EE9"/>
    <w:rsid w:val="0050547D"/>
    <w:rsid w:val="00511C3F"/>
    <w:rsid w:val="00514E4F"/>
    <w:rsid w:val="00517EA1"/>
    <w:rsid w:val="00521576"/>
    <w:rsid w:val="00524265"/>
    <w:rsid w:val="005250E6"/>
    <w:rsid w:val="00530103"/>
    <w:rsid w:val="00542D23"/>
    <w:rsid w:val="0054442C"/>
    <w:rsid w:val="0054647C"/>
    <w:rsid w:val="005464A6"/>
    <w:rsid w:val="00550285"/>
    <w:rsid w:val="0055076C"/>
    <w:rsid w:val="005578C0"/>
    <w:rsid w:val="00562492"/>
    <w:rsid w:val="005635DC"/>
    <w:rsid w:val="0056363A"/>
    <w:rsid w:val="005646E7"/>
    <w:rsid w:val="00567ECF"/>
    <w:rsid w:val="00572A20"/>
    <w:rsid w:val="0057554F"/>
    <w:rsid w:val="00581618"/>
    <w:rsid w:val="005836F8"/>
    <w:rsid w:val="00585870"/>
    <w:rsid w:val="005918FA"/>
    <w:rsid w:val="00592287"/>
    <w:rsid w:val="00592710"/>
    <w:rsid w:val="00592A86"/>
    <w:rsid w:val="00595B56"/>
    <w:rsid w:val="005A1D9E"/>
    <w:rsid w:val="005A3029"/>
    <w:rsid w:val="005A3A22"/>
    <w:rsid w:val="005A5BF9"/>
    <w:rsid w:val="005B1293"/>
    <w:rsid w:val="005B3029"/>
    <w:rsid w:val="005B4801"/>
    <w:rsid w:val="005B6BEC"/>
    <w:rsid w:val="005C05EE"/>
    <w:rsid w:val="005C1843"/>
    <w:rsid w:val="005C23A4"/>
    <w:rsid w:val="005D1CDF"/>
    <w:rsid w:val="005D2BB7"/>
    <w:rsid w:val="005D507C"/>
    <w:rsid w:val="005D6FFE"/>
    <w:rsid w:val="005E0BC9"/>
    <w:rsid w:val="005E195A"/>
    <w:rsid w:val="005E61A8"/>
    <w:rsid w:val="005F1A4E"/>
    <w:rsid w:val="005F33E1"/>
    <w:rsid w:val="005F6419"/>
    <w:rsid w:val="005F72B1"/>
    <w:rsid w:val="00600519"/>
    <w:rsid w:val="00601EF3"/>
    <w:rsid w:val="0060213C"/>
    <w:rsid w:val="0060301D"/>
    <w:rsid w:val="00603F1B"/>
    <w:rsid w:val="0060469F"/>
    <w:rsid w:val="0060543D"/>
    <w:rsid w:val="006104DD"/>
    <w:rsid w:val="00611866"/>
    <w:rsid w:val="006130B5"/>
    <w:rsid w:val="00613994"/>
    <w:rsid w:val="00613AED"/>
    <w:rsid w:val="00614DD8"/>
    <w:rsid w:val="00616213"/>
    <w:rsid w:val="00617400"/>
    <w:rsid w:val="00625470"/>
    <w:rsid w:val="006259BF"/>
    <w:rsid w:val="00632D29"/>
    <w:rsid w:val="00634D81"/>
    <w:rsid w:val="0064621C"/>
    <w:rsid w:val="00651BF6"/>
    <w:rsid w:val="00652032"/>
    <w:rsid w:val="00652C2F"/>
    <w:rsid w:val="00655044"/>
    <w:rsid w:val="006614D2"/>
    <w:rsid w:val="00663307"/>
    <w:rsid w:val="00664950"/>
    <w:rsid w:val="0066686C"/>
    <w:rsid w:val="006718CA"/>
    <w:rsid w:val="00673064"/>
    <w:rsid w:val="00676AC4"/>
    <w:rsid w:val="00680F0C"/>
    <w:rsid w:val="00681976"/>
    <w:rsid w:val="00683220"/>
    <w:rsid w:val="00687FA0"/>
    <w:rsid w:val="00692FFC"/>
    <w:rsid w:val="0069438E"/>
    <w:rsid w:val="00696D52"/>
    <w:rsid w:val="006A032D"/>
    <w:rsid w:val="006A3C11"/>
    <w:rsid w:val="006B2011"/>
    <w:rsid w:val="006B7010"/>
    <w:rsid w:val="006C05FF"/>
    <w:rsid w:val="006C07B1"/>
    <w:rsid w:val="006C24CB"/>
    <w:rsid w:val="006C3095"/>
    <w:rsid w:val="006C4F79"/>
    <w:rsid w:val="006D13BF"/>
    <w:rsid w:val="006D7BA8"/>
    <w:rsid w:val="006E02B7"/>
    <w:rsid w:val="006E1151"/>
    <w:rsid w:val="006E6311"/>
    <w:rsid w:val="006F0E4D"/>
    <w:rsid w:val="006F0EA5"/>
    <w:rsid w:val="006F42ED"/>
    <w:rsid w:val="006F48B6"/>
    <w:rsid w:val="00700985"/>
    <w:rsid w:val="007015DF"/>
    <w:rsid w:val="007114A6"/>
    <w:rsid w:val="00714569"/>
    <w:rsid w:val="007145FF"/>
    <w:rsid w:val="00715B2A"/>
    <w:rsid w:val="00717D0F"/>
    <w:rsid w:val="0072419F"/>
    <w:rsid w:val="0073150B"/>
    <w:rsid w:val="0073231E"/>
    <w:rsid w:val="007325AA"/>
    <w:rsid w:val="00733B21"/>
    <w:rsid w:val="0074015F"/>
    <w:rsid w:val="00740271"/>
    <w:rsid w:val="00740722"/>
    <w:rsid w:val="00741A63"/>
    <w:rsid w:val="007450F1"/>
    <w:rsid w:val="00750105"/>
    <w:rsid w:val="00751515"/>
    <w:rsid w:val="00754D1F"/>
    <w:rsid w:val="007559ED"/>
    <w:rsid w:val="00755DFE"/>
    <w:rsid w:val="00757C75"/>
    <w:rsid w:val="00762144"/>
    <w:rsid w:val="007626B7"/>
    <w:rsid w:val="00762740"/>
    <w:rsid w:val="00764E83"/>
    <w:rsid w:val="0077025B"/>
    <w:rsid w:val="007758F5"/>
    <w:rsid w:val="0078212B"/>
    <w:rsid w:val="00784DF6"/>
    <w:rsid w:val="00785232"/>
    <w:rsid w:val="00785350"/>
    <w:rsid w:val="0079255D"/>
    <w:rsid w:val="00792BD3"/>
    <w:rsid w:val="00795B69"/>
    <w:rsid w:val="0079635D"/>
    <w:rsid w:val="0079667A"/>
    <w:rsid w:val="0079722D"/>
    <w:rsid w:val="007A11B8"/>
    <w:rsid w:val="007A2588"/>
    <w:rsid w:val="007B186C"/>
    <w:rsid w:val="007B19BD"/>
    <w:rsid w:val="007C1696"/>
    <w:rsid w:val="007C3921"/>
    <w:rsid w:val="007C3ED0"/>
    <w:rsid w:val="007C48C4"/>
    <w:rsid w:val="007C5971"/>
    <w:rsid w:val="007E42DC"/>
    <w:rsid w:val="007E6759"/>
    <w:rsid w:val="007F0903"/>
    <w:rsid w:val="007F0A74"/>
    <w:rsid w:val="007F3BBB"/>
    <w:rsid w:val="007F54B9"/>
    <w:rsid w:val="00800081"/>
    <w:rsid w:val="00806A76"/>
    <w:rsid w:val="00806C7F"/>
    <w:rsid w:val="00811C9D"/>
    <w:rsid w:val="0081216A"/>
    <w:rsid w:val="00816C80"/>
    <w:rsid w:val="0081756C"/>
    <w:rsid w:val="0081797B"/>
    <w:rsid w:val="008207B6"/>
    <w:rsid w:val="00822534"/>
    <w:rsid w:val="0082796A"/>
    <w:rsid w:val="008319D4"/>
    <w:rsid w:val="0083262E"/>
    <w:rsid w:val="00834668"/>
    <w:rsid w:val="00834B36"/>
    <w:rsid w:val="0083707A"/>
    <w:rsid w:val="00841BCD"/>
    <w:rsid w:val="00842F65"/>
    <w:rsid w:val="0084591E"/>
    <w:rsid w:val="00847264"/>
    <w:rsid w:val="00847658"/>
    <w:rsid w:val="00851A8E"/>
    <w:rsid w:val="0085365B"/>
    <w:rsid w:val="00861CCA"/>
    <w:rsid w:val="00864596"/>
    <w:rsid w:val="008657A8"/>
    <w:rsid w:val="008659DA"/>
    <w:rsid w:val="00866965"/>
    <w:rsid w:val="00867DF5"/>
    <w:rsid w:val="00880AF0"/>
    <w:rsid w:val="00881ACD"/>
    <w:rsid w:val="008826C1"/>
    <w:rsid w:val="00883DFD"/>
    <w:rsid w:val="0089164D"/>
    <w:rsid w:val="0089210C"/>
    <w:rsid w:val="00893D2E"/>
    <w:rsid w:val="008A0074"/>
    <w:rsid w:val="008A1BF7"/>
    <w:rsid w:val="008A2D73"/>
    <w:rsid w:val="008A5B0E"/>
    <w:rsid w:val="008B0961"/>
    <w:rsid w:val="008C39F7"/>
    <w:rsid w:val="008C5629"/>
    <w:rsid w:val="008C7EE4"/>
    <w:rsid w:val="008D148B"/>
    <w:rsid w:val="008D59FA"/>
    <w:rsid w:val="008D69A6"/>
    <w:rsid w:val="008E2AE5"/>
    <w:rsid w:val="008E38A2"/>
    <w:rsid w:val="008E4522"/>
    <w:rsid w:val="008F2E01"/>
    <w:rsid w:val="008F523D"/>
    <w:rsid w:val="009002F5"/>
    <w:rsid w:val="0090091A"/>
    <w:rsid w:val="00900D47"/>
    <w:rsid w:val="0090373B"/>
    <w:rsid w:val="009042BD"/>
    <w:rsid w:val="00904FE4"/>
    <w:rsid w:val="009050B0"/>
    <w:rsid w:val="00907FC4"/>
    <w:rsid w:val="00914999"/>
    <w:rsid w:val="00916F70"/>
    <w:rsid w:val="00923B62"/>
    <w:rsid w:val="00926D02"/>
    <w:rsid w:val="00927740"/>
    <w:rsid w:val="00936159"/>
    <w:rsid w:val="009449A9"/>
    <w:rsid w:val="00946378"/>
    <w:rsid w:val="009547B7"/>
    <w:rsid w:val="0095633F"/>
    <w:rsid w:val="009608BC"/>
    <w:rsid w:val="00963B36"/>
    <w:rsid w:val="00967C50"/>
    <w:rsid w:val="009709FA"/>
    <w:rsid w:val="00970D47"/>
    <w:rsid w:val="00977E1D"/>
    <w:rsid w:val="00981258"/>
    <w:rsid w:val="009A39F3"/>
    <w:rsid w:val="009A6985"/>
    <w:rsid w:val="009A6E6E"/>
    <w:rsid w:val="009A741B"/>
    <w:rsid w:val="009B0573"/>
    <w:rsid w:val="009B20F7"/>
    <w:rsid w:val="009B7B4B"/>
    <w:rsid w:val="009B7C21"/>
    <w:rsid w:val="009C097C"/>
    <w:rsid w:val="009C7D05"/>
    <w:rsid w:val="009D591D"/>
    <w:rsid w:val="009E22BF"/>
    <w:rsid w:val="009E4E6E"/>
    <w:rsid w:val="009E59F0"/>
    <w:rsid w:val="00A00857"/>
    <w:rsid w:val="00A02839"/>
    <w:rsid w:val="00A04992"/>
    <w:rsid w:val="00A13CB0"/>
    <w:rsid w:val="00A147AA"/>
    <w:rsid w:val="00A21D71"/>
    <w:rsid w:val="00A22B78"/>
    <w:rsid w:val="00A246F7"/>
    <w:rsid w:val="00A25442"/>
    <w:rsid w:val="00A25AE5"/>
    <w:rsid w:val="00A26442"/>
    <w:rsid w:val="00A26A38"/>
    <w:rsid w:val="00A27605"/>
    <w:rsid w:val="00A31F1A"/>
    <w:rsid w:val="00A32DA7"/>
    <w:rsid w:val="00A36DAA"/>
    <w:rsid w:val="00A37002"/>
    <w:rsid w:val="00A4355E"/>
    <w:rsid w:val="00A4409A"/>
    <w:rsid w:val="00A45CA1"/>
    <w:rsid w:val="00A520D9"/>
    <w:rsid w:val="00A56EC2"/>
    <w:rsid w:val="00A572D5"/>
    <w:rsid w:val="00A64DA0"/>
    <w:rsid w:val="00A6561B"/>
    <w:rsid w:val="00A757D7"/>
    <w:rsid w:val="00A76297"/>
    <w:rsid w:val="00A811C0"/>
    <w:rsid w:val="00A81C6C"/>
    <w:rsid w:val="00A82183"/>
    <w:rsid w:val="00A87E4D"/>
    <w:rsid w:val="00A87F05"/>
    <w:rsid w:val="00A92BCD"/>
    <w:rsid w:val="00AA1B0E"/>
    <w:rsid w:val="00AA25D7"/>
    <w:rsid w:val="00AA47B6"/>
    <w:rsid w:val="00AA5CE6"/>
    <w:rsid w:val="00AA6234"/>
    <w:rsid w:val="00AA7A3D"/>
    <w:rsid w:val="00AB24D4"/>
    <w:rsid w:val="00AB42B0"/>
    <w:rsid w:val="00AB7C7B"/>
    <w:rsid w:val="00AB7CAF"/>
    <w:rsid w:val="00AC163B"/>
    <w:rsid w:val="00AC5AC4"/>
    <w:rsid w:val="00AC5CA7"/>
    <w:rsid w:val="00AC6058"/>
    <w:rsid w:val="00AD195C"/>
    <w:rsid w:val="00AD3F74"/>
    <w:rsid w:val="00AD5FAD"/>
    <w:rsid w:val="00AD7CA8"/>
    <w:rsid w:val="00AE2BA5"/>
    <w:rsid w:val="00AE3529"/>
    <w:rsid w:val="00AE56B1"/>
    <w:rsid w:val="00AE6D09"/>
    <w:rsid w:val="00AF00ED"/>
    <w:rsid w:val="00AF7A7C"/>
    <w:rsid w:val="00B00303"/>
    <w:rsid w:val="00B02070"/>
    <w:rsid w:val="00B02E97"/>
    <w:rsid w:val="00B038EA"/>
    <w:rsid w:val="00B06F1B"/>
    <w:rsid w:val="00B13A08"/>
    <w:rsid w:val="00B15F5F"/>
    <w:rsid w:val="00B15FE4"/>
    <w:rsid w:val="00B175B2"/>
    <w:rsid w:val="00B3465B"/>
    <w:rsid w:val="00B35737"/>
    <w:rsid w:val="00B3651D"/>
    <w:rsid w:val="00B408B6"/>
    <w:rsid w:val="00B42AAE"/>
    <w:rsid w:val="00B4652C"/>
    <w:rsid w:val="00B542DA"/>
    <w:rsid w:val="00B5462E"/>
    <w:rsid w:val="00B658EB"/>
    <w:rsid w:val="00B66B7D"/>
    <w:rsid w:val="00B72D89"/>
    <w:rsid w:val="00B73862"/>
    <w:rsid w:val="00B73CB4"/>
    <w:rsid w:val="00B73F43"/>
    <w:rsid w:val="00B75BBF"/>
    <w:rsid w:val="00B81217"/>
    <w:rsid w:val="00B81CDC"/>
    <w:rsid w:val="00B8230C"/>
    <w:rsid w:val="00B8312E"/>
    <w:rsid w:val="00B84EA3"/>
    <w:rsid w:val="00B90698"/>
    <w:rsid w:val="00B9504A"/>
    <w:rsid w:val="00B97094"/>
    <w:rsid w:val="00BA308C"/>
    <w:rsid w:val="00BA6B66"/>
    <w:rsid w:val="00BA6E48"/>
    <w:rsid w:val="00BA7CE5"/>
    <w:rsid w:val="00BB172F"/>
    <w:rsid w:val="00BE0AF6"/>
    <w:rsid w:val="00BE1F03"/>
    <w:rsid w:val="00BE58A7"/>
    <w:rsid w:val="00BE5FFD"/>
    <w:rsid w:val="00BF2218"/>
    <w:rsid w:val="00BF4C50"/>
    <w:rsid w:val="00BF6EAF"/>
    <w:rsid w:val="00C019A3"/>
    <w:rsid w:val="00C02485"/>
    <w:rsid w:val="00C0426B"/>
    <w:rsid w:val="00C045DF"/>
    <w:rsid w:val="00C050D9"/>
    <w:rsid w:val="00C11BA2"/>
    <w:rsid w:val="00C12553"/>
    <w:rsid w:val="00C13103"/>
    <w:rsid w:val="00C14737"/>
    <w:rsid w:val="00C21825"/>
    <w:rsid w:val="00C26D43"/>
    <w:rsid w:val="00C35173"/>
    <w:rsid w:val="00C36BCC"/>
    <w:rsid w:val="00C42C7A"/>
    <w:rsid w:val="00C45F56"/>
    <w:rsid w:val="00C46548"/>
    <w:rsid w:val="00C4719F"/>
    <w:rsid w:val="00C54353"/>
    <w:rsid w:val="00C574D5"/>
    <w:rsid w:val="00C61CDC"/>
    <w:rsid w:val="00C66D29"/>
    <w:rsid w:val="00C73F32"/>
    <w:rsid w:val="00C744E1"/>
    <w:rsid w:val="00C77163"/>
    <w:rsid w:val="00C87462"/>
    <w:rsid w:val="00CA180C"/>
    <w:rsid w:val="00CA7153"/>
    <w:rsid w:val="00CB1B14"/>
    <w:rsid w:val="00CB22B2"/>
    <w:rsid w:val="00CB3C9B"/>
    <w:rsid w:val="00CB571F"/>
    <w:rsid w:val="00CC2C34"/>
    <w:rsid w:val="00CC3EE2"/>
    <w:rsid w:val="00CD11BF"/>
    <w:rsid w:val="00CD7492"/>
    <w:rsid w:val="00CE22A8"/>
    <w:rsid w:val="00CE30E6"/>
    <w:rsid w:val="00CE3A6B"/>
    <w:rsid w:val="00CF1112"/>
    <w:rsid w:val="00CF4D27"/>
    <w:rsid w:val="00CF6935"/>
    <w:rsid w:val="00CF6AFC"/>
    <w:rsid w:val="00D00211"/>
    <w:rsid w:val="00D006D1"/>
    <w:rsid w:val="00D01E7D"/>
    <w:rsid w:val="00D025AE"/>
    <w:rsid w:val="00D0520C"/>
    <w:rsid w:val="00D06309"/>
    <w:rsid w:val="00D06D62"/>
    <w:rsid w:val="00D07CF8"/>
    <w:rsid w:val="00D15004"/>
    <w:rsid w:val="00D1717B"/>
    <w:rsid w:val="00D2412A"/>
    <w:rsid w:val="00D24778"/>
    <w:rsid w:val="00D258FD"/>
    <w:rsid w:val="00D25EB4"/>
    <w:rsid w:val="00D268B1"/>
    <w:rsid w:val="00D339A3"/>
    <w:rsid w:val="00D34680"/>
    <w:rsid w:val="00D351EA"/>
    <w:rsid w:val="00D3644B"/>
    <w:rsid w:val="00D40288"/>
    <w:rsid w:val="00D411DC"/>
    <w:rsid w:val="00D42772"/>
    <w:rsid w:val="00D42C07"/>
    <w:rsid w:val="00D43403"/>
    <w:rsid w:val="00D46C60"/>
    <w:rsid w:val="00D50A6B"/>
    <w:rsid w:val="00D512E2"/>
    <w:rsid w:val="00D5141C"/>
    <w:rsid w:val="00D5270B"/>
    <w:rsid w:val="00D561E0"/>
    <w:rsid w:val="00D60CAF"/>
    <w:rsid w:val="00D62E71"/>
    <w:rsid w:val="00D6430D"/>
    <w:rsid w:val="00D66188"/>
    <w:rsid w:val="00D731F6"/>
    <w:rsid w:val="00D740CA"/>
    <w:rsid w:val="00D7577B"/>
    <w:rsid w:val="00D85728"/>
    <w:rsid w:val="00D86E20"/>
    <w:rsid w:val="00D93320"/>
    <w:rsid w:val="00D94D71"/>
    <w:rsid w:val="00D94ECB"/>
    <w:rsid w:val="00D95481"/>
    <w:rsid w:val="00D961E0"/>
    <w:rsid w:val="00D97E9F"/>
    <w:rsid w:val="00DA4813"/>
    <w:rsid w:val="00DA4FDD"/>
    <w:rsid w:val="00DB173D"/>
    <w:rsid w:val="00DB1B64"/>
    <w:rsid w:val="00DB4444"/>
    <w:rsid w:val="00DB7E54"/>
    <w:rsid w:val="00DC1D67"/>
    <w:rsid w:val="00DC2D26"/>
    <w:rsid w:val="00DC7A13"/>
    <w:rsid w:val="00DD0D18"/>
    <w:rsid w:val="00DD1D05"/>
    <w:rsid w:val="00DD207D"/>
    <w:rsid w:val="00DD2A48"/>
    <w:rsid w:val="00DD41A7"/>
    <w:rsid w:val="00DE18A4"/>
    <w:rsid w:val="00DE2543"/>
    <w:rsid w:val="00DE7064"/>
    <w:rsid w:val="00DF1BA9"/>
    <w:rsid w:val="00DF1D4F"/>
    <w:rsid w:val="00DF2997"/>
    <w:rsid w:val="00DF76F3"/>
    <w:rsid w:val="00DF7C62"/>
    <w:rsid w:val="00E01A4F"/>
    <w:rsid w:val="00E03F1C"/>
    <w:rsid w:val="00E10BC4"/>
    <w:rsid w:val="00E11355"/>
    <w:rsid w:val="00E1415D"/>
    <w:rsid w:val="00E16775"/>
    <w:rsid w:val="00E213BD"/>
    <w:rsid w:val="00E25615"/>
    <w:rsid w:val="00E323E9"/>
    <w:rsid w:val="00E329F7"/>
    <w:rsid w:val="00E32FB6"/>
    <w:rsid w:val="00E34018"/>
    <w:rsid w:val="00E3740D"/>
    <w:rsid w:val="00E437D2"/>
    <w:rsid w:val="00E43BF9"/>
    <w:rsid w:val="00E448D2"/>
    <w:rsid w:val="00E4583C"/>
    <w:rsid w:val="00E47BC6"/>
    <w:rsid w:val="00E47DD5"/>
    <w:rsid w:val="00E51930"/>
    <w:rsid w:val="00E53097"/>
    <w:rsid w:val="00E55751"/>
    <w:rsid w:val="00E61C95"/>
    <w:rsid w:val="00E625E3"/>
    <w:rsid w:val="00E62D9D"/>
    <w:rsid w:val="00E6552A"/>
    <w:rsid w:val="00E67761"/>
    <w:rsid w:val="00E7398E"/>
    <w:rsid w:val="00E82B94"/>
    <w:rsid w:val="00E837C1"/>
    <w:rsid w:val="00E849C3"/>
    <w:rsid w:val="00E864A5"/>
    <w:rsid w:val="00E86C98"/>
    <w:rsid w:val="00EA007D"/>
    <w:rsid w:val="00EA2311"/>
    <w:rsid w:val="00EA5B2A"/>
    <w:rsid w:val="00EA6388"/>
    <w:rsid w:val="00EA6784"/>
    <w:rsid w:val="00EB0FA3"/>
    <w:rsid w:val="00EB132D"/>
    <w:rsid w:val="00EB3610"/>
    <w:rsid w:val="00EB77C2"/>
    <w:rsid w:val="00EC2E0B"/>
    <w:rsid w:val="00EC2E86"/>
    <w:rsid w:val="00EC6D67"/>
    <w:rsid w:val="00EC7BC3"/>
    <w:rsid w:val="00ED0BDD"/>
    <w:rsid w:val="00ED141B"/>
    <w:rsid w:val="00ED57C1"/>
    <w:rsid w:val="00ED69ED"/>
    <w:rsid w:val="00ED7600"/>
    <w:rsid w:val="00EF3D81"/>
    <w:rsid w:val="00EF5236"/>
    <w:rsid w:val="00EF6073"/>
    <w:rsid w:val="00EF698B"/>
    <w:rsid w:val="00F02BDC"/>
    <w:rsid w:val="00F0374C"/>
    <w:rsid w:val="00F04AC1"/>
    <w:rsid w:val="00F054FE"/>
    <w:rsid w:val="00F1293A"/>
    <w:rsid w:val="00F1362C"/>
    <w:rsid w:val="00F163B1"/>
    <w:rsid w:val="00F33A18"/>
    <w:rsid w:val="00F351ED"/>
    <w:rsid w:val="00F40F5A"/>
    <w:rsid w:val="00F414F1"/>
    <w:rsid w:val="00F42747"/>
    <w:rsid w:val="00F44010"/>
    <w:rsid w:val="00F508B8"/>
    <w:rsid w:val="00F50DBB"/>
    <w:rsid w:val="00F50F2F"/>
    <w:rsid w:val="00F51448"/>
    <w:rsid w:val="00F56ABA"/>
    <w:rsid w:val="00F5761B"/>
    <w:rsid w:val="00F64210"/>
    <w:rsid w:val="00F64738"/>
    <w:rsid w:val="00F72CB1"/>
    <w:rsid w:val="00F8215E"/>
    <w:rsid w:val="00F824F5"/>
    <w:rsid w:val="00F90FAB"/>
    <w:rsid w:val="00F9374D"/>
    <w:rsid w:val="00FA11BE"/>
    <w:rsid w:val="00FA19EC"/>
    <w:rsid w:val="00FB0EED"/>
    <w:rsid w:val="00FB21CC"/>
    <w:rsid w:val="00FB31DC"/>
    <w:rsid w:val="00FB6924"/>
    <w:rsid w:val="00FB7E3F"/>
    <w:rsid w:val="00FC12A4"/>
    <w:rsid w:val="00FC29B9"/>
    <w:rsid w:val="00FC4507"/>
    <w:rsid w:val="00FC6FD3"/>
    <w:rsid w:val="00FD1396"/>
    <w:rsid w:val="00FD22CE"/>
    <w:rsid w:val="00FD4374"/>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6BCC"/>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795B69"/>
    <w:pPr>
      <w:ind w:left="0" w:firstLine="0"/>
    </w:pPr>
    <w:rPr>
      <w:lang w:val="en-US"/>
    </w:rPr>
  </w:style>
  <w:style w:type="character" w:customStyle="1" w:styleId="RAN4observationChar0">
    <w:name w:val="RAN4 observation Char"/>
    <w:basedOn w:val="RAN4ObservationChar"/>
    <w:link w:val="RAN4observation0"/>
    <w:rsid w:val="00795B69"/>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basedOn w:val="Normal"/>
    <w:link w:val="HeaderChar"/>
    <w:unhideWhenUsed/>
    <w:rsid w:val="0083262E"/>
    <w:pPr>
      <w:tabs>
        <w:tab w:val="center" w:pos="4680"/>
        <w:tab w:val="right" w:pos="9360"/>
      </w:tabs>
      <w:spacing w:after="0" w:line="240" w:lineRule="auto"/>
    </w:pPr>
  </w:style>
  <w:style w:type="character" w:customStyle="1" w:styleId="HeaderChar">
    <w:name w:val="Header Char"/>
    <w:basedOn w:val="DefaultParagraphFont"/>
    <w:link w:val="Header"/>
    <w:rsid w:val="0083262E"/>
    <w:rPr>
      <w:rFonts w:ascii="Times New Roman" w:hAnsi="Times New Roman"/>
      <w:sz w:val="20"/>
      <w:lang w:val="en-GB"/>
    </w:rPr>
  </w:style>
  <w:style w:type="paragraph" w:styleId="Footer">
    <w:name w:val="footer"/>
    <w:basedOn w:val="Normal"/>
    <w:link w:val="FooterChar"/>
    <w:unhideWhenUsed/>
    <w:qFormat/>
    <w:rsid w:val="0083262E"/>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83262E"/>
    <w:rPr>
      <w:rFonts w:ascii="Times New Roman" w:hAnsi="Times New Roman"/>
      <w:sz w:val="20"/>
      <w:lang w:val="en-GB"/>
    </w:rPr>
  </w:style>
  <w:style w:type="paragraph" w:styleId="Revision">
    <w:name w:val="Revision"/>
    <w:hidden/>
    <w:uiPriority w:val="99"/>
    <w:semiHidden/>
    <w:rsid w:val="006D13BF"/>
    <w:pPr>
      <w:spacing w:after="0" w:line="240" w:lineRule="auto"/>
    </w:pPr>
    <w:rPr>
      <w:rFonts w:ascii="Times New Roman" w:hAnsi="Times New Roman"/>
      <w:sz w:val="20"/>
      <w:lang w:val="en-GB"/>
    </w:rPr>
  </w:style>
  <w:style w:type="paragraph" w:customStyle="1" w:styleId="TAH">
    <w:name w:val="TAH"/>
    <w:basedOn w:val="TAC"/>
    <w:link w:val="TAHCar"/>
    <w:rsid w:val="004F12AA"/>
    <w:rPr>
      <w:b/>
    </w:rPr>
  </w:style>
  <w:style w:type="paragraph" w:customStyle="1" w:styleId="TAC">
    <w:name w:val="TAC"/>
    <w:basedOn w:val="Normal"/>
    <w:link w:val="TACChar"/>
    <w:rsid w:val="004F12A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4F12AA"/>
    <w:rPr>
      <w:rFonts w:ascii="Arial" w:eastAsia="Times New Roman" w:hAnsi="Arial" w:cs="Times New Roman"/>
      <w:sz w:val="18"/>
      <w:szCs w:val="20"/>
      <w:lang w:val="en-GB" w:eastAsia="en-GB"/>
    </w:rPr>
  </w:style>
  <w:style w:type="character" w:customStyle="1" w:styleId="TAHCar">
    <w:name w:val="TAH Car"/>
    <w:link w:val="TAH"/>
    <w:qFormat/>
    <w:rsid w:val="004F12AA"/>
    <w:rPr>
      <w:rFonts w:ascii="Arial" w:eastAsia="Times New Roman" w:hAnsi="Arial" w:cs="Times New Roman"/>
      <w:b/>
      <w:sz w:val="18"/>
      <w:szCs w:val="20"/>
      <w:lang w:val="en-GB" w:eastAsia="en-GB"/>
    </w:rPr>
  </w:style>
  <w:style w:type="paragraph" w:customStyle="1" w:styleId="paragraph">
    <w:name w:val="paragraph"/>
    <w:basedOn w:val="Normal"/>
    <w:rsid w:val="00D961E0"/>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D961E0"/>
  </w:style>
  <w:style w:type="character" w:customStyle="1" w:styleId="eop">
    <w:name w:val="eop"/>
    <w:basedOn w:val="DefaultParagraphFont"/>
    <w:rsid w:val="00D961E0"/>
  </w:style>
  <w:style w:type="character" w:customStyle="1" w:styleId="tabchar">
    <w:name w:val="tabchar"/>
    <w:basedOn w:val="DefaultParagraphFont"/>
    <w:rsid w:val="00D961E0"/>
  </w:style>
  <w:style w:type="character" w:customStyle="1" w:styleId="wacimagecontainer">
    <w:name w:val="wacimagecontainer"/>
    <w:basedOn w:val="DefaultParagraphFont"/>
    <w:rsid w:val="00634D81"/>
  </w:style>
  <w:style w:type="paragraph" w:customStyle="1" w:styleId="3GPPNormalText">
    <w:name w:val="3GPP Normal Text"/>
    <w:basedOn w:val="BodyText"/>
    <w:link w:val="3GPPNormalTextChar"/>
    <w:qFormat/>
    <w:rsid w:val="007559ED"/>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7559ED"/>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7559ED"/>
    <w:pPr>
      <w:spacing w:after="120"/>
    </w:pPr>
  </w:style>
  <w:style w:type="character" w:customStyle="1" w:styleId="BodyTextChar">
    <w:name w:val="Body Text Char"/>
    <w:basedOn w:val="DefaultParagraphFont"/>
    <w:link w:val="BodyText"/>
    <w:uiPriority w:val="99"/>
    <w:semiHidden/>
    <w:rsid w:val="007559ED"/>
    <w:rPr>
      <w:rFonts w:ascii="Times New Roman" w:hAnsi="Times New Roman"/>
      <w:sz w:val="20"/>
      <w:lang w:val="en-GB"/>
    </w:rPr>
  </w:style>
  <w:style w:type="paragraph" w:customStyle="1" w:styleId="B1">
    <w:name w:val="B1"/>
    <w:basedOn w:val="Normal"/>
    <w:link w:val="B1Char"/>
    <w:qFormat/>
    <w:rsid w:val="00EF5236"/>
    <w:pPr>
      <w:spacing w:after="180" w:line="240" w:lineRule="auto"/>
      <w:ind w:left="568" w:hanging="284"/>
    </w:pPr>
    <w:rPr>
      <w:rFonts w:eastAsia="Malgun Gothic" w:cs="Times New Roman"/>
      <w:szCs w:val="20"/>
      <w:lang w:eastAsia="x-none"/>
    </w:rPr>
  </w:style>
  <w:style w:type="character" w:customStyle="1" w:styleId="B1Char">
    <w:name w:val="B1 Char"/>
    <w:link w:val="B1"/>
    <w:rsid w:val="00EF5236"/>
    <w:rPr>
      <w:rFonts w:ascii="Times New Roman" w:eastAsia="Malgun Gothic" w:hAnsi="Times New Roman" w:cs="Times New Roman"/>
      <w:sz w:val="20"/>
      <w:szCs w:val="20"/>
      <w:lang w:val="en-GB" w:eastAsia="x-none"/>
    </w:rPr>
  </w:style>
  <w:style w:type="paragraph" w:styleId="NormalWeb">
    <w:name w:val="Normal (Web)"/>
    <w:basedOn w:val="Normal"/>
    <w:uiPriority w:val="99"/>
    <w:semiHidden/>
    <w:unhideWhenUsed/>
    <w:rsid w:val="00EC2E86"/>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88747">
      <w:bodyDiv w:val="1"/>
      <w:marLeft w:val="0"/>
      <w:marRight w:val="0"/>
      <w:marTop w:val="0"/>
      <w:marBottom w:val="0"/>
      <w:divBdr>
        <w:top w:val="none" w:sz="0" w:space="0" w:color="auto"/>
        <w:left w:val="none" w:sz="0" w:space="0" w:color="auto"/>
        <w:bottom w:val="none" w:sz="0" w:space="0" w:color="auto"/>
        <w:right w:val="none" w:sz="0" w:space="0" w:color="auto"/>
      </w:divBdr>
    </w:div>
    <w:div w:id="349795144">
      <w:bodyDiv w:val="1"/>
      <w:marLeft w:val="0"/>
      <w:marRight w:val="0"/>
      <w:marTop w:val="0"/>
      <w:marBottom w:val="0"/>
      <w:divBdr>
        <w:top w:val="none" w:sz="0" w:space="0" w:color="auto"/>
        <w:left w:val="none" w:sz="0" w:space="0" w:color="auto"/>
        <w:bottom w:val="none" w:sz="0" w:space="0" w:color="auto"/>
        <w:right w:val="none" w:sz="0" w:space="0" w:color="auto"/>
      </w:divBdr>
    </w:div>
    <w:div w:id="435950346">
      <w:bodyDiv w:val="1"/>
      <w:marLeft w:val="0"/>
      <w:marRight w:val="0"/>
      <w:marTop w:val="0"/>
      <w:marBottom w:val="0"/>
      <w:divBdr>
        <w:top w:val="none" w:sz="0" w:space="0" w:color="auto"/>
        <w:left w:val="none" w:sz="0" w:space="0" w:color="auto"/>
        <w:bottom w:val="none" w:sz="0" w:space="0" w:color="auto"/>
        <w:right w:val="none" w:sz="0" w:space="0" w:color="auto"/>
      </w:divBdr>
      <w:divsChild>
        <w:div w:id="193932228">
          <w:marLeft w:val="0"/>
          <w:marRight w:val="0"/>
          <w:marTop w:val="0"/>
          <w:marBottom w:val="0"/>
          <w:divBdr>
            <w:top w:val="none" w:sz="0" w:space="0" w:color="auto"/>
            <w:left w:val="none" w:sz="0" w:space="0" w:color="auto"/>
            <w:bottom w:val="none" w:sz="0" w:space="0" w:color="auto"/>
            <w:right w:val="none" w:sz="0" w:space="0" w:color="auto"/>
          </w:divBdr>
        </w:div>
        <w:div w:id="1483932976">
          <w:marLeft w:val="0"/>
          <w:marRight w:val="0"/>
          <w:marTop w:val="0"/>
          <w:marBottom w:val="0"/>
          <w:divBdr>
            <w:top w:val="none" w:sz="0" w:space="0" w:color="auto"/>
            <w:left w:val="none" w:sz="0" w:space="0" w:color="auto"/>
            <w:bottom w:val="none" w:sz="0" w:space="0" w:color="auto"/>
            <w:right w:val="none" w:sz="0" w:space="0" w:color="auto"/>
          </w:divBdr>
        </w:div>
      </w:divsChild>
    </w:div>
    <w:div w:id="450712353">
      <w:bodyDiv w:val="1"/>
      <w:marLeft w:val="0"/>
      <w:marRight w:val="0"/>
      <w:marTop w:val="0"/>
      <w:marBottom w:val="0"/>
      <w:divBdr>
        <w:top w:val="none" w:sz="0" w:space="0" w:color="auto"/>
        <w:left w:val="none" w:sz="0" w:space="0" w:color="auto"/>
        <w:bottom w:val="none" w:sz="0" w:space="0" w:color="auto"/>
        <w:right w:val="none" w:sz="0" w:space="0" w:color="auto"/>
      </w:divBdr>
    </w:div>
    <w:div w:id="665018706">
      <w:bodyDiv w:val="1"/>
      <w:marLeft w:val="0"/>
      <w:marRight w:val="0"/>
      <w:marTop w:val="0"/>
      <w:marBottom w:val="0"/>
      <w:divBdr>
        <w:top w:val="none" w:sz="0" w:space="0" w:color="auto"/>
        <w:left w:val="none" w:sz="0" w:space="0" w:color="auto"/>
        <w:bottom w:val="none" w:sz="0" w:space="0" w:color="auto"/>
        <w:right w:val="none" w:sz="0" w:space="0" w:color="auto"/>
      </w:divBdr>
    </w:div>
    <w:div w:id="697505576">
      <w:bodyDiv w:val="1"/>
      <w:marLeft w:val="0"/>
      <w:marRight w:val="0"/>
      <w:marTop w:val="0"/>
      <w:marBottom w:val="0"/>
      <w:divBdr>
        <w:top w:val="none" w:sz="0" w:space="0" w:color="auto"/>
        <w:left w:val="none" w:sz="0" w:space="0" w:color="auto"/>
        <w:bottom w:val="none" w:sz="0" w:space="0" w:color="auto"/>
        <w:right w:val="none" w:sz="0" w:space="0" w:color="auto"/>
      </w:divBdr>
    </w:div>
    <w:div w:id="921570824">
      <w:bodyDiv w:val="1"/>
      <w:marLeft w:val="0"/>
      <w:marRight w:val="0"/>
      <w:marTop w:val="0"/>
      <w:marBottom w:val="0"/>
      <w:divBdr>
        <w:top w:val="none" w:sz="0" w:space="0" w:color="auto"/>
        <w:left w:val="none" w:sz="0" w:space="0" w:color="auto"/>
        <w:bottom w:val="none" w:sz="0" w:space="0" w:color="auto"/>
        <w:right w:val="none" w:sz="0" w:space="0" w:color="auto"/>
      </w:divBdr>
      <w:divsChild>
        <w:div w:id="117719570">
          <w:marLeft w:val="0"/>
          <w:marRight w:val="0"/>
          <w:marTop w:val="0"/>
          <w:marBottom w:val="0"/>
          <w:divBdr>
            <w:top w:val="none" w:sz="0" w:space="0" w:color="auto"/>
            <w:left w:val="none" w:sz="0" w:space="0" w:color="auto"/>
            <w:bottom w:val="none" w:sz="0" w:space="0" w:color="auto"/>
            <w:right w:val="none" w:sz="0" w:space="0" w:color="auto"/>
          </w:divBdr>
        </w:div>
        <w:div w:id="336273672">
          <w:marLeft w:val="0"/>
          <w:marRight w:val="0"/>
          <w:marTop w:val="0"/>
          <w:marBottom w:val="0"/>
          <w:divBdr>
            <w:top w:val="none" w:sz="0" w:space="0" w:color="auto"/>
            <w:left w:val="none" w:sz="0" w:space="0" w:color="auto"/>
            <w:bottom w:val="none" w:sz="0" w:space="0" w:color="auto"/>
            <w:right w:val="none" w:sz="0" w:space="0" w:color="auto"/>
          </w:divBdr>
        </w:div>
        <w:div w:id="630785778">
          <w:marLeft w:val="0"/>
          <w:marRight w:val="0"/>
          <w:marTop w:val="0"/>
          <w:marBottom w:val="0"/>
          <w:divBdr>
            <w:top w:val="none" w:sz="0" w:space="0" w:color="auto"/>
            <w:left w:val="none" w:sz="0" w:space="0" w:color="auto"/>
            <w:bottom w:val="none" w:sz="0" w:space="0" w:color="auto"/>
            <w:right w:val="none" w:sz="0" w:space="0" w:color="auto"/>
          </w:divBdr>
        </w:div>
        <w:div w:id="713697947">
          <w:marLeft w:val="0"/>
          <w:marRight w:val="0"/>
          <w:marTop w:val="0"/>
          <w:marBottom w:val="0"/>
          <w:divBdr>
            <w:top w:val="none" w:sz="0" w:space="0" w:color="auto"/>
            <w:left w:val="none" w:sz="0" w:space="0" w:color="auto"/>
            <w:bottom w:val="none" w:sz="0" w:space="0" w:color="auto"/>
            <w:right w:val="none" w:sz="0" w:space="0" w:color="auto"/>
          </w:divBdr>
        </w:div>
        <w:div w:id="1079911517">
          <w:marLeft w:val="0"/>
          <w:marRight w:val="0"/>
          <w:marTop w:val="0"/>
          <w:marBottom w:val="0"/>
          <w:divBdr>
            <w:top w:val="none" w:sz="0" w:space="0" w:color="auto"/>
            <w:left w:val="none" w:sz="0" w:space="0" w:color="auto"/>
            <w:bottom w:val="none" w:sz="0" w:space="0" w:color="auto"/>
            <w:right w:val="none" w:sz="0" w:space="0" w:color="auto"/>
          </w:divBdr>
        </w:div>
        <w:div w:id="1286816902">
          <w:marLeft w:val="0"/>
          <w:marRight w:val="0"/>
          <w:marTop w:val="0"/>
          <w:marBottom w:val="0"/>
          <w:divBdr>
            <w:top w:val="none" w:sz="0" w:space="0" w:color="auto"/>
            <w:left w:val="none" w:sz="0" w:space="0" w:color="auto"/>
            <w:bottom w:val="none" w:sz="0" w:space="0" w:color="auto"/>
            <w:right w:val="none" w:sz="0" w:space="0" w:color="auto"/>
          </w:divBdr>
        </w:div>
        <w:div w:id="1588003132">
          <w:marLeft w:val="0"/>
          <w:marRight w:val="0"/>
          <w:marTop w:val="0"/>
          <w:marBottom w:val="0"/>
          <w:divBdr>
            <w:top w:val="none" w:sz="0" w:space="0" w:color="auto"/>
            <w:left w:val="none" w:sz="0" w:space="0" w:color="auto"/>
            <w:bottom w:val="none" w:sz="0" w:space="0" w:color="auto"/>
            <w:right w:val="none" w:sz="0" w:space="0" w:color="auto"/>
          </w:divBdr>
        </w:div>
        <w:div w:id="1619406121">
          <w:marLeft w:val="0"/>
          <w:marRight w:val="0"/>
          <w:marTop w:val="0"/>
          <w:marBottom w:val="0"/>
          <w:divBdr>
            <w:top w:val="none" w:sz="0" w:space="0" w:color="auto"/>
            <w:left w:val="none" w:sz="0" w:space="0" w:color="auto"/>
            <w:bottom w:val="none" w:sz="0" w:space="0" w:color="auto"/>
            <w:right w:val="none" w:sz="0" w:space="0" w:color="auto"/>
          </w:divBdr>
        </w:div>
        <w:div w:id="2085712526">
          <w:marLeft w:val="0"/>
          <w:marRight w:val="0"/>
          <w:marTop w:val="0"/>
          <w:marBottom w:val="0"/>
          <w:divBdr>
            <w:top w:val="none" w:sz="0" w:space="0" w:color="auto"/>
            <w:left w:val="none" w:sz="0" w:space="0" w:color="auto"/>
            <w:bottom w:val="none" w:sz="0" w:space="0" w:color="auto"/>
            <w:right w:val="none" w:sz="0" w:space="0" w:color="auto"/>
          </w:divBdr>
        </w:div>
      </w:divsChild>
    </w:div>
    <w:div w:id="955058799">
      <w:bodyDiv w:val="1"/>
      <w:marLeft w:val="0"/>
      <w:marRight w:val="0"/>
      <w:marTop w:val="0"/>
      <w:marBottom w:val="0"/>
      <w:divBdr>
        <w:top w:val="none" w:sz="0" w:space="0" w:color="auto"/>
        <w:left w:val="none" w:sz="0" w:space="0" w:color="auto"/>
        <w:bottom w:val="none" w:sz="0" w:space="0" w:color="auto"/>
        <w:right w:val="none" w:sz="0" w:space="0" w:color="auto"/>
      </w:divBdr>
    </w:div>
    <w:div w:id="1203591888">
      <w:bodyDiv w:val="1"/>
      <w:marLeft w:val="0"/>
      <w:marRight w:val="0"/>
      <w:marTop w:val="0"/>
      <w:marBottom w:val="0"/>
      <w:divBdr>
        <w:top w:val="none" w:sz="0" w:space="0" w:color="auto"/>
        <w:left w:val="none" w:sz="0" w:space="0" w:color="auto"/>
        <w:bottom w:val="none" w:sz="0" w:space="0" w:color="auto"/>
        <w:right w:val="none" w:sz="0" w:space="0" w:color="auto"/>
      </w:divBdr>
      <w:divsChild>
        <w:div w:id="1705130545">
          <w:marLeft w:val="0"/>
          <w:marRight w:val="0"/>
          <w:marTop w:val="0"/>
          <w:marBottom w:val="0"/>
          <w:divBdr>
            <w:top w:val="none" w:sz="0" w:space="0" w:color="auto"/>
            <w:left w:val="none" w:sz="0" w:space="0" w:color="auto"/>
            <w:bottom w:val="none" w:sz="0" w:space="0" w:color="auto"/>
            <w:right w:val="none" w:sz="0" w:space="0" w:color="auto"/>
          </w:divBdr>
        </w:div>
        <w:div w:id="1739355230">
          <w:marLeft w:val="0"/>
          <w:marRight w:val="0"/>
          <w:marTop w:val="0"/>
          <w:marBottom w:val="0"/>
          <w:divBdr>
            <w:top w:val="none" w:sz="0" w:space="0" w:color="auto"/>
            <w:left w:val="none" w:sz="0" w:space="0" w:color="auto"/>
            <w:bottom w:val="none" w:sz="0" w:space="0" w:color="auto"/>
            <w:right w:val="none" w:sz="0" w:space="0" w:color="auto"/>
          </w:divBdr>
        </w:div>
        <w:div w:id="2121488849">
          <w:marLeft w:val="0"/>
          <w:marRight w:val="0"/>
          <w:marTop w:val="0"/>
          <w:marBottom w:val="0"/>
          <w:divBdr>
            <w:top w:val="none" w:sz="0" w:space="0" w:color="auto"/>
            <w:left w:val="none" w:sz="0" w:space="0" w:color="auto"/>
            <w:bottom w:val="none" w:sz="0" w:space="0" w:color="auto"/>
            <w:right w:val="none" w:sz="0" w:space="0" w:color="auto"/>
          </w:divBdr>
        </w:div>
      </w:divsChild>
    </w:div>
    <w:div w:id="1312948885">
      <w:bodyDiv w:val="1"/>
      <w:marLeft w:val="0"/>
      <w:marRight w:val="0"/>
      <w:marTop w:val="0"/>
      <w:marBottom w:val="0"/>
      <w:divBdr>
        <w:top w:val="none" w:sz="0" w:space="0" w:color="auto"/>
        <w:left w:val="none" w:sz="0" w:space="0" w:color="auto"/>
        <w:bottom w:val="none" w:sz="0" w:space="0" w:color="auto"/>
        <w:right w:val="none" w:sz="0" w:space="0" w:color="auto"/>
      </w:divBdr>
    </w:div>
    <w:div w:id="1316839831">
      <w:bodyDiv w:val="1"/>
      <w:marLeft w:val="0"/>
      <w:marRight w:val="0"/>
      <w:marTop w:val="0"/>
      <w:marBottom w:val="0"/>
      <w:divBdr>
        <w:top w:val="none" w:sz="0" w:space="0" w:color="auto"/>
        <w:left w:val="none" w:sz="0" w:space="0" w:color="auto"/>
        <w:bottom w:val="none" w:sz="0" w:space="0" w:color="auto"/>
        <w:right w:val="none" w:sz="0" w:space="0" w:color="auto"/>
      </w:divBdr>
      <w:divsChild>
        <w:div w:id="1904758666">
          <w:marLeft w:val="0"/>
          <w:marRight w:val="0"/>
          <w:marTop w:val="0"/>
          <w:marBottom w:val="0"/>
          <w:divBdr>
            <w:top w:val="none" w:sz="0" w:space="0" w:color="auto"/>
            <w:left w:val="none" w:sz="0" w:space="0" w:color="auto"/>
            <w:bottom w:val="none" w:sz="0" w:space="0" w:color="auto"/>
            <w:right w:val="none" w:sz="0" w:space="0" w:color="auto"/>
          </w:divBdr>
        </w:div>
        <w:div w:id="437990662">
          <w:marLeft w:val="0"/>
          <w:marRight w:val="0"/>
          <w:marTop w:val="0"/>
          <w:marBottom w:val="0"/>
          <w:divBdr>
            <w:top w:val="none" w:sz="0" w:space="0" w:color="auto"/>
            <w:left w:val="none" w:sz="0" w:space="0" w:color="auto"/>
            <w:bottom w:val="none" w:sz="0" w:space="0" w:color="auto"/>
            <w:right w:val="none" w:sz="0" w:space="0" w:color="auto"/>
          </w:divBdr>
        </w:div>
      </w:divsChild>
    </w:div>
    <w:div w:id="1782992015">
      <w:bodyDiv w:val="1"/>
      <w:marLeft w:val="0"/>
      <w:marRight w:val="0"/>
      <w:marTop w:val="0"/>
      <w:marBottom w:val="0"/>
      <w:divBdr>
        <w:top w:val="none" w:sz="0" w:space="0" w:color="auto"/>
        <w:left w:val="none" w:sz="0" w:space="0" w:color="auto"/>
        <w:bottom w:val="none" w:sz="0" w:space="0" w:color="auto"/>
        <w:right w:val="none" w:sz="0" w:space="0" w:color="auto"/>
      </w:divBdr>
      <w:divsChild>
        <w:div w:id="464472129">
          <w:marLeft w:val="0"/>
          <w:marRight w:val="0"/>
          <w:marTop w:val="0"/>
          <w:marBottom w:val="0"/>
          <w:divBdr>
            <w:top w:val="none" w:sz="0" w:space="0" w:color="auto"/>
            <w:left w:val="none" w:sz="0" w:space="0" w:color="auto"/>
            <w:bottom w:val="none" w:sz="0" w:space="0" w:color="auto"/>
            <w:right w:val="none" w:sz="0" w:space="0" w:color="auto"/>
          </w:divBdr>
        </w:div>
        <w:div w:id="1973435052">
          <w:marLeft w:val="0"/>
          <w:marRight w:val="0"/>
          <w:marTop w:val="0"/>
          <w:marBottom w:val="0"/>
          <w:divBdr>
            <w:top w:val="none" w:sz="0" w:space="0" w:color="auto"/>
            <w:left w:val="none" w:sz="0" w:space="0" w:color="auto"/>
            <w:bottom w:val="none" w:sz="0" w:space="0" w:color="auto"/>
            <w:right w:val="none" w:sz="0" w:space="0" w:color="auto"/>
          </w:divBdr>
        </w:div>
      </w:divsChild>
    </w:div>
    <w:div w:id="1853102039">
      <w:bodyDiv w:val="1"/>
      <w:marLeft w:val="0"/>
      <w:marRight w:val="0"/>
      <w:marTop w:val="0"/>
      <w:marBottom w:val="0"/>
      <w:divBdr>
        <w:top w:val="none" w:sz="0" w:space="0" w:color="auto"/>
        <w:left w:val="none" w:sz="0" w:space="0" w:color="auto"/>
        <w:bottom w:val="none" w:sz="0" w:space="0" w:color="auto"/>
        <w:right w:val="none" w:sz="0" w:space="0" w:color="auto"/>
      </w:divBdr>
    </w:div>
    <w:div w:id="1888224132">
      <w:bodyDiv w:val="1"/>
      <w:marLeft w:val="0"/>
      <w:marRight w:val="0"/>
      <w:marTop w:val="0"/>
      <w:marBottom w:val="0"/>
      <w:divBdr>
        <w:top w:val="none" w:sz="0" w:space="0" w:color="auto"/>
        <w:left w:val="none" w:sz="0" w:space="0" w:color="auto"/>
        <w:bottom w:val="none" w:sz="0" w:space="0" w:color="auto"/>
        <w:right w:val="none" w:sz="0" w:space="0" w:color="auto"/>
      </w:divBdr>
    </w:div>
    <w:div w:id="1931692217">
      <w:bodyDiv w:val="1"/>
      <w:marLeft w:val="0"/>
      <w:marRight w:val="0"/>
      <w:marTop w:val="0"/>
      <w:marBottom w:val="0"/>
      <w:divBdr>
        <w:top w:val="none" w:sz="0" w:space="0" w:color="auto"/>
        <w:left w:val="none" w:sz="0" w:space="0" w:color="auto"/>
        <w:bottom w:val="none" w:sz="0" w:space="0" w:color="auto"/>
        <w:right w:val="none" w:sz="0" w:space="0" w:color="auto"/>
      </w:divBdr>
    </w:div>
    <w:div w:id="2071272579">
      <w:bodyDiv w:val="1"/>
      <w:marLeft w:val="0"/>
      <w:marRight w:val="0"/>
      <w:marTop w:val="0"/>
      <w:marBottom w:val="0"/>
      <w:divBdr>
        <w:top w:val="none" w:sz="0" w:space="0" w:color="auto"/>
        <w:left w:val="none" w:sz="0" w:space="0" w:color="auto"/>
        <w:bottom w:val="none" w:sz="0" w:space="0" w:color="auto"/>
        <w:right w:val="none" w:sz="0" w:space="0" w:color="auto"/>
      </w:divBdr>
    </w:div>
    <w:div w:id="2127001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B4CB7-F192-47F3-906A-F8E0219CE67F}">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2409</Words>
  <Characters>13733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16110</CharactersWithSpaces>
  <SharedDoc>false</SharedDoc>
  <HLinks>
    <vt:vector size="96" baseType="variant">
      <vt:variant>
        <vt:i4>1507377</vt:i4>
      </vt:variant>
      <vt:variant>
        <vt:i4>89</vt:i4>
      </vt:variant>
      <vt:variant>
        <vt:i4>0</vt:i4>
      </vt:variant>
      <vt:variant>
        <vt:i4>5</vt:i4>
      </vt:variant>
      <vt:variant>
        <vt:lpwstr/>
      </vt:variant>
      <vt:variant>
        <vt:lpwstr>_Toc179114827</vt:lpwstr>
      </vt:variant>
      <vt:variant>
        <vt:i4>1507377</vt:i4>
      </vt:variant>
      <vt:variant>
        <vt:i4>86</vt:i4>
      </vt:variant>
      <vt:variant>
        <vt:i4>0</vt:i4>
      </vt:variant>
      <vt:variant>
        <vt:i4>5</vt:i4>
      </vt:variant>
      <vt:variant>
        <vt:lpwstr/>
      </vt:variant>
      <vt:variant>
        <vt:lpwstr>_Toc179114826</vt:lpwstr>
      </vt:variant>
      <vt:variant>
        <vt:i4>1507377</vt:i4>
      </vt:variant>
      <vt:variant>
        <vt:i4>83</vt:i4>
      </vt:variant>
      <vt:variant>
        <vt:i4>0</vt:i4>
      </vt:variant>
      <vt:variant>
        <vt:i4>5</vt:i4>
      </vt:variant>
      <vt:variant>
        <vt:lpwstr/>
      </vt:variant>
      <vt:variant>
        <vt:lpwstr>_Toc179114825</vt:lpwstr>
      </vt:variant>
      <vt:variant>
        <vt:i4>1507377</vt:i4>
      </vt:variant>
      <vt:variant>
        <vt:i4>80</vt:i4>
      </vt:variant>
      <vt:variant>
        <vt:i4>0</vt:i4>
      </vt:variant>
      <vt:variant>
        <vt:i4>5</vt:i4>
      </vt:variant>
      <vt:variant>
        <vt:lpwstr/>
      </vt:variant>
      <vt:variant>
        <vt:lpwstr>_Toc179114824</vt:lpwstr>
      </vt:variant>
      <vt:variant>
        <vt:i4>1507377</vt:i4>
      </vt:variant>
      <vt:variant>
        <vt:i4>77</vt:i4>
      </vt:variant>
      <vt:variant>
        <vt:i4>0</vt:i4>
      </vt:variant>
      <vt:variant>
        <vt:i4>5</vt:i4>
      </vt:variant>
      <vt:variant>
        <vt:lpwstr/>
      </vt:variant>
      <vt:variant>
        <vt:lpwstr>_Toc179114823</vt:lpwstr>
      </vt:variant>
      <vt:variant>
        <vt:i4>1507377</vt:i4>
      </vt:variant>
      <vt:variant>
        <vt:i4>74</vt:i4>
      </vt:variant>
      <vt:variant>
        <vt:i4>0</vt:i4>
      </vt:variant>
      <vt:variant>
        <vt:i4>5</vt:i4>
      </vt:variant>
      <vt:variant>
        <vt:lpwstr/>
      </vt:variant>
      <vt:variant>
        <vt:lpwstr>_Toc179114822</vt:lpwstr>
      </vt:variant>
      <vt:variant>
        <vt:i4>1507377</vt:i4>
      </vt:variant>
      <vt:variant>
        <vt:i4>71</vt:i4>
      </vt:variant>
      <vt:variant>
        <vt:i4>0</vt:i4>
      </vt:variant>
      <vt:variant>
        <vt:i4>5</vt:i4>
      </vt:variant>
      <vt:variant>
        <vt:lpwstr/>
      </vt:variant>
      <vt:variant>
        <vt:lpwstr>_Toc179114821</vt:lpwstr>
      </vt:variant>
      <vt:variant>
        <vt:i4>1507377</vt:i4>
      </vt:variant>
      <vt:variant>
        <vt:i4>68</vt:i4>
      </vt:variant>
      <vt:variant>
        <vt:i4>0</vt:i4>
      </vt:variant>
      <vt:variant>
        <vt:i4>5</vt:i4>
      </vt:variant>
      <vt:variant>
        <vt:lpwstr/>
      </vt:variant>
      <vt:variant>
        <vt:lpwstr>_Toc179114820</vt:lpwstr>
      </vt:variant>
      <vt:variant>
        <vt:i4>1310769</vt:i4>
      </vt:variant>
      <vt:variant>
        <vt:i4>65</vt:i4>
      </vt:variant>
      <vt:variant>
        <vt:i4>0</vt:i4>
      </vt:variant>
      <vt:variant>
        <vt:i4>5</vt:i4>
      </vt:variant>
      <vt:variant>
        <vt:lpwstr/>
      </vt:variant>
      <vt:variant>
        <vt:lpwstr>_Toc179114819</vt:lpwstr>
      </vt:variant>
      <vt:variant>
        <vt:i4>1310769</vt:i4>
      </vt:variant>
      <vt:variant>
        <vt:i4>62</vt:i4>
      </vt:variant>
      <vt:variant>
        <vt:i4>0</vt:i4>
      </vt:variant>
      <vt:variant>
        <vt:i4>5</vt:i4>
      </vt:variant>
      <vt:variant>
        <vt:lpwstr/>
      </vt:variant>
      <vt:variant>
        <vt:lpwstr>_Toc179114818</vt:lpwstr>
      </vt:variant>
      <vt:variant>
        <vt:i4>1310769</vt:i4>
      </vt:variant>
      <vt:variant>
        <vt:i4>59</vt:i4>
      </vt:variant>
      <vt:variant>
        <vt:i4>0</vt:i4>
      </vt:variant>
      <vt:variant>
        <vt:i4>5</vt:i4>
      </vt:variant>
      <vt:variant>
        <vt:lpwstr/>
      </vt:variant>
      <vt:variant>
        <vt:lpwstr>_Toc179114817</vt:lpwstr>
      </vt:variant>
      <vt:variant>
        <vt:i4>1310769</vt:i4>
      </vt:variant>
      <vt:variant>
        <vt:i4>56</vt:i4>
      </vt:variant>
      <vt:variant>
        <vt:i4>0</vt:i4>
      </vt:variant>
      <vt:variant>
        <vt:i4>5</vt:i4>
      </vt:variant>
      <vt:variant>
        <vt:lpwstr/>
      </vt:variant>
      <vt:variant>
        <vt:lpwstr>_Toc179114816</vt:lpwstr>
      </vt:variant>
      <vt:variant>
        <vt:i4>1310769</vt:i4>
      </vt:variant>
      <vt:variant>
        <vt:i4>53</vt:i4>
      </vt:variant>
      <vt:variant>
        <vt:i4>0</vt:i4>
      </vt:variant>
      <vt:variant>
        <vt:i4>5</vt:i4>
      </vt:variant>
      <vt:variant>
        <vt:lpwstr/>
      </vt:variant>
      <vt:variant>
        <vt:lpwstr>_Toc179114815</vt:lpwstr>
      </vt:variant>
      <vt:variant>
        <vt:i4>1310769</vt:i4>
      </vt:variant>
      <vt:variant>
        <vt:i4>50</vt:i4>
      </vt:variant>
      <vt:variant>
        <vt:i4>0</vt:i4>
      </vt:variant>
      <vt:variant>
        <vt:i4>5</vt:i4>
      </vt:variant>
      <vt:variant>
        <vt:lpwstr/>
      </vt:variant>
      <vt:variant>
        <vt:lpwstr>_Toc179114814</vt:lpwstr>
      </vt:variant>
      <vt:variant>
        <vt:i4>1310769</vt:i4>
      </vt:variant>
      <vt:variant>
        <vt:i4>47</vt:i4>
      </vt:variant>
      <vt:variant>
        <vt:i4>0</vt:i4>
      </vt:variant>
      <vt:variant>
        <vt:i4>5</vt:i4>
      </vt:variant>
      <vt:variant>
        <vt:lpwstr/>
      </vt:variant>
      <vt:variant>
        <vt:lpwstr>_Toc179114813</vt:lpwstr>
      </vt:variant>
      <vt:variant>
        <vt:i4>1966203</vt:i4>
      </vt:variant>
      <vt:variant>
        <vt:i4>0</vt:i4>
      </vt:variant>
      <vt:variant>
        <vt:i4>0</vt:i4>
      </vt:variant>
      <vt:variant>
        <vt:i4>5</vt:i4>
      </vt:variant>
      <vt:variant>
        <vt:lpwstr>mailto:ali.karimidehkordi@nokia.com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2024-10-07T15:33:00Z</dcterms:created>
  <dcterms:modified xsi:type="dcterms:W3CDTF">2025-03-28T17:49:00Z</dcterms:modified>
</cp:coreProperties>
</file>