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3AACB" w14:textId="55A53C08" w:rsidR="00236F76" w:rsidRDefault="00236F76" w:rsidP="00236F76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14-bis    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</w:t>
      </w:r>
      <w:r w:rsidR="003A01CB" w:rsidRPr="003A01CB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R4-2503404</w:t>
      </w:r>
    </w:p>
    <w:p w14:paraId="77BBF53A" w14:textId="77777777" w:rsidR="00236F76" w:rsidRDefault="00236F76" w:rsidP="00236F76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kern w:val="0"/>
          <w:sz w:val="24"/>
          <w:szCs w:val="24"/>
        </w:rPr>
        <w:t>Wuhan, China, 7th –11th April, 2025</w:t>
      </w:r>
      <w:bookmarkEnd w:id="0"/>
    </w:p>
    <w:p w14:paraId="57C5235D" w14:textId="77777777" w:rsidR="0095524F" w:rsidRDefault="0095524F"/>
    <w:p w14:paraId="40EA81E6" w14:textId="45E9C99E" w:rsidR="0095524F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E3CBE">
        <w:rPr>
          <w:rFonts w:ascii="Arial" w:hAnsi="Arial" w:cs="Arial" w:hint="eastAsia"/>
          <w:b/>
          <w:sz w:val="24"/>
          <w:szCs w:val="24"/>
        </w:rPr>
        <w:t>7</w:t>
      </w:r>
      <w:r w:rsidR="00B84F88">
        <w:rPr>
          <w:rFonts w:ascii="Arial" w:hAnsi="Arial" w:cs="Arial" w:hint="eastAsia"/>
          <w:b/>
          <w:sz w:val="24"/>
          <w:szCs w:val="24"/>
        </w:rPr>
        <w:t>.2</w:t>
      </w:r>
      <w:r w:rsidR="00B20D0A">
        <w:rPr>
          <w:rFonts w:ascii="Arial" w:hAnsi="Arial" w:cs="Arial" w:hint="eastAsia"/>
          <w:b/>
          <w:sz w:val="24"/>
          <w:szCs w:val="24"/>
        </w:rPr>
        <w:t>3</w:t>
      </w:r>
      <w:r w:rsidR="00B84F88">
        <w:rPr>
          <w:rFonts w:ascii="Arial" w:hAnsi="Arial" w:cs="Arial" w:hint="eastAsia"/>
          <w:b/>
          <w:sz w:val="24"/>
          <w:szCs w:val="24"/>
        </w:rPr>
        <w:t>.2.1</w:t>
      </w:r>
    </w:p>
    <w:p w14:paraId="7F862998" w14:textId="77777777" w:rsidR="0095524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58F6B2A4" w14:textId="7DD6A9FF" w:rsidR="0095524F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 new RF requirement for SBFD</w:t>
      </w:r>
    </w:p>
    <w:p w14:paraId="0B301253" w14:textId="77777777" w:rsidR="0095524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4E3BBE56" w14:textId="77777777" w:rsidR="0095524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501CE52" w14:textId="79164D7F" w:rsidR="0095524F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1154FAE8" w14:textId="1A1900EA" w:rsidR="0095524F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 [</w:t>
      </w:r>
      <w:r w:rsidR="0006138C">
        <w:rPr>
          <w:rFonts w:ascii="Times New Roman" w:hAnsi="Times New Roman" w:hint="eastAsia"/>
          <w:sz w:val="20"/>
        </w:rPr>
        <w:t>2</w:t>
      </w:r>
      <w:r>
        <w:rPr>
          <w:rFonts w:ascii="Times New Roman" w:hAnsi="Times New Roman" w:hint="eastAsia"/>
          <w:sz w:val="20"/>
        </w:rPr>
        <w:t>]</w:t>
      </w:r>
    </w:p>
    <w:p w14:paraId="042A44F7" w14:textId="77777777" w:rsidR="0095524F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64A4716C" w14:textId="77777777" w:rsidR="0095524F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643AD7F9" w14:textId="78C0202A" w:rsidR="0095524F" w:rsidRDefault="00000000">
      <w:pPr>
        <w:pStyle w:val="3"/>
        <w:spacing w:before="156" w:after="156"/>
      </w:pPr>
      <w:bookmarkStart w:id="1" w:name="_Hlk189498289"/>
      <w:r>
        <w:rPr>
          <w:rFonts w:hint="eastAsia"/>
        </w:rPr>
        <w:t>2.</w:t>
      </w:r>
      <w:r w:rsidR="00C8091E">
        <w:rPr>
          <w:rFonts w:hint="eastAsia"/>
        </w:rPr>
        <w:t>1</w:t>
      </w:r>
      <w:r>
        <w:rPr>
          <w:rFonts w:hint="eastAsia"/>
        </w:rPr>
        <w:t xml:space="preserve"> </w:t>
      </w:r>
      <w:r w:rsidR="00B20D0A" w:rsidRPr="00B20D0A">
        <w:t>Location of transient period between SBFD and non-SBFD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64AB4" w14:paraId="1E067AFE" w14:textId="77777777" w:rsidTr="00164AB4">
        <w:tc>
          <w:tcPr>
            <w:tcW w:w="9736" w:type="dxa"/>
          </w:tcPr>
          <w:bookmarkEnd w:id="1"/>
          <w:p w14:paraId="07D4FB51" w14:textId="77777777" w:rsidR="00164AB4" w:rsidRPr="00164AB4" w:rsidRDefault="00164AB4" w:rsidP="00164AB4">
            <w:pPr>
              <w:spacing w:after="120"/>
              <w:rPr>
                <w:rFonts w:ascii="Times New Roman" w:hAnsi="Times New Roman"/>
                <w:sz w:val="20"/>
                <w:szCs w:val="20"/>
                <w:highlight w:val="green"/>
                <w:lang w:val="en-US"/>
              </w:rPr>
            </w:pPr>
            <w:r w:rsidRPr="00164AB4">
              <w:rPr>
                <w:rFonts w:ascii="Times New Roman" w:hAnsi="Times New Roman"/>
                <w:sz w:val="20"/>
                <w:szCs w:val="20"/>
                <w:highlight w:val="green"/>
                <w:lang w:val="en-US"/>
              </w:rPr>
              <w:t xml:space="preserve">Agreement: </w:t>
            </w:r>
          </w:p>
          <w:p w14:paraId="10B9F45F" w14:textId="77777777" w:rsidR="00164AB4" w:rsidRPr="00164AB4" w:rsidRDefault="00164AB4" w:rsidP="00164AB4">
            <w:pPr>
              <w:pStyle w:val="af6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RAN4 reach the conclusion of the location of transient periods: </w:t>
            </w:r>
          </w:p>
          <w:p w14:paraId="48E09EDA" w14:textId="77777777" w:rsidR="00164AB4" w:rsidRPr="00164AB4" w:rsidRDefault="00164AB4" w:rsidP="00164AB4">
            <w:pPr>
              <w:pStyle w:val="af6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Case-A: in </w:t>
            </w:r>
            <w:proofErr w:type="spellStart"/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>TA_offset</w:t>
            </w:r>
            <w:proofErr w:type="spellEnd"/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SBFD symbol(s); </w:t>
            </w:r>
          </w:p>
          <w:p w14:paraId="6C3AEFD4" w14:textId="77777777" w:rsidR="00164AB4" w:rsidRPr="00164AB4" w:rsidRDefault="00164AB4" w:rsidP="00164AB4">
            <w:pPr>
              <w:pStyle w:val="af6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>Case-B: in guard symbol(s) reserved before UL non-SBFD symbols</w:t>
            </w:r>
          </w:p>
          <w:p w14:paraId="2C0F81AB" w14:textId="77777777" w:rsidR="00164AB4" w:rsidRPr="00164AB4" w:rsidRDefault="00164AB4" w:rsidP="00164AB4">
            <w:pPr>
              <w:pStyle w:val="af6"/>
              <w:widowControl/>
              <w:numPr>
                <w:ilvl w:val="2"/>
                <w:numId w:val="2"/>
              </w:numPr>
              <w:spacing w:after="12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FFS guard symbol(s) in this case is SBFD symbol or not. </w:t>
            </w:r>
          </w:p>
          <w:p w14:paraId="69EE3517" w14:textId="77777777" w:rsidR="00164AB4" w:rsidRPr="00164AB4" w:rsidRDefault="00164AB4" w:rsidP="00164AB4">
            <w:pPr>
              <w:pStyle w:val="af6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>Case-C: FFS in guard symbol(s) reserved in non-SBFD DL symbol(s) or blanked SBFD symbols in the beginning of SBFD UL transmission:</w:t>
            </w:r>
          </w:p>
          <w:p w14:paraId="7277A77E" w14:textId="77777777" w:rsidR="00164AB4" w:rsidRPr="00164AB4" w:rsidRDefault="00164AB4" w:rsidP="00164AB4">
            <w:pPr>
              <w:pStyle w:val="af6"/>
              <w:widowControl/>
              <w:numPr>
                <w:ilvl w:val="2"/>
                <w:numId w:val="2"/>
              </w:numPr>
              <w:spacing w:after="12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RAN4 recognize that it can be dependent on RAN1 discussion for guard period design. </w:t>
            </w:r>
          </w:p>
          <w:p w14:paraId="73617B71" w14:textId="77777777" w:rsidR="00164AB4" w:rsidRPr="00164AB4" w:rsidRDefault="00164AB4" w:rsidP="00164AB4">
            <w:pPr>
              <w:pStyle w:val="af6"/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If still no RAN4 agreement can be achieved in RAN4#114bis, RAN4 shall </w:t>
            </w:r>
          </w:p>
          <w:p w14:paraId="7DC982D3" w14:textId="77777777" w:rsidR="00164AB4" w:rsidRPr="00164AB4" w:rsidRDefault="00164AB4" w:rsidP="00164AB4">
            <w:pPr>
              <w:pStyle w:val="af6"/>
              <w:widowControl/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>either send LS to RAN1 to ask for clarification,</w:t>
            </w:r>
          </w:p>
          <w:p w14:paraId="36ACE4B2" w14:textId="77777777" w:rsidR="00164AB4" w:rsidRPr="00164AB4" w:rsidRDefault="00164AB4" w:rsidP="00164AB4">
            <w:pPr>
              <w:pStyle w:val="af6"/>
              <w:widowControl/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or conclude the location of transient period between SBFD and non-SBFD as </w:t>
            </w:r>
            <w:proofErr w:type="spellStart"/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>gNB</w:t>
            </w:r>
            <w:proofErr w:type="spellEnd"/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implementation issue without RAN4 requirement impact.</w:t>
            </w:r>
          </w:p>
          <w:p w14:paraId="21CE46E0" w14:textId="77777777" w:rsidR="00164AB4" w:rsidRPr="00164AB4" w:rsidRDefault="00164AB4" w:rsidP="00164AB4">
            <w:pPr>
              <w:pStyle w:val="af6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Case-D: in </w:t>
            </w:r>
            <w:proofErr w:type="spellStart"/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>TA_offset</w:t>
            </w:r>
            <w:proofErr w:type="spellEnd"/>
            <w:r w:rsidRPr="00164A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non-SBFD UL symbol(s).</w:t>
            </w:r>
          </w:p>
          <w:p w14:paraId="3FB99AEF" w14:textId="77777777" w:rsidR="00164AB4" w:rsidRPr="00164AB4" w:rsidRDefault="00164AB4" w:rsidP="00D4777B">
            <w:pPr>
              <w:pStyle w:val="af6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4AB4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Note: The illustrative figure for Case A, B, C and D is provided below: </w:t>
            </w:r>
          </w:p>
          <w:p w14:paraId="3136CA95" w14:textId="13B3C84D" w:rsidR="00164AB4" w:rsidRPr="00164AB4" w:rsidRDefault="00164AB4" w:rsidP="00164AB4">
            <w:pPr>
              <w:widowControl/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8D01FA">
              <w:rPr>
                <w:rFonts w:eastAsia="Malgun Gothic"/>
                <w:noProof/>
                <w:sz w:val="18"/>
                <w:szCs w:val="18"/>
              </w:rPr>
              <w:lastRenderedPageBreak/>
              <w:drawing>
                <wp:inline distT="0" distB="0" distL="0" distR="0" wp14:anchorId="7317E718" wp14:editId="77097B9A">
                  <wp:extent cx="3611218" cy="1810286"/>
                  <wp:effectExtent l="0" t="0" r="8890" b="0"/>
                  <wp:docPr id="22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99A5051-F03E-49EC-9F9D-D741A39E1CF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399A5051-F03E-49EC-9F9D-D741A39E1C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5789" cy="181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64736F" w14:textId="77777777" w:rsidR="000A608B" w:rsidRDefault="000A608B" w:rsidP="00D4777B">
      <w:pPr>
        <w:spacing w:after="120"/>
        <w:rPr>
          <w:rFonts w:ascii="Times New Roman" w:hAnsi="Times New Roman"/>
          <w:sz w:val="20"/>
          <w:szCs w:val="20"/>
        </w:rPr>
      </w:pPr>
    </w:p>
    <w:p w14:paraId="19F10E83" w14:textId="1E63008E" w:rsidR="00D4777B" w:rsidRDefault="00AB2C37" w:rsidP="00D4777B">
      <w:pPr>
        <w:spacing w:after="120"/>
        <w:rPr>
          <w:rFonts w:ascii="Times New Roman" w:hAnsi="Times New Roman"/>
          <w:sz w:val="20"/>
          <w:szCs w:val="20"/>
        </w:rPr>
      </w:pPr>
      <w:r w:rsidRPr="00AB2C37">
        <w:rPr>
          <w:rFonts w:ascii="Times New Roman" w:hAnsi="Times New Roman"/>
          <w:sz w:val="20"/>
          <w:szCs w:val="20"/>
        </w:rPr>
        <w:t xml:space="preserve">We </w:t>
      </w:r>
      <w:r>
        <w:rPr>
          <w:rFonts w:ascii="Times New Roman" w:hAnsi="Times New Roman" w:hint="eastAsia"/>
          <w:sz w:val="20"/>
          <w:szCs w:val="20"/>
        </w:rPr>
        <w:t>think</w:t>
      </w:r>
      <w:r w:rsidRPr="00AB2C3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set</w:t>
      </w:r>
      <w:r w:rsidRPr="00AB2C37">
        <w:rPr>
          <w:rFonts w:ascii="Times New Roman" w:hAnsi="Times New Roman"/>
          <w:sz w:val="20"/>
          <w:szCs w:val="20"/>
        </w:rPr>
        <w:t xml:space="preserve"> </w:t>
      </w:r>
      <w:bookmarkStart w:id="2" w:name="OLE_LINK12"/>
      <w:r w:rsidRPr="00AB2C37">
        <w:rPr>
          <w:rFonts w:ascii="Times New Roman" w:hAnsi="Times New Roman"/>
          <w:sz w:val="20"/>
          <w:szCs w:val="20"/>
        </w:rPr>
        <w:t>transient period between SBFD and non-SBFD</w:t>
      </w:r>
      <w:bookmarkEnd w:id="2"/>
      <w:r w:rsidRPr="00AB2C37">
        <w:rPr>
          <w:rFonts w:ascii="Times New Roman" w:hAnsi="Times New Roman"/>
          <w:sz w:val="20"/>
          <w:szCs w:val="20"/>
        </w:rPr>
        <w:t xml:space="preserve"> within the guard period </w:t>
      </w:r>
      <w:r>
        <w:rPr>
          <w:rFonts w:ascii="Times New Roman" w:hAnsi="Times New Roman" w:hint="eastAsia"/>
          <w:sz w:val="20"/>
          <w:szCs w:val="20"/>
        </w:rPr>
        <w:t>is</w:t>
      </w:r>
      <w:r w:rsidRPr="00AB2C37">
        <w:rPr>
          <w:rFonts w:ascii="Times New Roman" w:hAnsi="Times New Roman"/>
          <w:sz w:val="20"/>
          <w:szCs w:val="20"/>
        </w:rPr>
        <w:t xml:space="preserve"> superior alternative. On the one hand, the duration of the guard period is longer than that of transient periods. </w:t>
      </w:r>
      <w:r>
        <w:rPr>
          <w:rFonts w:ascii="Times New Roman" w:hAnsi="Times New Roman" w:hint="eastAsia"/>
          <w:sz w:val="20"/>
          <w:szCs w:val="20"/>
        </w:rPr>
        <w:t>On the other hand</w:t>
      </w:r>
      <w:r w:rsidRPr="00AB2C37">
        <w:rPr>
          <w:rFonts w:ascii="Times New Roman" w:hAnsi="Times New Roman"/>
          <w:sz w:val="20"/>
          <w:szCs w:val="20"/>
        </w:rPr>
        <w:t xml:space="preserve">, </w:t>
      </w:r>
      <w:r w:rsidR="00C86560" w:rsidRPr="00C86560">
        <w:rPr>
          <w:rFonts w:ascii="Times New Roman" w:hAnsi="Times New Roman"/>
          <w:sz w:val="20"/>
          <w:szCs w:val="20"/>
        </w:rPr>
        <w:t>it can avoid impacts on traditional TDD and SBFD</w:t>
      </w:r>
      <w:r w:rsidRPr="00AB2C37">
        <w:rPr>
          <w:rFonts w:ascii="Times New Roman" w:hAnsi="Times New Roman"/>
          <w:sz w:val="20"/>
          <w:szCs w:val="20"/>
        </w:rPr>
        <w:t xml:space="preserve"> operations. Given the critical role that TDD and SBFD play in maintaining the seamless functioning of contemporary communication networks, preserving their stability and efficiency is of paramount importance. However, </w:t>
      </w:r>
      <w:r w:rsidR="00C86560" w:rsidRPr="00C86560">
        <w:rPr>
          <w:rFonts w:ascii="Times New Roman" w:hAnsi="Times New Roman"/>
          <w:sz w:val="20"/>
          <w:szCs w:val="20"/>
        </w:rPr>
        <w:t>this issue needs to wait for further progress from RAN1.</w:t>
      </w:r>
    </w:p>
    <w:p w14:paraId="094C9F37" w14:textId="6368D1D9" w:rsidR="00D4777B" w:rsidRDefault="0073586A" w:rsidP="00D4777B">
      <w:pPr>
        <w:spacing w:after="120"/>
        <w:rPr>
          <w:rFonts w:ascii="Times New Roman" w:hAnsi="Times New Roman"/>
          <w:b/>
          <w:bCs/>
          <w:sz w:val="20"/>
          <w:szCs w:val="20"/>
        </w:rPr>
      </w:pPr>
      <w:r w:rsidRPr="0073586A">
        <w:rPr>
          <w:rFonts w:ascii="Times New Roman" w:hAnsi="Times New Roman" w:hint="eastAsia"/>
          <w:b/>
          <w:bCs/>
          <w:sz w:val="20"/>
          <w:szCs w:val="20"/>
        </w:rPr>
        <w:t>Proposal 1:</w:t>
      </w:r>
      <w:r w:rsidR="00C86560">
        <w:rPr>
          <w:rFonts w:ascii="Times New Roman" w:hAnsi="Times New Roman" w:hint="eastAsia"/>
          <w:b/>
          <w:bCs/>
          <w:sz w:val="20"/>
          <w:szCs w:val="20"/>
        </w:rPr>
        <w:t xml:space="preserve"> T</w:t>
      </w:r>
      <w:r w:rsidR="00C86560" w:rsidRPr="00C86560">
        <w:rPr>
          <w:rFonts w:ascii="Times New Roman" w:hAnsi="Times New Roman"/>
          <w:b/>
          <w:bCs/>
          <w:sz w:val="20"/>
          <w:szCs w:val="20"/>
        </w:rPr>
        <w:t>ransient period between SBFD and non-SBFD</w:t>
      </w:r>
      <w:r w:rsidR="00C86560">
        <w:rPr>
          <w:rFonts w:ascii="Times New Roman" w:hAnsi="Times New Roman" w:hint="eastAsia"/>
          <w:b/>
          <w:bCs/>
          <w:sz w:val="20"/>
          <w:szCs w:val="20"/>
        </w:rPr>
        <w:t xml:space="preserve"> could be set</w:t>
      </w:r>
      <w:r w:rsidR="00164AB4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C86560" w:rsidRPr="00C86560">
        <w:rPr>
          <w:rFonts w:ascii="Times New Roman" w:hAnsi="Times New Roman"/>
          <w:b/>
          <w:bCs/>
          <w:sz w:val="20"/>
          <w:szCs w:val="20"/>
        </w:rPr>
        <w:t>in guard symbol(s)</w:t>
      </w:r>
      <w:r w:rsidR="00C86560">
        <w:rPr>
          <w:rFonts w:ascii="Times New Roman" w:hAnsi="Times New Roman" w:hint="eastAsia"/>
          <w:b/>
          <w:bCs/>
          <w:sz w:val="20"/>
          <w:szCs w:val="20"/>
        </w:rPr>
        <w:t>, and wait for the conclusion for the location of the guard period from RAN1</w:t>
      </w:r>
      <w:r w:rsidRPr="0073586A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650090A6" w14:textId="2D911E19" w:rsidR="0073586A" w:rsidRPr="0073586A" w:rsidRDefault="0073586A" w:rsidP="0073586A">
      <w:pPr>
        <w:pStyle w:val="3"/>
        <w:spacing w:before="156" w:after="156"/>
      </w:pPr>
      <w:bookmarkStart w:id="3" w:name="_Hlk193824286"/>
      <w:r>
        <w:rPr>
          <w:rFonts w:hint="eastAsia"/>
        </w:rPr>
        <w:t>2.2 I</w:t>
      </w:r>
      <w:r w:rsidRPr="0073586A">
        <w:t xml:space="preserve">n-channel adjacent </w:t>
      </w:r>
      <w:proofErr w:type="spellStart"/>
      <w:r w:rsidRPr="0073586A">
        <w:t>subband</w:t>
      </w:r>
      <w:proofErr w:type="spellEnd"/>
      <w:r w:rsidRPr="0073586A">
        <w:t xml:space="preserve"> leakage ratio requirements</w:t>
      </w:r>
    </w:p>
    <w:bookmarkEnd w:id="3"/>
    <w:p w14:paraId="407C5E8C" w14:textId="29FE24DC" w:rsidR="0095524F" w:rsidRDefault="0073586A">
      <w:pPr>
        <w:rPr>
          <w:rFonts w:ascii="Times New Roman" w:hAnsi="Times New Roman"/>
          <w:sz w:val="20"/>
          <w:szCs w:val="20"/>
        </w:rPr>
      </w:pPr>
      <w:r w:rsidRPr="0073586A">
        <w:rPr>
          <w:rFonts w:ascii="Times New Roman" w:hAnsi="Times New Roman"/>
          <w:sz w:val="20"/>
          <w:szCs w:val="20"/>
        </w:rPr>
        <w:t>In last meeting, agreements are listed as below</w:t>
      </w:r>
      <w:r>
        <w:rPr>
          <w:rFonts w:ascii="Times New Roman" w:hAnsi="Times New Roman" w:hint="eastAsia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5524F" w14:paraId="10F576B4" w14:textId="77777777">
        <w:tc>
          <w:tcPr>
            <w:tcW w:w="9962" w:type="dxa"/>
          </w:tcPr>
          <w:p w14:paraId="5EF9A4E3" w14:textId="77777777" w:rsidR="00C96DC7" w:rsidRPr="00C96DC7" w:rsidRDefault="00C96DC7" w:rsidP="00C96DC7">
            <w:pPr>
              <w:spacing w:after="120"/>
              <w:rPr>
                <w:rFonts w:ascii="Times New Roman" w:hAnsi="Times New Roman"/>
                <w:sz w:val="20"/>
                <w:szCs w:val="20"/>
                <w:highlight w:val="green"/>
                <w:lang w:val="en-US"/>
              </w:rPr>
            </w:pPr>
            <w:r w:rsidRPr="00C96DC7">
              <w:rPr>
                <w:rFonts w:ascii="Times New Roman" w:hAnsi="Times New Roman"/>
                <w:sz w:val="20"/>
                <w:szCs w:val="20"/>
                <w:highlight w:val="green"/>
                <w:lang w:val="en-US"/>
              </w:rPr>
              <w:t xml:space="preserve">Agreement: </w:t>
            </w:r>
          </w:p>
          <w:p w14:paraId="2A378629" w14:textId="77777777" w:rsidR="00C96DC7" w:rsidRPr="00C96DC7" w:rsidRDefault="00C96DC7" w:rsidP="00C96DC7">
            <w:pPr>
              <w:pStyle w:val="af6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C96DC7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New requirement for</w:t>
            </w:r>
            <w:r w:rsidRPr="00C96DC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In-channel adjacent </w:t>
            </w:r>
            <w:proofErr w:type="spellStart"/>
            <w:r w:rsidRPr="00C96DC7">
              <w:rPr>
                <w:rFonts w:ascii="Times New Roman" w:hAnsi="Times New Roman"/>
                <w:sz w:val="20"/>
                <w:szCs w:val="20"/>
                <w:lang w:eastAsia="zh-CN"/>
              </w:rPr>
              <w:t>subband</w:t>
            </w:r>
            <w:proofErr w:type="spellEnd"/>
            <w:r w:rsidRPr="00C96DC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leakage ratio: </w:t>
            </w:r>
          </w:p>
          <w:p w14:paraId="2F22A9BD" w14:textId="77777777" w:rsidR="00C96DC7" w:rsidRPr="00C96DC7" w:rsidRDefault="00C96DC7" w:rsidP="00C96DC7">
            <w:pPr>
              <w:pStyle w:val="af6"/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C96DC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In-channel adjacent </w:t>
            </w:r>
            <w:proofErr w:type="spellStart"/>
            <w:r w:rsidRPr="00C96DC7">
              <w:rPr>
                <w:rFonts w:ascii="Times New Roman" w:hAnsi="Times New Roman"/>
                <w:sz w:val="20"/>
                <w:szCs w:val="20"/>
                <w:lang w:eastAsia="zh-CN"/>
              </w:rPr>
              <w:t>subband</w:t>
            </w:r>
            <w:proofErr w:type="spellEnd"/>
            <w:r w:rsidRPr="00C96DC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leakage ratio requirement is defined with the existing ACLR requirement in absolute PSD limit value as baseline (i.e., Table 6.6.3.2-2 in TS 38.104 for FR1 and Table 9.7.3.3-2 for FR2 in TS 38.104)</w:t>
            </w:r>
          </w:p>
          <w:p w14:paraId="5FD67F24" w14:textId="77777777" w:rsidR="00C96DC7" w:rsidRPr="00C96DC7" w:rsidRDefault="00C96DC7" w:rsidP="00C96DC7">
            <w:pPr>
              <w:pStyle w:val="af6"/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C96DC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FFS the value for absolute PSD limit </w:t>
            </w:r>
          </w:p>
          <w:p w14:paraId="7E43FAB2" w14:textId="3027A0D7" w:rsidR="0095524F" w:rsidRPr="00C96DC7" w:rsidRDefault="00C96DC7" w:rsidP="00C96DC7">
            <w:pPr>
              <w:pStyle w:val="af6"/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szCs w:val="24"/>
                <w:lang w:eastAsia="zh-CN"/>
              </w:rPr>
            </w:pPr>
            <w:r w:rsidRPr="00C96DC7">
              <w:rPr>
                <w:rFonts w:ascii="Times New Roman" w:hAnsi="Times New Roman"/>
                <w:sz w:val="20"/>
                <w:szCs w:val="20"/>
                <w:lang w:eastAsia="zh-CN"/>
              </w:rPr>
              <w:t>FFS the naming of this requirement, by considering the absolute PSD limit used instead of the ratio. Note that the current naming in TS 38.104 is ACLR absolute limit.</w:t>
            </w:r>
          </w:p>
        </w:tc>
      </w:tr>
    </w:tbl>
    <w:p w14:paraId="33D78A91" w14:textId="77D1ECCA" w:rsidR="0095524F" w:rsidRDefault="0095524F">
      <w:pPr>
        <w:spacing w:after="120"/>
        <w:rPr>
          <w:rFonts w:ascii="Times New Roman" w:hAnsi="Times New Roman"/>
          <w:sz w:val="20"/>
          <w:szCs w:val="20"/>
        </w:rPr>
      </w:pPr>
    </w:p>
    <w:p w14:paraId="74334862" w14:textId="17E258CB" w:rsidR="00E15C1D" w:rsidRDefault="00E15C1D">
      <w:pPr>
        <w:spacing w:beforeLines="50" w:before="156"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existing </w:t>
      </w:r>
      <w:r w:rsidRPr="00E15C1D">
        <w:rPr>
          <w:rFonts w:ascii="Times New Roman" w:hAnsi="Times New Roman"/>
          <w:sz w:val="20"/>
          <w:szCs w:val="20"/>
        </w:rPr>
        <w:t>ACLR absolute basic limit</w:t>
      </w:r>
      <w:r>
        <w:rPr>
          <w:rFonts w:ascii="Times New Roman" w:hAnsi="Times New Roman" w:hint="eastAsia"/>
          <w:sz w:val="20"/>
          <w:szCs w:val="20"/>
        </w:rPr>
        <w:t xml:space="preserve"> requirements in TS 38.104 are shown as below.</w:t>
      </w:r>
    </w:p>
    <w:p w14:paraId="29A7BEE7" w14:textId="77777777" w:rsidR="00E15C1D" w:rsidRPr="00F95B02" w:rsidRDefault="00E15C1D" w:rsidP="00E15C1D">
      <w:pPr>
        <w:pStyle w:val="TH"/>
      </w:pPr>
      <w:r w:rsidRPr="00F95B02">
        <w:lastRenderedPageBreak/>
        <w:t xml:space="preserve">Table 6.6.3.2-2: Base station ACLR absolute </w:t>
      </w:r>
      <w:r w:rsidRPr="00F95B02">
        <w:rPr>
          <w:rFonts w:cs="v5.0.0"/>
          <w:i/>
          <w:iCs/>
        </w:rPr>
        <w:t xml:space="preserve">basic </w:t>
      </w:r>
      <w:r w:rsidRPr="00F95B02">
        <w:rPr>
          <w:i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E15C1D" w:rsidRPr="00F95B02" w14:paraId="763F7AFD" w14:textId="77777777" w:rsidTr="00230F61">
        <w:trPr>
          <w:cantSplit/>
          <w:jc w:val="center"/>
        </w:trPr>
        <w:tc>
          <w:tcPr>
            <w:tcW w:w="2792" w:type="dxa"/>
          </w:tcPr>
          <w:p w14:paraId="23535DB1" w14:textId="77777777" w:rsidR="00E15C1D" w:rsidRPr="00F95B02" w:rsidRDefault="00E15C1D" w:rsidP="00230F61">
            <w:pPr>
              <w:pStyle w:val="TAH"/>
              <w:rPr>
                <w:rFonts w:cs="v5.0.0"/>
              </w:rPr>
            </w:pPr>
            <w:r w:rsidRPr="00F95B02">
              <w:rPr>
                <w:rFonts w:eastAsia="宋体" w:cs="v5.0.0"/>
              </w:rPr>
              <w:t>BS category / BS class</w:t>
            </w:r>
          </w:p>
        </w:tc>
        <w:tc>
          <w:tcPr>
            <w:tcW w:w="3361" w:type="dxa"/>
          </w:tcPr>
          <w:p w14:paraId="503E0480" w14:textId="77777777" w:rsidR="00E15C1D" w:rsidRPr="00F95B02" w:rsidRDefault="00E15C1D" w:rsidP="00230F61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ACLR absolute </w:t>
            </w:r>
            <w:r w:rsidRPr="00F95B02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F95B02">
              <w:rPr>
                <w:rFonts w:cs="v5.0.0"/>
                <w:i/>
              </w:rPr>
              <w:t>limit</w:t>
            </w:r>
          </w:p>
        </w:tc>
      </w:tr>
      <w:tr w:rsidR="00E15C1D" w:rsidRPr="00F95B02" w14:paraId="12E5FDBA" w14:textId="77777777" w:rsidTr="00230F61">
        <w:trPr>
          <w:cantSplit/>
          <w:jc w:val="center"/>
        </w:trPr>
        <w:tc>
          <w:tcPr>
            <w:tcW w:w="2792" w:type="dxa"/>
          </w:tcPr>
          <w:p w14:paraId="7C5E299A" w14:textId="77777777" w:rsidR="00E15C1D" w:rsidRPr="00F95B02" w:rsidRDefault="00E15C1D" w:rsidP="00230F61">
            <w:pPr>
              <w:pStyle w:val="TAC"/>
              <w:rPr>
                <w:rFonts w:eastAsia="宋体" w:cs="v5.0.0"/>
                <w:lang w:eastAsia="zh-CN"/>
              </w:rPr>
            </w:pPr>
            <w:r w:rsidRPr="00F95B02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436EF627" w14:textId="77777777" w:rsidR="00E15C1D" w:rsidRPr="00F95B02" w:rsidRDefault="00E15C1D" w:rsidP="00230F61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-13 dBm/MHz</w:t>
            </w:r>
          </w:p>
        </w:tc>
      </w:tr>
      <w:tr w:rsidR="00E15C1D" w:rsidRPr="00F95B02" w14:paraId="1616AA2B" w14:textId="77777777" w:rsidTr="00230F61">
        <w:trPr>
          <w:cantSplit/>
          <w:jc w:val="center"/>
        </w:trPr>
        <w:tc>
          <w:tcPr>
            <w:tcW w:w="2792" w:type="dxa"/>
          </w:tcPr>
          <w:p w14:paraId="1C438DF5" w14:textId="77777777" w:rsidR="00E15C1D" w:rsidRPr="00F95B02" w:rsidRDefault="00E15C1D" w:rsidP="00230F61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Category B Wide Area BS</w:t>
            </w:r>
          </w:p>
        </w:tc>
        <w:tc>
          <w:tcPr>
            <w:tcW w:w="3361" w:type="dxa"/>
          </w:tcPr>
          <w:p w14:paraId="66A9AB1F" w14:textId="77777777" w:rsidR="00E15C1D" w:rsidRPr="00F95B02" w:rsidRDefault="00E15C1D" w:rsidP="00230F61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-15 dBm/MHz</w:t>
            </w:r>
          </w:p>
        </w:tc>
      </w:tr>
      <w:tr w:rsidR="00E15C1D" w:rsidRPr="00F95B02" w14:paraId="0A8F12E8" w14:textId="77777777" w:rsidTr="00230F61">
        <w:trPr>
          <w:cantSplit/>
          <w:jc w:val="center"/>
        </w:trPr>
        <w:tc>
          <w:tcPr>
            <w:tcW w:w="2792" w:type="dxa"/>
          </w:tcPr>
          <w:p w14:paraId="7E8AE84B" w14:textId="77777777" w:rsidR="00E15C1D" w:rsidRPr="00F95B02" w:rsidRDefault="00E15C1D" w:rsidP="00230F61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31FE79B0" w14:textId="77777777" w:rsidR="00E15C1D" w:rsidRPr="00F95B02" w:rsidRDefault="00E15C1D" w:rsidP="00230F61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-25 dBm/MHz</w:t>
            </w:r>
          </w:p>
        </w:tc>
      </w:tr>
      <w:tr w:rsidR="00E15C1D" w:rsidRPr="00F95B02" w14:paraId="7EA5120E" w14:textId="77777777" w:rsidTr="00230F61">
        <w:trPr>
          <w:cantSplit/>
          <w:jc w:val="center"/>
        </w:trPr>
        <w:tc>
          <w:tcPr>
            <w:tcW w:w="2792" w:type="dxa"/>
          </w:tcPr>
          <w:p w14:paraId="2DD50A13" w14:textId="77777777" w:rsidR="00E15C1D" w:rsidRPr="00F95B02" w:rsidRDefault="00E15C1D" w:rsidP="00230F61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Local Area BS</w:t>
            </w:r>
          </w:p>
        </w:tc>
        <w:tc>
          <w:tcPr>
            <w:tcW w:w="3361" w:type="dxa"/>
          </w:tcPr>
          <w:p w14:paraId="60F052CB" w14:textId="77777777" w:rsidR="00E15C1D" w:rsidRPr="00F95B02" w:rsidRDefault="00E15C1D" w:rsidP="00230F61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-32 dBm/MHz</w:t>
            </w:r>
          </w:p>
        </w:tc>
      </w:tr>
    </w:tbl>
    <w:p w14:paraId="309B6462" w14:textId="77777777" w:rsidR="00E15C1D" w:rsidRPr="00F95B02" w:rsidRDefault="00E15C1D" w:rsidP="00E15C1D">
      <w:pPr>
        <w:pStyle w:val="TH"/>
      </w:pPr>
      <w:r w:rsidRPr="00F95B02">
        <w:t xml:space="preserve">Table 9.7.3.3-2: </w:t>
      </w:r>
      <w:r w:rsidRPr="00F95B02">
        <w:rPr>
          <w:i/>
        </w:rPr>
        <w:t>BS type 2-O</w:t>
      </w:r>
      <w:r w:rsidRPr="00F95B02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E15C1D" w:rsidRPr="00F95B02" w14:paraId="64C35D6C" w14:textId="77777777" w:rsidTr="00230F61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466DAD1" w14:textId="77777777" w:rsidR="00E15C1D" w:rsidRPr="00F95B02" w:rsidRDefault="00E15C1D" w:rsidP="00230F61">
            <w:pPr>
              <w:pStyle w:val="TAH"/>
            </w:pPr>
            <w:r w:rsidRPr="00F95B02">
              <w:t>BS class</w:t>
            </w:r>
          </w:p>
        </w:tc>
        <w:tc>
          <w:tcPr>
            <w:tcW w:w="2693" w:type="dxa"/>
            <w:shd w:val="clear" w:color="auto" w:fill="auto"/>
          </w:tcPr>
          <w:p w14:paraId="08E56E41" w14:textId="77777777" w:rsidR="00E15C1D" w:rsidRPr="00F95B02" w:rsidRDefault="00E15C1D" w:rsidP="00230F61">
            <w:pPr>
              <w:pStyle w:val="TAH"/>
            </w:pPr>
            <w:r w:rsidRPr="00F95B02">
              <w:t>ACLR absolute limit</w:t>
            </w:r>
          </w:p>
        </w:tc>
      </w:tr>
      <w:tr w:rsidR="00E15C1D" w:rsidRPr="00F95B02" w14:paraId="5908CCE4" w14:textId="77777777" w:rsidTr="00230F61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35E3DFB6" w14:textId="77777777" w:rsidR="00E15C1D" w:rsidRPr="00F95B02" w:rsidRDefault="00E15C1D" w:rsidP="00230F61">
            <w:pPr>
              <w:pStyle w:val="TAC"/>
            </w:pPr>
            <w:r w:rsidRPr="00F95B02">
              <w:t>Wide area BS</w:t>
            </w:r>
          </w:p>
        </w:tc>
        <w:tc>
          <w:tcPr>
            <w:tcW w:w="2693" w:type="dxa"/>
            <w:shd w:val="clear" w:color="auto" w:fill="auto"/>
          </w:tcPr>
          <w:p w14:paraId="020A1D0A" w14:textId="77777777" w:rsidR="00E15C1D" w:rsidRPr="00F95B02" w:rsidRDefault="00E15C1D" w:rsidP="00230F61">
            <w:pPr>
              <w:pStyle w:val="TAC"/>
            </w:pPr>
            <w:r w:rsidRPr="00F95B02">
              <w:t>-13 dBm/MHz</w:t>
            </w:r>
          </w:p>
        </w:tc>
      </w:tr>
      <w:tr w:rsidR="00E15C1D" w:rsidRPr="00F95B02" w14:paraId="279B6DDE" w14:textId="77777777" w:rsidTr="00230F61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41A932E1" w14:textId="77777777" w:rsidR="00E15C1D" w:rsidRPr="00F95B02" w:rsidRDefault="00E15C1D" w:rsidP="00230F61">
            <w:pPr>
              <w:pStyle w:val="TAC"/>
            </w:pPr>
            <w:r w:rsidRPr="00F95B02">
              <w:t>Medium range BS</w:t>
            </w:r>
          </w:p>
        </w:tc>
        <w:tc>
          <w:tcPr>
            <w:tcW w:w="2693" w:type="dxa"/>
            <w:shd w:val="clear" w:color="auto" w:fill="auto"/>
          </w:tcPr>
          <w:p w14:paraId="1311A95F" w14:textId="77777777" w:rsidR="00E15C1D" w:rsidRPr="00F95B02" w:rsidRDefault="00E15C1D" w:rsidP="00230F61">
            <w:pPr>
              <w:pStyle w:val="TAC"/>
            </w:pPr>
            <w:r w:rsidRPr="00F95B02">
              <w:t>-20 dBm/MHz</w:t>
            </w:r>
          </w:p>
        </w:tc>
      </w:tr>
      <w:tr w:rsidR="00E15C1D" w:rsidRPr="00F95B02" w14:paraId="261A8FDD" w14:textId="77777777" w:rsidTr="00230F61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0D294A6" w14:textId="77777777" w:rsidR="00E15C1D" w:rsidRPr="00F95B02" w:rsidRDefault="00E15C1D" w:rsidP="00230F61">
            <w:pPr>
              <w:pStyle w:val="TAC"/>
            </w:pPr>
            <w:r w:rsidRPr="00F95B02">
              <w:t>Local area BS</w:t>
            </w:r>
          </w:p>
        </w:tc>
        <w:tc>
          <w:tcPr>
            <w:tcW w:w="2693" w:type="dxa"/>
            <w:shd w:val="clear" w:color="auto" w:fill="auto"/>
          </w:tcPr>
          <w:p w14:paraId="799D6437" w14:textId="77777777" w:rsidR="00E15C1D" w:rsidRPr="00F95B02" w:rsidRDefault="00E15C1D" w:rsidP="00230F61">
            <w:pPr>
              <w:pStyle w:val="TAC"/>
            </w:pPr>
            <w:r w:rsidRPr="00F95B02">
              <w:t>-20 dBm/MHz</w:t>
            </w:r>
          </w:p>
        </w:tc>
      </w:tr>
    </w:tbl>
    <w:p w14:paraId="60085F83" w14:textId="77777777" w:rsidR="00E15C1D" w:rsidRDefault="00E15C1D">
      <w:pPr>
        <w:spacing w:beforeLines="50" w:before="156" w:afterLines="50" w:after="156"/>
        <w:rPr>
          <w:rFonts w:ascii="Times New Roman" w:hAnsi="Times New Roman"/>
          <w:sz w:val="20"/>
          <w:szCs w:val="20"/>
        </w:rPr>
      </w:pPr>
    </w:p>
    <w:p w14:paraId="2C6B8256" w14:textId="5DD934A0" w:rsidR="0095524F" w:rsidRDefault="00912622">
      <w:pPr>
        <w:spacing w:beforeLines="50" w:before="156"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co-exist with legacy NR network, interference may still occur even with infinitely increased SBFD performance. But when co-exist with SBFD of different configuration, interference could be avoided by increased SBFD performance. </w:t>
      </w:r>
      <w:r w:rsidR="002B7613">
        <w:rPr>
          <w:rFonts w:ascii="Times New Roman" w:hAnsi="Times New Roman" w:hint="eastAsia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 xml:space="preserve">e </w:t>
      </w:r>
      <w:r w:rsidR="002B7613">
        <w:rPr>
          <w:rFonts w:ascii="Times New Roman" w:hAnsi="Times New Roman" w:hint="eastAsia"/>
          <w:sz w:val="20"/>
          <w:szCs w:val="20"/>
        </w:rPr>
        <w:t>could</w:t>
      </w:r>
      <w:r>
        <w:rPr>
          <w:rFonts w:ascii="Times New Roman" w:hAnsi="Times New Roman" w:hint="eastAsia"/>
          <w:sz w:val="20"/>
          <w:szCs w:val="20"/>
        </w:rPr>
        <w:t xml:space="preserve"> identify the assumption of adjacent network performance with legacy</w:t>
      </w:r>
      <w:r w:rsidR="00304D85">
        <w:rPr>
          <w:rFonts w:ascii="Times New Roman" w:hAnsi="Times New Roman" w:hint="eastAsia"/>
          <w:sz w:val="20"/>
          <w:szCs w:val="20"/>
        </w:rPr>
        <w:t xml:space="preserve"> </w:t>
      </w:r>
      <w:r w:rsidR="00304D85" w:rsidRPr="00304D85">
        <w:rPr>
          <w:rFonts w:ascii="Times New Roman" w:hAnsi="Times New Roman"/>
          <w:sz w:val="20"/>
          <w:szCs w:val="20"/>
        </w:rPr>
        <w:t>ACLR absolute basic limit</w:t>
      </w:r>
      <w:r>
        <w:rPr>
          <w:rFonts w:ascii="Times New Roman" w:hAnsi="Times New Roman" w:hint="eastAsia"/>
          <w:sz w:val="20"/>
          <w:szCs w:val="20"/>
        </w:rPr>
        <w:t xml:space="preserve"> requirement.</w:t>
      </w:r>
      <w:r w:rsidR="002B7613">
        <w:rPr>
          <w:rFonts w:ascii="Times New Roman" w:hAnsi="Times New Roman" w:hint="eastAsia"/>
          <w:sz w:val="20"/>
          <w:szCs w:val="20"/>
        </w:rPr>
        <w:t xml:space="preserve"> </w:t>
      </w:r>
    </w:p>
    <w:p w14:paraId="3373EACB" w14:textId="43ED6AA8" w:rsidR="0095524F" w:rsidRDefault="0099619D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 w:rsidRPr="0099619D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912622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912622">
        <w:rPr>
          <w:rFonts w:ascii="Times New Roman" w:hAnsi="Times New Roman" w:hint="eastAsia"/>
          <w:b/>
          <w:bCs/>
          <w:sz w:val="20"/>
          <w:szCs w:val="20"/>
        </w:rPr>
        <w:t>I</w:t>
      </w:r>
      <w:r w:rsidR="00912622" w:rsidRPr="00912622">
        <w:rPr>
          <w:rFonts w:ascii="Times New Roman" w:hAnsi="Times New Roman"/>
          <w:b/>
          <w:bCs/>
          <w:sz w:val="20"/>
          <w:szCs w:val="20"/>
        </w:rPr>
        <w:t>dentify the assumption of adjacent network performance</w:t>
      </w:r>
      <w:r w:rsidR="00912622">
        <w:rPr>
          <w:rFonts w:ascii="Times New Roman" w:hAnsi="Times New Roman" w:hint="eastAsia"/>
          <w:b/>
          <w:bCs/>
          <w:sz w:val="20"/>
          <w:szCs w:val="20"/>
        </w:rPr>
        <w:t xml:space="preserve"> before defining </w:t>
      </w:r>
      <w:r w:rsidR="00912622" w:rsidRPr="00912622">
        <w:rPr>
          <w:rFonts w:ascii="Times New Roman" w:hAnsi="Times New Roman"/>
          <w:b/>
          <w:bCs/>
          <w:sz w:val="20"/>
          <w:szCs w:val="20"/>
        </w:rPr>
        <w:t>sub-band Tx leakage</w:t>
      </w:r>
      <w:r w:rsidR="00912622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4F02AAE4" w14:textId="212458E9" w:rsidR="00912622" w:rsidRDefault="00912622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3: </w:t>
      </w:r>
      <w:r w:rsidR="00B05FE7">
        <w:rPr>
          <w:rFonts w:ascii="Times New Roman" w:hAnsi="Times New Roman" w:hint="eastAsia"/>
          <w:b/>
          <w:bCs/>
          <w:sz w:val="20"/>
          <w:szCs w:val="20"/>
        </w:rPr>
        <w:t>Legacy ACLR requirements could be used as starting point.</w:t>
      </w:r>
    </w:p>
    <w:p w14:paraId="082E9262" w14:textId="77777777" w:rsidR="0095524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7DB274DE" w14:textId="77777777" w:rsidR="0095524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71DECCA2" w14:textId="746B59F5" w:rsidR="00B05FE7" w:rsidRPr="00B05FE7" w:rsidRDefault="00075763" w:rsidP="00B05FE7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 w:rsidRPr="00075763">
        <w:rPr>
          <w:rFonts w:ascii="Times New Roman" w:hAnsi="Times New Roman"/>
          <w:b/>
          <w:bCs/>
          <w:sz w:val="20"/>
          <w:szCs w:val="20"/>
        </w:rPr>
        <w:t>Proposal 1: Transient period between SBFD and non-SBFD could be set in guard symbol(s), and wait for the conclusion for the location of the guard period from RAN1.</w:t>
      </w:r>
    </w:p>
    <w:p w14:paraId="17ED3144" w14:textId="77777777" w:rsidR="00075763" w:rsidRPr="00075763" w:rsidRDefault="00075763" w:rsidP="00075763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 w:rsidRPr="00075763">
        <w:rPr>
          <w:rFonts w:ascii="Times New Roman" w:hAnsi="Times New Roman"/>
          <w:b/>
          <w:bCs/>
          <w:sz w:val="20"/>
          <w:szCs w:val="20"/>
        </w:rPr>
        <w:t>Proposal 2: Identify the assumption of adjacent network performance before defining sub-band Tx leakage.</w:t>
      </w:r>
    </w:p>
    <w:p w14:paraId="066711F1" w14:textId="0187C065" w:rsidR="0095524F" w:rsidRDefault="00075763" w:rsidP="00075763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</w:rPr>
      </w:pPr>
      <w:r w:rsidRPr="00075763">
        <w:rPr>
          <w:rFonts w:ascii="Times New Roman" w:hAnsi="Times New Roman"/>
          <w:b/>
          <w:bCs/>
          <w:sz w:val="20"/>
          <w:szCs w:val="20"/>
        </w:rPr>
        <w:t>Proposal 3: Legacy ACLR requirements could be used as starting point.</w:t>
      </w:r>
    </w:p>
    <w:p w14:paraId="3B27F928" w14:textId="77777777" w:rsidR="0095524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91E4879" w14:textId="532FE18B" w:rsidR="0095524F" w:rsidRDefault="00000000" w:rsidP="003F12B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[1] TR 38.858</w:t>
      </w:r>
    </w:p>
    <w:p w14:paraId="0090A064" w14:textId="6C8B4321" w:rsidR="0099619D" w:rsidRDefault="00EC5C5E" w:rsidP="003F12B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EC5C5E">
        <w:rPr>
          <w:rFonts w:ascii="Times New Roman" w:hAnsi="Times New Roman"/>
          <w:sz w:val="20"/>
          <w:szCs w:val="20"/>
        </w:rPr>
        <w:t xml:space="preserve">[1] </w:t>
      </w:r>
      <w:r w:rsidR="006B6125" w:rsidRPr="006B6125">
        <w:rPr>
          <w:rFonts w:ascii="Times New Roman" w:hAnsi="Times New Roman"/>
          <w:sz w:val="20"/>
          <w:szCs w:val="20"/>
        </w:rPr>
        <w:t>R4-2502310</w:t>
      </w:r>
      <w:r w:rsidR="006B6125">
        <w:rPr>
          <w:rFonts w:ascii="Times New Roman" w:hAnsi="Times New Roman" w:hint="eastAsia"/>
          <w:sz w:val="20"/>
          <w:szCs w:val="20"/>
        </w:rPr>
        <w:t xml:space="preserve">, </w:t>
      </w:r>
      <w:r w:rsidR="006B6125" w:rsidRPr="006B6125">
        <w:rPr>
          <w:rFonts w:ascii="Times New Roman" w:hAnsi="Times New Roman"/>
          <w:sz w:val="20"/>
          <w:szCs w:val="20"/>
        </w:rPr>
        <w:t xml:space="preserve">Way Forward for [114][306] </w:t>
      </w:r>
      <w:proofErr w:type="spellStart"/>
      <w:r w:rsidR="006B6125" w:rsidRPr="006B6125">
        <w:rPr>
          <w:rFonts w:ascii="Times New Roman" w:hAnsi="Times New Roman"/>
          <w:sz w:val="20"/>
          <w:szCs w:val="20"/>
        </w:rPr>
        <w:t>NR_duplex_evo_General</w:t>
      </w:r>
      <w:proofErr w:type="spellEnd"/>
    </w:p>
    <w:sectPr w:rsidR="0099619D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9831D" w14:textId="77777777" w:rsidR="006D624D" w:rsidRDefault="006D624D">
      <w:r>
        <w:separator/>
      </w:r>
    </w:p>
  </w:endnote>
  <w:endnote w:type="continuationSeparator" w:id="0">
    <w:p w14:paraId="4CBF24AF" w14:textId="77777777" w:rsidR="006D624D" w:rsidRDefault="006D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017D" w14:textId="77777777" w:rsidR="006D624D" w:rsidRDefault="006D624D">
      <w:r>
        <w:separator/>
      </w:r>
    </w:p>
  </w:footnote>
  <w:footnote w:type="continuationSeparator" w:id="0">
    <w:p w14:paraId="17E13815" w14:textId="77777777" w:rsidR="006D624D" w:rsidRDefault="006D6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A37A6" w14:textId="77777777" w:rsidR="0095524F" w:rsidRDefault="0095524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5812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846433959">
    <w:abstractNumId w:val="0"/>
  </w:num>
  <w:num w:numId="2" w16cid:durableId="1586837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75B"/>
    <w:rsid w:val="00025E8F"/>
    <w:rsid w:val="00026146"/>
    <w:rsid w:val="00026563"/>
    <w:rsid w:val="00027F7A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138C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5763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08B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1BAF"/>
    <w:rsid w:val="00163A38"/>
    <w:rsid w:val="00164384"/>
    <w:rsid w:val="00164AB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9A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6F76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407"/>
    <w:rsid w:val="00245C9B"/>
    <w:rsid w:val="00246D29"/>
    <w:rsid w:val="00247545"/>
    <w:rsid w:val="00247F8B"/>
    <w:rsid w:val="002501E8"/>
    <w:rsid w:val="00250C1F"/>
    <w:rsid w:val="00251ADC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B7613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3DC7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4D85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16E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84F"/>
    <w:rsid w:val="00396D76"/>
    <w:rsid w:val="003971FA"/>
    <w:rsid w:val="00397A1B"/>
    <w:rsid w:val="00397BAF"/>
    <w:rsid w:val="003A01CB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A7F41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2BF"/>
    <w:rsid w:val="003F1C84"/>
    <w:rsid w:val="003F2035"/>
    <w:rsid w:val="003F2587"/>
    <w:rsid w:val="003F25E2"/>
    <w:rsid w:val="003F41C1"/>
    <w:rsid w:val="003F42A4"/>
    <w:rsid w:val="003F51E3"/>
    <w:rsid w:val="003F560A"/>
    <w:rsid w:val="003F7F29"/>
    <w:rsid w:val="004017E5"/>
    <w:rsid w:val="00403783"/>
    <w:rsid w:val="00403E79"/>
    <w:rsid w:val="0040406D"/>
    <w:rsid w:val="00405536"/>
    <w:rsid w:val="00405B19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286D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321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6EA9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60A6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0265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6125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1CE2"/>
    <w:rsid w:val="006D314F"/>
    <w:rsid w:val="006D4D27"/>
    <w:rsid w:val="006D4FB0"/>
    <w:rsid w:val="006D57BF"/>
    <w:rsid w:val="006D58E6"/>
    <w:rsid w:val="006D5B25"/>
    <w:rsid w:val="006D624D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395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1F83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586A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1CC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00C5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2EA8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1EA6"/>
    <w:rsid w:val="00812A06"/>
    <w:rsid w:val="00812AC5"/>
    <w:rsid w:val="00812D5B"/>
    <w:rsid w:val="00813619"/>
    <w:rsid w:val="00813834"/>
    <w:rsid w:val="0081407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5675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3CBE"/>
    <w:rsid w:val="008E4462"/>
    <w:rsid w:val="008E6B18"/>
    <w:rsid w:val="008E7511"/>
    <w:rsid w:val="008E77DA"/>
    <w:rsid w:val="008E7A25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2622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42B8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36BF3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4F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19D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0E4E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479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1ED"/>
    <w:rsid w:val="00A764CF"/>
    <w:rsid w:val="00A776C7"/>
    <w:rsid w:val="00A803F2"/>
    <w:rsid w:val="00A8105F"/>
    <w:rsid w:val="00A84352"/>
    <w:rsid w:val="00A843CB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DE6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2C37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5FB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E0A"/>
    <w:rsid w:val="00B01F4E"/>
    <w:rsid w:val="00B025A1"/>
    <w:rsid w:val="00B02AC8"/>
    <w:rsid w:val="00B02E1E"/>
    <w:rsid w:val="00B03AE4"/>
    <w:rsid w:val="00B040A1"/>
    <w:rsid w:val="00B0421D"/>
    <w:rsid w:val="00B058A5"/>
    <w:rsid w:val="00B05BDE"/>
    <w:rsid w:val="00B05EB4"/>
    <w:rsid w:val="00B05FE7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0ABB"/>
    <w:rsid w:val="00B20D0A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4F8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256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91E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6560"/>
    <w:rsid w:val="00C875B4"/>
    <w:rsid w:val="00C90163"/>
    <w:rsid w:val="00C903FF"/>
    <w:rsid w:val="00C90824"/>
    <w:rsid w:val="00C912D9"/>
    <w:rsid w:val="00C93184"/>
    <w:rsid w:val="00C94732"/>
    <w:rsid w:val="00C968C3"/>
    <w:rsid w:val="00C96DC7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3EF2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1B55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2C07"/>
    <w:rsid w:val="00D430FC"/>
    <w:rsid w:val="00D438E1"/>
    <w:rsid w:val="00D43B8D"/>
    <w:rsid w:val="00D4455A"/>
    <w:rsid w:val="00D445C8"/>
    <w:rsid w:val="00D44E79"/>
    <w:rsid w:val="00D45839"/>
    <w:rsid w:val="00D4614A"/>
    <w:rsid w:val="00D47084"/>
    <w:rsid w:val="00D474C1"/>
    <w:rsid w:val="00D4777B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0D8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5C1D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4D2F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7E3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3351"/>
    <w:rsid w:val="00EC4D82"/>
    <w:rsid w:val="00EC508A"/>
    <w:rsid w:val="00EC50F1"/>
    <w:rsid w:val="00EC5B92"/>
    <w:rsid w:val="00EC5C5E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1F5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350710"/>
    <w:rsid w:val="156354FD"/>
    <w:rsid w:val="15724A4B"/>
    <w:rsid w:val="157A51BC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E9C0F87"/>
    <w:rsid w:val="2EB8044F"/>
    <w:rsid w:val="2EC16B9C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21027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5001A7"/>
    <w:rsid w:val="3D55441E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37A44"/>
    <w:rsid w:val="44B454C5"/>
    <w:rsid w:val="44C125DD"/>
    <w:rsid w:val="44DD6689"/>
    <w:rsid w:val="44E7774D"/>
    <w:rsid w:val="45127C50"/>
    <w:rsid w:val="4524487F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E2567D"/>
    <w:rsid w:val="47F00216"/>
    <w:rsid w:val="48FF25D1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AC7D1A"/>
    <w:rsid w:val="5CCF11D3"/>
    <w:rsid w:val="5D1154C0"/>
    <w:rsid w:val="5D4A309B"/>
    <w:rsid w:val="5D7F7CF2"/>
    <w:rsid w:val="5D851C35"/>
    <w:rsid w:val="5E1A7EF1"/>
    <w:rsid w:val="5E2A018B"/>
    <w:rsid w:val="5E3A1833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DEF708E"/>
    <w:rsid w:val="7E4C3A0F"/>
    <w:rsid w:val="7E4C3A98"/>
    <w:rsid w:val="7E9A0203"/>
    <w:rsid w:val="7E9E07CB"/>
    <w:rsid w:val="7EA426D4"/>
    <w:rsid w:val="7EDD5D31"/>
    <w:rsid w:val="7EFD70B3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7992D"/>
  <w15:docId w15:val="{66644C20-2C84-46FB-A293-DF719844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  <w:style w:type="character" w:customStyle="1" w:styleId="THChar">
    <w:name w:val="TH Char"/>
    <w:link w:val="TH"/>
    <w:qFormat/>
    <w:rsid w:val="00E15C1D"/>
    <w:rPr>
      <w:rFonts w:ascii="Arial" w:hAnsi="Arial"/>
      <w:b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3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203</cp:revision>
  <dcterms:created xsi:type="dcterms:W3CDTF">2022-04-25T02:55:00Z</dcterms:created>
  <dcterms:modified xsi:type="dcterms:W3CDTF">2025-03-28T09:55:00Z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