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AEE3" w14:textId="326218AC" w:rsidR="005A37B7" w:rsidRPr="00E77857" w:rsidRDefault="005A37B7" w:rsidP="005A37B7">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6C7A3F">
        <w:rPr>
          <w:rFonts w:ascii="Arial" w:hAnsi="Arial" w:cs="Arial"/>
          <w:sz w:val="28"/>
        </w:rPr>
        <w:t>4</w:t>
      </w:r>
      <w:r w:rsidR="000016D9">
        <w:rPr>
          <w:rFonts w:ascii="Arial" w:hAnsi="Arial" w:cs="Arial"/>
          <w:sz w:val="28"/>
        </w:rPr>
        <w:t>-bis</w:t>
      </w:r>
      <w:r w:rsidRPr="00E77857">
        <w:rPr>
          <w:rFonts w:ascii="Arial" w:hAnsi="Arial" w:cs="Arial"/>
          <w:sz w:val="28"/>
        </w:rPr>
        <w:tab/>
        <w:t>R4-</w:t>
      </w:r>
      <w:r>
        <w:rPr>
          <w:rFonts w:ascii="Arial" w:hAnsi="Arial" w:cs="Arial"/>
          <w:sz w:val="28"/>
        </w:rPr>
        <w:t>2</w:t>
      </w:r>
      <w:r w:rsidR="006C7A3F">
        <w:rPr>
          <w:rFonts w:ascii="Arial" w:hAnsi="Arial" w:cs="Arial"/>
          <w:sz w:val="28"/>
        </w:rPr>
        <w:t>50</w:t>
      </w:r>
      <w:r w:rsidR="000016D9">
        <w:rPr>
          <w:rFonts w:ascii="Arial" w:hAnsi="Arial" w:cs="Arial"/>
          <w:sz w:val="28"/>
        </w:rPr>
        <w:t>3</w:t>
      </w:r>
      <w:r w:rsidR="0040556E">
        <w:rPr>
          <w:rFonts w:ascii="Arial" w:hAnsi="Arial" w:cs="Arial"/>
          <w:sz w:val="28"/>
        </w:rPr>
        <w:t>167</w:t>
      </w:r>
    </w:p>
    <w:p w14:paraId="2B0D22D7" w14:textId="464FF52F" w:rsidR="005A37B7" w:rsidRPr="00E77857" w:rsidRDefault="00D417B6" w:rsidP="005A37B7">
      <w:pPr>
        <w:tabs>
          <w:tab w:val="right" w:pos="9781"/>
        </w:tabs>
        <w:rPr>
          <w:rFonts w:ascii="Arial" w:hAnsi="Arial" w:cs="Arial"/>
          <w:sz w:val="28"/>
        </w:rPr>
      </w:pPr>
      <w:r>
        <w:rPr>
          <w:rFonts w:ascii="Arial" w:hAnsi="Arial" w:cs="Arial"/>
          <w:sz w:val="28"/>
        </w:rPr>
        <w:t>Wuhan</w:t>
      </w:r>
      <w:r w:rsidR="005A37B7" w:rsidRPr="00795544">
        <w:rPr>
          <w:rFonts w:ascii="Arial" w:hAnsi="Arial" w:cs="Arial"/>
          <w:sz w:val="28"/>
        </w:rPr>
        <w:t xml:space="preserve">, </w:t>
      </w:r>
      <w:r>
        <w:rPr>
          <w:rFonts w:ascii="Arial" w:hAnsi="Arial" w:cs="Arial"/>
          <w:sz w:val="28"/>
        </w:rPr>
        <w:t>China</w:t>
      </w:r>
      <w:r w:rsidR="005A37B7" w:rsidRPr="00795544">
        <w:rPr>
          <w:rFonts w:ascii="Arial" w:hAnsi="Arial" w:cs="Arial"/>
          <w:sz w:val="28"/>
        </w:rPr>
        <w:t xml:space="preserve">, </w:t>
      </w:r>
      <w:r w:rsidR="006C7A3F">
        <w:rPr>
          <w:rFonts w:ascii="Arial" w:hAnsi="Arial" w:cs="Arial"/>
          <w:sz w:val="28"/>
        </w:rPr>
        <w:t>7</w:t>
      </w:r>
      <w:r w:rsidR="005A37B7" w:rsidRPr="00795544">
        <w:rPr>
          <w:rFonts w:ascii="Arial" w:hAnsi="Arial" w:cs="Arial"/>
          <w:sz w:val="28"/>
        </w:rPr>
        <w:t xml:space="preserve">th – </w:t>
      </w:r>
      <w:r>
        <w:rPr>
          <w:rFonts w:ascii="Arial" w:hAnsi="Arial" w:cs="Arial"/>
          <w:sz w:val="28"/>
        </w:rPr>
        <w:t>1</w:t>
      </w:r>
      <w:r w:rsidR="005A37B7">
        <w:rPr>
          <w:rFonts w:ascii="Arial" w:hAnsi="Arial" w:cs="Arial"/>
          <w:sz w:val="28"/>
        </w:rPr>
        <w:t>1</w:t>
      </w:r>
      <w:r>
        <w:rPr>
          <w:rFonts w:ascii="Arial" w:hAnsi="Arial" w:cs="Arial"/>
          <w:sz w:val="28"/>
        </w:rPr>
        <w:t>th</w:t>
      </w:r>
      <w:r w:rsidR="005A37B7" w:rsidRPr="00795544">
        <w:rPr>
          <w:rFonts w:ascii="Arial" w:hAnsi="Arial" w:cs="Arial"/>
          <w:sz w:val="28"/>
        </w:rPr>
        <w:t xml:space="preserve"> </w:t>
      </w:r>
      <w:r>
        <w:rPr>
          <w:rFonts w:ascii="Arial" w:hAnsi="Arial" w:cs="Arial"/>
          <w:sz w:val="28"/>
        </w:rPr>
        <w:t>April</w:t>
      </w:r>
      <w:r w:rsidR="005A37B7" w:rsidRPr="00795544">
        <w:rPr>
          <w:rFonts w:ascii="Arial" w:hAnsi="Arial" w:cs="Arial"/>
          <w:sz w:val="28"/>
        </w:rPr>
        <w:t xml:space="preserve"> </w:t>
      </w:r>
      <w:r w:rsidR="005A37B7" w:rsidRPr="00034F99">
        <w:rPr>
          <w:rFonts w:ascii="Arial" w:hAnsi="Arial" w:cs="Arial"/>
          <w:sz w:val="28"/>
        </w:rPr>
        <w:t>202</w:t>
      </w:r>
      <w:r w:rsidR="006C7A3F">
        <w:rPr>
          <w:rFonts w:ascii="Arial" w:hAnsi="Arial" w:cs="Arial"/>
          <w:sz w:val="28"/>
        </w:rPr>
        <w:t>5</w:t>
      </w:r>
    </w:p>
    <w:p w14:paraId="1AF3D573" w14:textId="77777777" w:rsidR="00442785" w:rsidRPr="00E77857" w:rsidRDefault="00442785" w:rsidP="00442785">
      <w:pPr>
        <w:tabs>
          <w:tab w:val="left" w:pos="1985"/>
        </w:tabs>
        <w:rPr>
          <w:rFonts w:ascii="Arial" w:hAnsi="Arial"/>
          <w:b/>
        </w:rPr>
      </w:pPr>
    </w:p>
    <w:p w14:paraId="17504B03" w14:textId="27468071"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127DEB">
        <w:rPr>
          <w:rFonts w:ascii="Arial" w:hAnsi="Arial"/>
          <w:b/>
          <w:lang w:val="en-GB"/>
        </w:rPr>
        <w:t>7</w:t>
      </w:r>
      <w:r w:rsidR="0080255D">
        <w:rPr>
          <w:rFonts w:ascii="Arial" w:hAnsi="Arial"/>
          <w:b/>
          <w:lang w:val="en-GB"/>
        </w:rPr>
        <w:t>.</w:t>
      </w:r>
      <w:r w:rsidR="004845FD">
        <w:rPr>
          <w:rFonts w:ascii="Arial" w:hAnsi="Arial"/>
          <w:b/>
          <w:lang w:val="en-GB"/>
        </w:rPr>
        <w:t>13.</w:t>
      </w:r>
      <w:r w:rsidR="00C841EA">
        <w:rPr>
          <w:rFonts w:ascii="Arial" w:hAnsi="Arial"/>
          <w:b/>
          <w:lang w:val="en-GB"/>
        </w:rPr>
        <w:t>5</w:t>
      </w:r>
      <w:r>
        <w:rPr>
          <w:rFonts w:ascii="Arial" w:hAnsi="Arial"/>
          <w:b/>
          <w:lang w:val="en-GB"/>
        </w:rPr>
        <w:t>.</w:t>
      </w:r>
      <w:r w:rsidR="0043519E">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15CC428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845FD" w:rsidRPr="004845FD">
        <w:rPr>
          <w:rFonts w:ascii="Arial" w:hAnsi="Arial" w:cs="Arial"/>
          <w:b/>
        </w:rPr>
        <w:t>Simplification of BS TRP test methods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1A601C98"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7B348B" w:rsidRPr="007B348B">
        <w:rPr>
          <w:color w:val="000000"/>
          <w:szCs w:val="20"/>
        </w:rPr>
        <w:t xml:space="preserve">NR base station (BS) RF requirement evolution for FR1/FR2 and testing </w:t>
      </w:r>
      <w:r w:rsidRPr="00DC28D5">
        <w:rPr>
          <w:color w:val="000000"/>
          <w:szCs w:val="20"/>
        </w:rPr>
        <w:t>was approved at TSG RAN#</w:t>
      </w:r>
      <w:r w:rsidR="00ED28B9">
        <w:rPr>
          <w:color w:val="000000"/>
          <w:szCs w:val="20"/>
        </w:rPr>
        <w:t>10</w:t>
      </w:r>
      <w:r w:rsidR="006C7A3F">
        <w:rPr>
          <w:color w:val="000000"/>
          <w:szCs w:val="20"/>
        </w:rPr>
        <w:t>6</w:t>
      </w:r>
      <w:r w:rsidRPr="00DC28D5">
        <w:rPr>
          <w:color w:val="000000"/>
          <w:szCs w:val="20"/>
        </w:rPr>
        <w:t xml:space="preserve"> [1</w:t>
      </w:r>
      <w:r w:rsidR="00D158C5">
        <w:rPr>
          <w:color w:val="000000"/>
          <w:szCs w:val="20"/>
        </w:rPr>
        <w:t>].</w:t>
      </w:r>
      <w:r w:rsidR="00442785" w:rsidRPr="00DC28D5">
        <w:rPr>
          <w:color w:val="000000"/>
          <w:szCs w:val="20"/>
        </w:rPr>
        <w:t xml:space="preserve"> </w:t>
      </w:r>
      <w:r w:rsidR="007B348B">
        <w:rPr>
          <w:color w:val="000000"/>
          <w:szCs w:val="20"/>
        </w:rPr>
        <w:t>T</w:t>
      </w:r>
      <w:r w:rsidR="00DC28D5" w:rsidRPr="00DC28D5">
        <w:rPr>
          <w:color w:val="000000"/>
          <w:szCs w:val="20"/>
        </w:rPr>
        <w:t xml:space="preserve">he </w:t>
      </w:r>
      <w:r w:rsidR="009C7F0F">
        <w:rPr>
          <w:color w:val="000000"/>
          <w:szCs w:val="20"/>
        </w:rPr>
        <w:t xml:space="preserve">objective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7B348B">
        <w:rPr>
          <w:color w:val="000000"/>
          <w:szCs w:val="20"/>
        </w:rPr>
        <w:t>on s</w:t>
      </w:r>
      <w:r w:rsidR="007B348B" w:rsidRPr="007B348B">
        <w:rPr>
          <w:color w:val="000000"/>
          <w:szCs w:val="20"/>
        </w:rPr>
        <w:t xml:space="preserve">implification of BS TRP test methods </w:t>
      </w:r>
      <w:r w:rsidR="00DC28D5" w:rsidRPr="00DC28D5">
        <w:rPr>
          <w:color w:val="000000"/>
          <w:szCs w:val="20"/>
        </w:rPr>
        <w:t>is</w:t>
      </w:r>
      <w:r w:rsidR="007B348B">
        <w:rPr>
          <w:color w:val="000000"/>
          <w:szCs w:val="20"/>
        </w:rPr>
        <w:t xml:space="preserve"> revised as follow</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17C0DE10" w14:textId="0BD627F7" w:rsidR="00ED28B9" w:rsidRPr="00ED28B9" w:rsidRDefault="007B348B" w:rsidP="006C7A3F">
            <w:pPr>
              <w:numPr>
                <w:ilvl w:val="0"/>
                <w:numId w:val="25"/>
              </w:numPr>
              <w:overflowPunct w:val="0"/>
              <w:autoSpaceDE w:val="0"/>
              <w:autoSpaceDN w:val="0"/>
              <w:adjustRightInd w:val="0"/>
              <w:spacing w:after="180" w:line="360" w:lineRule="auto"/>
              <w:textAlignment w:val="baseline"/>
              <w:rPr>
                <w:lang w:eastAsia="zh-CN"/>
              </w:rPr>
            </w:pPr>
            <w:r>
              <w:t>TRP simplification:</w:t>
            </w:r>
            <w:r>
              <w:rPr>
                <w:rFonts w:eastAsia="SimSun" w:hint="eastAsia"/>
                <w:lang w:eastAsia="zh-CN"/>
              </w:rPr>
              <w:t xml:space="preserve"> S</w:t>
            </w:r>
            <w:r>
              <w:t>implify BS TRP estimation methods</w:t>
            </w:r>
            <w:r>
              <w:rPr>
                <w:rFonts w:eastAsia="SimSun" w:hint="eastAsia"/>
                <w:lang w:eastAsia="zh-CN"/>
              </w:rPr>
              <w:t xml:space="preserve"> (</w:t>
            </w:r>
            <w:r>
              <w:t xml:space="preserve">e.g. Annex </w:t>
            </w:r>
            <w:r w:rsidRPr="007B348B">
              <w:rPr>
                <w:rFonts w:eastAsia="SimSun" w:hint="eastAsia"/>
                <w:lang w:eastAsia="zh-CN"/>
              </w:rPr>
              <w:t>I in TS 38.141-2</w:t>
            </w:r>
            <w:r w:rsidRPr="007B348B">
              <w:rPr>
                <w:rFonts w:eastAsia="SimSun"/>
                <w:lang w:eastAsia="zh-CN"/>
              </w:rPr>
              <w:t xml:space="preserve"> on </w:t>
            </w:r>
            <w:r>
              <w:t>TRP measurement procedures</w:t>
            </w:r>
            <w:r>
              <w:rPr>
                <w:rFonts w:eastAsia="SimSun" w:hint="eastAsia"/>
                <w:lang w:eastAsia="zh-CN"/>
              </w:rPr>
              <w:t>)</w:t>
            </w:r>
            <w:r>
              <w:t xml:space="preserve"> for FR1 and FR2 by improving the</w:t>
            </w:r>
            <w:r>
              <w:rPr>
                <w:rFonts w:eastAsia="SimSun" w:hint="eastAsia"/>
                <w:lang w:eastAsia="zh-CN"/>
              </w:rPr>
              <w:t>ir</w:t>
            </w:r>
            <w:r>
              <w:t xml:space="preserve"> applicability</w:t>
            </w:r>
            <w:r>
              <w:rPr>
                <w:rFonts w:eastAsia="SimSun" w:hint="eastAsia"/>
                <w:lang w:eastAsia="zh-CN"/>
              </w:rPr>
              <w:t xml:space="preserve"> and description</w:t>
            </w:r>
            <w:r>
              <w:t xml:space="preserve"> and not removing any of the existing TRP test methods.</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53BE31CC" w:rsidR="006635B6" w:rsidRDefault="007B348B" w:rsidP="006635B6">
      <w:pPr>
        <w:pStyle w:val="BodyText"/>
        <w:snapToGrid w:val="0"/>
        <w:rPr>
          <w:rFonts w:eastAsia="SimSun"/>
          <w:szCs w:val="20"/>
          <w:lang w:val="en-GB" w:eastAsia="zh-CN"/>
        </w:rPr>
      </w:pPr>
      <w:r>
        <w:rPr>
          <w:color w:val="000000"/>
          <w:szCs w:val="20"/>
        </w:rPr>
        <w:t>This topic was discussed at TSG RAN4#11</w:t>
      </w:r>
      <w:r w:rsidR="00D417B6">
        <w:rPr>
          <w:color w:val="000000"/>
          <w:szCs w:val="20"/>
        </w:rPr>
        <w:t>4</w:t>
      </w:r>
      <w:r>
        <w:rPr>
          <w:color w:val="000000"/>
          <w:szCs w:val="20"/>
        </w:rPr>
        <w:t xml:space="preserve"> [2] and the WF was agreed [3]. </w:t>
      </w:r>
      <w:r w:rsidR="006635B6" w:rsidRPr="00DC28D5">
        <w:rPr>
          <w:color w:val="000000"/>
          <w:szCs w:val="20"/>
        </w:rPr>
        <w:t xml:space="preserve">This </w:t>
      </w:r>
      <w:r w:rsidR="006635B6">
        <w:rPr>
          <w:color w:val="000000"/>
          <w:szCs w:val="20"/>
        </w:rPr>
        <w:t>contribution provides proposal</w:t>
      </w:r>
      <w:r>
        <w:rPr>
          <w:color w:val="000000"/>
          <w:szCs w:val="20"/>
        </w:rPr>
        <w:t>s</w:t>
      </w:r>
      <w:r w:rsidR="006635B6">
        <w:rPr>
          <w:color w:val="000000"/>
          <w:szCs w:val="20"/>
        </w:rPr>
        <w:t xml:space="preserve"> to </w:t>
      </w:r>
      <w:r>
        <w:rPr>
          <w:color w:val="000000"/>
          <w:szCs w:val="20"/>
        </w:rPr>
        <w:t>progress this topic</w:t>
      </w:r>
      <w:r w:rsidR="006635B6">
        <w:rPr>
          <w:color w:val="000000"/>
          <w:szCs w:val="20"/>
        </w:rPr>
        <w:t xml:space="preserve"> in RAN4.</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715CA013" w14:textId="0631D327" w:rsidR="005D1FA3" w:rsidRDefault="00A6772C" w:rsidP="00DC28D5">
      <w:pPr>
        <w:pStyle w:val="BodyText"/>
        <w:snapToGrid w:val="0"/>
        <w:rPr>
          <w:lang w:eastAsia="zh-CN"/>
        </w:rPr>
      </w:pPr>
      <w:r>
        <w:rPr>
          <w:color w:val="000000"/>
          <w:szCs w:val="20"/>
        </w:rPr>
        <w:t>It was agreed in the WF [3]</w:t>
      </w:r>
      <w:r w:rsidR="005D1FA3">
        <w:rPr>
          <w:lang w:eastAsia="zh-CN"/>
        </w:rPr>
        <w:t>:</w:t>
      </w:r>
    </w:p>
    <w:tbl>
      <w:tblPr>
        <w:tblStyle w:val="TableGrid"/>
        <w:tblW w:w="0" w:type="auto"/>
        <w:tblLook w:val="04A0" w:firstRow="1" w:lastRow="0" w:firstColumn="1" w:lastColumn="0" w:noHBand="0" w:noVBand="1"/>
      </w:tblPr>
      <w:tblGrid>
        <w:gridCol w:w="9062"/>
      </w:tblGrid>
      <w:tr w:rsidR="005D1FA3" w14:paraId="3117499B" w14:textId="77777777" w:rsidTr="005D1FA3">
        <w:tc>
          <w:tcPr>
            <w:tcW w:w="9062" w:type="dxa"/>
          </w:tcPr>
          <w:p w14:paraId="26BAB32D" w14:textId="77777777" w:rsidR="00A6772C" w:rsidRPr="00A6772C" w:rsidRDefault="00A6772C" w:rsidP="00A6772C">
            <w:pPr>
              <w:pStyle w:val="ListParagraph"/>
              <w:numPr>
                <w:ilvl w:val="0"/>
                <w:numId w:val="10"/>
              </w:numPr>
              <w:spacing w:after="120" w:line="259" w:lineRule="auto"/>
              <w:ind w:left="720"/>
              <w:contextualSpacing w:val="0"/>
              <w:rPr>
                <w:rFonts w:eastAsia="SimSun"/>
                <w:lang w:eastAsia="zh-CN"/>
              </w:rPr>
            </w:pPr>
            <w:r w:rsidRPr="00A6772C">
              <w:rPr>
                <w:rFonts w:eastAsia="SimSun" w:hint="eastAsia"/>
                <w:lang w:eastAsia="zh-CN"/>
              </w:rPr>
              <w:t xml:space="preserve">Agreement: </w:t>
            </w:r>
          </w:p>
          <w:p w14:paraId="637879A5" w14:textId="77777777" w:rsidR="00A6772C" w:rsidRPr="00A6772C" w:rsidRDefault="00A6772C" w:rsidP="00A6772C">
            <w:pPr>
              <w:pStyle w:val="ListParagraph"/>
              <w:numPr>
                <w:ilvl w:val="1"/>
                <w:numId w:val="10"/>
              </w:numPr>
              <w:spacing w:after="120" w:line="259" w:lineRule="auto"/>
              <w:ind w:left="1440"/>
              <w:contextualSpacing w:val="0"/>
              <w:rPr>
                <w:iCs/>
                <w:lang w:eastAsia="zh-CN"/>
              </w:rPr>
            </w:pPr>
            <w:r w:rsidRPr="00A6772C">
              <w:rPr>
                <w:rFonts w:hint="eastAsia"/>
                <w:iCs/>
                <w:lang w:eastAsia="zh-CN"/>
              </w:rPr>
              <w:t>To keep the current TRP testing method, TRP sampling grid and testing chamber in the specification</w:t>
            </w:r>
          </w:p>
          <w:p w14:paraId="7005FF12" w14:textId="39C8EDF9" w:rsidR="005D1FA3" w:rsidRPr="00A6772C" w:rsidRDefault="00A6772C" w:rsidP="00A6772C">
            <w:pPr>
              <w:pStyle w:val="ListParagraph"/>
              <w:numPr>
                <w:ilvl w:val="1"/>
                <w:numId w:val="10"/>
              </w:numPr>
              <w:spacing w:after="120" w:line="259" w:lineRule="auto"/>
              <w:ind w:left="1440"/>
              <w:contextualSpacing w:val="0"/>
              <w:rPr>
                <w:iCs/>
                <w:color w:val="0070C0"/>
                <w:lang w:eastAsia="zh-CN"/>
              </w:rPr>
            </w:pPr>
            <w:r w:rsidRPr="00A6772C">
              <w:rPr>
                <w:rFonts w:hint="eastAsia"/>
                <w:iCs/>
                <w:lang w:eastAsia="zh-CN"/>
              </w:rPr>
              <w:t>Further discuss how to improve the test procedure and the applicability of testing method for different requirements in Annex N of TS 38.141-2.</w:t>
            </w:r>
          </w:p>
        </w:tc>
      </w:tr>
    </w:tbl>
    <w:p w14:paraId="0C97C15B" w14:textId="77777777" w:rsidR="005D1FA3" w:rsidRDefault="005D1FA3" w:rsidP="00DC28D5">
      <w:pPr>
        <w:pStyle w:val="BodyText"/>
        <w:snapToGrid w:val="0"/>
        <w:rPr>
          <w:lang w:eastAsia="zh-CN"/>
        </w:rPr>
      </w:pPr>
    </w:p>
    <w:p w14:paraId="48B1D24E" w14:textId="2FE44218" w:rsidR="0013192A" w:rsidRDefault="00A6772C" w:rsidP="00DC28D5">
      <w:pPr>
        <w:pStyle w:val="BodyText"/>
        <w:snapToGrid w:val="0"/>
        <w:rPr>
          <w:lang w:eastAsia="zh-CN"/>
        </w:rPr>
      </w:pPr>
      <w:r>
        <w:rPr>
          <w:lang w:eastAsia="zh-CN"/>
        </w:rPr>
        <w:t xml:space="preserve">To improve the test procedure, it was proposed </w:t>
      </w:r>
      <w:r w:rsidR="00170E6B">
        <w:rPr>
          <w:lang w:eastAsia="zh-CN"/>
        </w:rPr>
        <w:t xml:space="preserve">[4,5] </w:t>
      </w:r>
      <w:r>
        <w:rPr>
          <w:lang w:eastAsia="zh-CN"/>
        </w:rPr>
        <w:t xml:space="preserve">to </w:t>
      </w:r>
      <w:r w:rsidR="00170E6B">
        <w:rPr>
          <w:lang w:eastAsia="zh-CN"/>
        </w:rPr>
        <w:t xml:space="preserve">define a sequence for the TRP </w:t>
      </w:r>
      <w:r w:rsidR="0013192A">
        <w:rPr>
          <w:lang w:eastAsia="zh-CN"/>
        </w:rPr>
        <w:t xml:space="preserve">measurement procedures </w:t>
      </w:r>
      <w:r w:rsidR="00170E6B">
        <w:rPr>
          <w:lang w:eastAsia="zh-CN"/>
        </w:rPr>
        <w:t>to be used in the test.</w:t>
      </w:r>
      <w:r w:rsidR="0013192A">
        <w:rPr>
          <w:lang w:eastAsia="zh-CN"/>
        </w:rPr>
        <w:t xml:space="preserve"> The TRP measurement procedures are described in the normative </w:t>
      </w:r>
      <w:r w:rsidR="005E292E">
        <w:rPr>
          <w:lang w:eastAsia="zh-CN"/>
        </w:rPr>
        <w:t>a</w:t>
      </w:r>
      <w:r w:rsidR="0013192A">
        <w:rPr>
          <w:lang w:eastAsia="zh-CN"/>
        </w:rPr>
        <w:t xml:space="preserve">nnex I of TS 38.141-2 [6], where it is stated in the General </w:t>
      </w:r>
      <w:r w:rsidR="006B5731">
        <w:rPr>
          <w:lang w:eastAsia="zh-CN"/>
        </w:rPr>
        <w:t>annex I.1</w:t>
      </w:r>
      <w:r w:rsidR="0013192A">
        <w:rPr>
          <w:lang w:eastAsia="zh-CN"/>
        </w:rPr>
        <w:t>:</w:t>
      </w:r>
    </w:p>
    <w:tbl>
      <w:tblPr>
        <w:tblStyle w:val="TableGrid"/>
        <w:tblW w:w="0" w:type="auto"/>
        <w:tblLook w:val="04A0" w:firstRow="1" w:lastRow="0" w:firstColumn="1" w:lastColumn="0" w:noHBand="0" w:noVBand="1"/>
      </w:tblPr>
      <w:tblGrid>
        <w:gridCol w:w="9062"/>
      </w:tblGrid>
      <w:tr w:rsidR="0013192A" w14:paraId="731DB2DD" w14:textId="77777777" w:rsidTr="0013192A">
        <w:tc>
          <w:tcPr>
            <w:tcW w:w="9062" w:type="dxa"/>
          </w:tcPr>
          <w:p w14:paraId="1C9AA0F6" w14:textId="57913B59" w:rsidR="0013192A" w:rsidRDefault="0013192A" w:rsidP="0013192A">
            <w:r w:rsidRPr="00931575">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tc>
      </w:tr>
    </w:tbl>
    <w:p w14:paraId="372CF9FE" w14:textId="77777777" w:rsidR="0013192A" w:rsidRDefault="0013192A" w:rsidP="00DC28D5">
      <w:pPr>
        <w:pStyle w:val="BodyText"/>
        <w:snapToGrid w:val="0"/>
        <w:rPr>
          <w:lang w:eastAsia="zh-CN"/>
        </w:rPr>
      </w:pPr>
    </w:p>
    <w:p w14:paraId="73E9164D" w14:textId="64EF294B" w:rsidR="005E292E" w:rsidRDefault="005E292E" w:rsidP="00DC28D5">
      <w:pPr>
        <w:pStyle w:val="BodyText"/>
        <w:snapToGrid w:val="0"/>
        <w:rPr>
          <w:lang w:eastAsia="zh-CN"/>
        </w:rPr>
      </w:pPr>
      <w:r>
        <w:rPr>
          <w:lang w:eastAsia="zh-CN"/>
        </w:rPr>
        <w:t xml:space="preserve">The TRP measurement procedures that can provide an accurate estimate of TRP values are described in </w:t>
      </w:r>
      <w:r w:rsidRPr="00931575">
        <w:rPr>
          <w:noProof/>
        </w:rPr>
        <w:t>annex I.2 to annex I.9</w:t>
      </w:r>
      <w:r>
        <w:rPr>
          <w:noProof/>
        </w:rPr>
        <w:t xml:space="preserve">. </w:t>
      </w:r>
      <w:r>
        <w:rPr>
          <w:lang w:eastAsia="zh-CN"/>
        </w:rPr>
        <w:t xml:space="preserve">The TRP measurement procedures described in annex I.10 to annex I.12 use peak emission to estimate the TRP </w:t>
      </w:r>
      <w:r w:rsidR="00C25C9F">
        <w:rPr>
          <w:lang w:eastAsia="zh-CN"/>
        </w:rPr>
        <w:t xml:space="preserve">that can provide an </w:t>
      </w:r>
      <w:r w:rsidR="00C25C9F" w:rsidRPr="00931575">
        <w:rPr>
          <w:noProof/>
        </w:rPr>
        <w:t>over-estimate of TRP values</w:t>
      </w:r>
      <w:r w:rsidR="00C25C9F">
        <w:rPr>
          <w:noProof/>
        </w:rPr>
        <w:t xml:space="preserve">. Note that it is stated that pre-scan is used for the spurious emission frequencies so it </w:t>
      </w:r>
      <w:r w:rsidR="006B5731">
        <w:rPr>
          <w:noProof/>
        </w:rPr>
        <w:t>is</w:t>
      </w:r>
      <w:r w:rsidR="00C25C9F">
        <w:rPr>
          <w:noProof/>
        </w:rPr>
        <w:t xml:space="preserve"> not </w:t>
      </w:r>
      <w:r w:rsidR="006B5731">
        <w:rPr>
          <w:noProof/>
        </w:rPr>
        <w:t xml:space="preserve">intended to be </w:t>
      </w:r>
      <w:r w:rsidR="00C25C9F">
        <w:rPr>
          <w:noProof/>
        </w:rPr>
        <w:t>used for in-band frequencies.</w:t>
      </w:r>
    </w:p>
    <w:p w14:paraId="4C615A3B" w14:textId="7DBA8478" w:rsidR="005D1FA3" w:rsidRDefault="00170E6B" w:rsidP="00DC28D5">
      <w:pPr>
        <w:pStyle w:val="BodyText"/>
        <w:snapToGrid w:val="0"/>
        <w:rPr>
          <w:lang w:eastAsia="zh-CN"/>
        </w:rPr>
      </w:pPr>
      <w:r>
        <w:rPr>
          <w:lang w:eastAsia="zh-CN"/>
        </w:rPr>
        <w:t xml:space="preserve">The main issue for the two similar proposals is that there is no option for the test </w:t>
      </w:r>
      <w:r w:rsidR="00590CA1">
        <w:rPr>
          <w:lang w:eastAsia="zh-CN"/>
        </w:rPr>
        <w:t>house</w:t>
      </w:r>
      <w:r>
        <w:rPr>
          <w:lang w:eastAsia="zh-CN"/>
        </w:rPr>
        <w:t xml:space="preserve"> to skip some intermediate TRP sampling grid</w:t>
      </w:r>
      <w:r w:rsidR="00C25C9F">
        <w:rPr>
          <w:lang w:eastAsia="zh-CN"/>
        </w:rPr>
        <w:t>s</w:t>
      </w:r>
      <w:r>
        <w:rPr>
          <w:lang w:eastAsia="zh-CN"/>
        </w:rPr>
        <w:t xml:space="preserve"> in case it deems appropriate, e.g., results in pre-scan have shown that the BS under test </w:t>
      </w:r>
      <w:r w:rsidR="00837A9B">
        <w:rPr>
          <w:lang w:eastAsia="zh-CN"/>
        </w:rPr>
        <w:t>would be</w:t>
      </w:r>
      <w:r>
        <w:rPr>
          <w:lang w:eastAsia="zh-CN"/>
        </w:rPr>
        <w:t xml:space="preserve"> unlikely or </w:t>
      </w:r>
      <w:r w:rsidR="00837A9B">
        <w:rPr>
          <w:lang w:eastAsia="zh-CN"/>
        </w:rPr>
        <w:t xml:space="preserve">marginal </w:t>
      </w:r>
      <w:r>
        <w:rPr>
          <w:lang w:eastAsia="zh-CN"/>
        </w:rPr>
        <w:t>to pass the test requirements with the intermediate TRP sampling grid</w:t>
      </w:r>
      <w:r w:rsidR="00C25C9F">
        <w:rPr>
          <w:lang w:eastAsia="zh-CN"/>
        </w:rPr>
        <w:t>s</w:t>
      </w:r>
      <w:r>
        <w:rPr>
          <w:lang w:eastAsia="zh-CN"/>
        </w:rPr>
        <w:t xml:space="preserve">, and thus it makes sense to measure with the dense grid directly instead of going through the intermediate </w:t>
      </w:r>
      <w:r w:rsidR="006B5731">
        <w:rPr>
          <w:lang w:eastAsia="zh-CN"/>
        </w:rPr>
        <w:t>grid</w:t>
      </w:r>
      <w:r>
        <w:rPr>
          <w:lang w:eastAsia="zh-CN"/>
        </w:rPr>
        <w:t>s first.</w:t>
      </w:r>
      <w:r w:rsidR="00BA505B">
        <w:rPr>
          <w:lang w:eastAsia="zh-CN"/>
        </w:rPr>
        <w:t xml:space="preserve"> Therefore, it is proposed to allow the test house to skip some of the intermediate </w:t>
      </w:r>
      <w:r w:rsidR="00C25C9F">
        <w:rPr>
          <w:lang w:eastAsia="zh-CN"/>
        </w:rPr>
        <w:t>TRP sampling grids</w:t>
      </w:r>
      <w:r w:rsidR="00BA505B">
        <w:rPr>
          <w:lang w:eastAsia="zh-CN"/>
        </w:rPr>
        <w:t xml:space="preserve"> in the </w:t>
      </w:r>
      <w:r w:rsidR="006B5731">
        <w:rPr>
          <w:lang w:eastAsia="zh-CN"/>
        </w:rPr>
        <w:t xml:space="preserve">proposed sequence for the TRP measurement </w:t>
      </w:r>
      <w:r w:rsidR="00BA505B">
        <w:rPr>
          <w:lang w:eastAsia="zh-CN"/>
        </w:rPr>
        <w:t>procedure</w:t>
      </w:r>
      <w:r w:rsidR="006B5731">
        <w:rPr>
          <w:lang w:eastAsia="zh-CN"/>
        </w:rPr>
        <w:t>s</w:t>
      </w:r>
      <w:r w:rsidR="00C25C9F">
        <w:rPr>
          <w:lang w:eastAsia="zh-CN"/>
        </w:rPr>
        <w:t>, as described in the following:</w:t>
      </w:r>
    </w:p>
    <w:tbl>
      <w:tblPr>
        <w:tblStyle w:val="TableGrid"/>
        <w:tblW w:w="0" w:type="auto"/>
        <w:tblLook w:val="04A0" w:firstRow="1" w:lastRow="0" w:firstColumn="1" w:lastColumn="0" w:noHBand="0" w:noVBand="1"/>
      </w:tblPr>
      <w:tblGrid>
        <w:gridCol w:w="9062"/>
      </w:tblGrid>
      <w:tr w:rsidR="00590CA1" w14:paraId="4DA48737" w14:textId="77777777" w:rsidTr="00371562">
        <w:tc>
          <w:tcPr>
            <w:tcW w:w="9062" w:type="dxa"/>
          </w:tcPr>
          <w:p w14:paraId="6A8DDB53" w14:textId="5A3A9265" w:rsidR="00590CA1" w:rsidRPr="00590CA1" w:rsidRDefault="00590CA1" w:rsidP="00371562">
            <w:pPr>
              <w:rPr>
                <w:u w:val="single"/>
              </w:rPr>
            </w:pPr>
            <w:r w:rsidRPr="00590CA1">
              <w:rPr>
                <w:u w:val="single"/>
              </w:rPr>
              <w:lastRenderedPageBreak/>
              <w:t xml:space="preserve">OTA </w:t>
            </w:r>
            <w:r w:rsidR="00850017" w:rsidRPr="00590CA1">
              <w:rPr>
                <w:u w:val="single"/>
              </w:rPr>
              <w:t>base station output power</w:t>
            </w:r>
            <w:r w:rsidR="00850017">
              <w:rPr>
                <w:u w:val="single"/>
              </w:rPr>
              <w:t>,</w:t>
            </w:r>
            <w:r w:rsidR="00850017" w:rsidRPr="00590CA1">
              <w:rPr>
                <w:u w:val="single"/>
              </w:rPr>
              <w:t xml:space="preserve"> </w:t>
            </w:r>
            <w:r w:rsidRPr="00590CA1">
              <w:rPr>
                <w:u w:val="single"/>
              </w:rPr>
              <w:t>ACLR</w:t>
            </w:r>
            <w:r>
              <w:rPr>
                <w:u w:val="single"/>
              </w:rPr>
              <w:t xml:space="preserve"> and </w:t>
            </w:r>
            <w:r w:rsidRPr="00590CA1">
              <w:rPr>
                <w:u w:val="single"/>
              </w:rPr>
              <w:t>operating band unwanted emissions:</w:t>
            </w:r>
          </w:p>
          <w:p w14:paraId="5F23E354" w14:textId="73EDC85B" w:rsidR="00590CA1" w:rsidRDefault="00590CA1" w:rsidP="00371562">
            <w:r>
              <w:t xml:space="preserve">Step 1: Orthogonal cut grid (two-cuts and optional three cuts) as described in annex I.5 </w:t>
            </w:r>
            <w:r w:rsidR="00C53BD4">
              <w:t xml:space="preserve">or </w:t>
            </w:r>
            <w:r w:rsidR="00850017">
              <w:t>B</w:t>
            </w:r>
            <w:r w:rsidR="00C53BD4" w:rsidRPr="00931575">
              <w:t>eam-based directions</w:t>
            </w:r>
            <w:r w:rsidR="00C53BD4">
              <w:t xml:space="preserve"> as described in annex I.10 </w:t>
            </w:r>
            <w:r>
              <w:t xml:space="preserve">may be performed if chosen for the test, </w:t>
            </w:r>
            <w:r w:rsidR="00C53BD4">
              <w:t xml:space="preserve">go to step 2 if this </w:t>
            </w:r>
            <w:r w:rsidR="00850017">
              <w:t xml:space="preserve">step </w:t>
            </w:r>
            <w:r w:rsidR="00C53BD4">
              <w:t>is not chosen or the BS under test fails</w:t>
            </w:r>
            <w:r w:rsidR="00850017">
              <w:t xml:space="preserve"> the test in this step</w:t>
            </w:r>
            <w:r>
              <w:t>.</w:t>
            </w:r>
          </w:p>
          <w:p w14:paraId="7ED50818" w14:textId="77777777" w:rsidR="00590CA1" w:rsidRPr="00C25C9F" w:rsidRDefault="00590CA1" w:rsidP="00371562">
            <w:r>
              <w:t>Step 2: One of the TRP measurement procedure as described in annex I.2 to I.9 except annex I.5 shall be performed for the test.</w:t>
            </w:r>
          </w:p>
        </w:tc>
      </w:tr>
    </w:tbl>
    <w:p w14:paraId="3BE4249E" w14:textId="77777777" w:rsidR="00590CA1" w:rsidRDefault="00590CA1" w:rsidP="00590CA1">
      <w:pPr>
        <w:pStyle w:val="BodyText"/>
        <w:snapToGrid w:val="0"/>
        <w:rPr>
          <w:lang w:eastAsia="zh-CN"/>
        </w:rPr>
      </w:pPr>
    </w:p>
    <w:tbl>
      <w:tblPr>
        <w:tblStyle w:val="TableGrid"/>
        <w:tblW w:w="0" w:type="auto"/>
        <w:tblLook w:val="04A0" w:firstRow="1" w:lastRow="0" w:firstColumn="1" w:lastColumn="0" w:noHBand="0" w:noVBand="1"/>
      </w:tblPr>
      <w:tblGrid>
        <w:gridCol w:w="9062"/>
      </w:tblGrid>
      <w:tr w:rsidR="00590CA1" w14:paraId="61EB6AFF" w14:textId="77777777" w:rsidTr="00371562">
        <w:tc>
          <w:tcPr>
            <w:tcW w:w="9062" w:type="dxa"/>
          </w:tcPr>
          <w:p w14:paraId="3A5DA0DC" w14:textId="2C557D7A" w:rsidR="00590CA1" w:rsidRPr="00590CA1" w:rsidRDefault="00590CA1" w:rsidP="00371562">
            <w:pPr>
              <w:rPr>
                <w:u w:val="single"/>
              </w:rPr>
            </w:pPr>
            <w:r w:rsidRPr="00590CA1">
              <w:rPr>
                <w:u w:val="single"/>
              </w:rPr>
              <w:t xml:space="preserve">OTA </w:t>
            </w:r>
            <w:r w:rsidR="0081580A" w:rsidRPr="0081580A">
              <w:rPr>
                <w:u w:val="single"/>
              </w:rPr>
              <w:t>spurious emissions</w:t>
            </w:r>
            <w:r w:rsidRPr="00590CA1">
              <w:rPr>
                <w:u w:val="single"/>
              </w:rPr>
              <w:t>:</w:t>
            </w:r>
          </w:p>
          <w:p w14:paraId="2AF5E591" w14:textId="43D3BC48" w:rsidR="00C53BD4" w:rsidRDefault="00590CA1" w:rsidP="00371562">
            <w:r>
              <w:t xml:space="preserve">Step 1: </w:t>
            </w:r>
            <w:r w:rsidR="00C53BD4">
              <w:t>Pre-scan as described in annex I.13.</w:t>
            </w:r>
          </w:p>
          <w:p w14:paraId="34F0DB22" w14:textId="4154733D" w:rsidR="00590CA1" w:rsidRDefault="00C53BD4" w:rsidP="00371562">
            <w:r>
              <w:t xml:space="preserve">Step 2: </w:t>
            </w:r>
            <w:r w:rsidR="00590CA1">
              <w:t>Orthogonal cut grid (two-cuts and optional three cuts) as described in annex I.5</w:t>
            </w:r>
            <w:r w:rsidR="00DB3AD8">
              <w:t xml:space="preserve"> or</w:t>
            </w:r>
            <w:r w:rsidR="00850017">
              <w:t xml:space="preserve"> P</w:t>
            </w:r>
            <w:r w:rsidR="00850017" w:rsidRPr="00931575">
              <w:t>eak method</w:t>
            </w:r>
            <w:r w:rsidR="00850017">
              <w:t xml:space="preserve"> as described in annex I.11 or</w:t>
            </w:r>
            <w:r w:rsidR="00850017" w:rsidRPr="00931575">
              <w:t xml:space="preserve"> Equal sector with peak average</w:t>
            </w:r>
            <w:r w:rsidR="00850017">
              <w:t xml:space="preserve"> as described in annex I.12 </w:t>
            </w:r>
            <w:r w:rsidR="00590CA1">
              <w:t xml:space="preserve">may be performed if chosen for the test, </w:t>
            </w:r>
            <w:r w:rsidR="00DB3AD8">
              <w:t>go to step 3 if this step is not chosen or the BS under test fails the test in this step</w:t>
            </w:r>
            <w:r w:rsidR="00590CA1">
              <w:t>.</w:t>
            </w:r>
          </w:p>
          <w:p w14:paraId="17137E92" w14:textId="26CB247C" w:rsidR="00590CA1" w:rsidRPr="00C25C9F" w:rsidRDefault="00590CA1" w:rsidP="00371562">
            <w:r>
              <w:t xml:space="preserve">Step </w:t>
            </w:r>
            <w:r w:rsidR="00DB3AD8">
              <w:t>3</w:t>
            </w:r>
            <w:r>
              <w:t>: One of the TRP measurement procedure as described in annex I.2 to I.9 except annex I.5 shall be performed for the test.</w:t>
            </w:r>
          </w:p>
        </w:tc>
      </w:tr>
    </w:tbl>
    <w:p w14:paraId="1F74AF2D" w14:textId="77777777" w:rsidR="00590CA1" w:rsidRDefault="00590CA1" w:rsidP="00590CA1">
      <w:pPr>
        <w:pStyle w:val="BodyText"/>
        <w:snapToGrid w:val="0"/>
        <w:rPr>
          <w:lang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6639AFD9" w14:textId="438ABB5A" w:rsidR="00DB3AD8" w:rsidRDefault="002400FE" w:rsidP="00DB3AD8">
      <w:pPr>
        <w:pStyle w:val="BodyText"/>
        <w:snapToGrid w:val="0"/>
        <w:rPr>
          <w:lang w:eastAsia="zh-CN"/>
        </w:rPr>
      </w:pPr>
      <w:r w:rsidRPr="00DC28D5">
        <w:rPr>
          <w:color w:val="000000"/>
          <w:szCs w:val="20"/>
        </w:rPr>
        <w:t xml:space="preserve">This contribution </w:t>
      </w:r>
      <w:r w:rsidR="00F86605">
        <w:rPr>
          <w:color w:val="000000"/>
          <w:szCs w:val="20"/>
        </w:rPr>
        <w:t xml:space="preserve">has </w:t>
      </w:r>
      <w:r w:rsidR="00D62271">
        <w:rPr>
          <w:color w:val="000000"/>
          <w:szCs w:val="20"/>
        </w:rPr>
        <w:t>provide</w:t>
      </w:r>
      <w:r w:rsidR="00F86605">
        <w:rPr>
          <w:color w:val="000000"/>
          <w:szCs w:val="20"/>
        </w:rPr>
        <w:t>d proposal</w:t>
      </w:r>
      <w:r w:rsidR="007A0EA8">
        <w:rPr>
          <w:color w:val="000000"/>
          <w:szCs w:val="20"/>
        </w:rPr>
        <w:t>s</w:t>
      </w:r>
      <w:r w:rsidR="00F86605">
        <w:rPr>
          <w:color w:val="000000"/>
          <w:szCs w:val="20"/>
        </w:rPr>
        <w:t xml:space="preserve"> to </w:t>
      </w:r>
      <w:r w:rsidR="007A0EA8">
        <w:rPr>
          <w:color w:val="000000"/>
          <w:szCs w:val="20"/>
        </w:rPr>
        <w:t>progress</w:t>
      </w:r>
      <w:r w:rsidR="00F86605">
        <w:rPr>
          <w:color w:val="000000"/>
          <w:szCs w:val="20"/>
        </w:rPr>
        <w:t xml:space="preserve"> the objective of the WI for</w:t>
      </w:r>
      <w:r w:rsidR="00F86605" w:rsidRPr="00F86605">
        <w:rPr>
          <w:lang w:eastAsia="zh-CN"/>
        </w:rPr>
        <w:t xml:space="preserve"> </w:t>
      </w:r>
      <w:r w:rsidR="007A0EA8">
        <w:t>TRP simplification</w:t>
      </w:r>
      <w:r w:rsidR="007A0EA8">
        <w:rPr>
          <w:color w:val="000000"/>
          <w:szCs w:val="20"/>
        </w:rPr>
        <w:t xml:space="preserve"> </w:t>
      </w:r>
      <w:r w:rsidR="00F86605">
        <w:rPr>
          <w:color w:val="000000"/>
          <w:szCs w:val="20"/>
        </w:rPr>
        <w:t>in RAN4</w:t>
      </w:r>
      <w:r w:rsidR="00DB3AD8">
        <w:rPr>
          <w:color w:val="000000"/>
          <w:szCs w:val="20"/>
        </w:rPr>
        <w:t xml:space="preserve">, </w:t>
      </w:r>
      <w:r w:rsidR="00DB3AD8">
        <w:rPr>
          <w:lang w:eastAsia="zh-CN"/>
        </w:rPr>
        <w:t xml:space="preserve">it is proposed to allow the test house to skip some of the intermediate TRP sampling grids </w:t>
      </w:r>
      <w:r w:rsidR="006B5731">
        <w:rPr>
          <w:lang w:eastAsia="zh-CN"/>
        </w:rPr>
        <w:t>in the proposed sequence for the TRP measurement procedures</w:t>
      </w:r>
      <w:r w:rsidR="00DB3AD8">
        <w:rPr>
          <w:lang w:eastAsia="zh-CN"/>
        </w:rPr>
        <w:t>, as described in the following:</w:t>
      </w:r>
    </w:p>
    <w:tbl>
      <w:tblPr>
        <w:tblStyle w:val="TableGrid"/>
        <w:tblW w:w="0" w:type="auto"/>
        <w:tblLook w:val="04A0" w:firstRow="1" w:lastRow="0" w:firstColumn="1" w:lastColumn="0" w:noHBand="0" w:noVBand="1"/>
      </w:tblPr>
      <w:tblGrid>
        <w:gridCol w:w="9062"/>
      </w:tblGrid>
      <w:tr w:rsidR="00DB3AD8" w14:paraId="5084C15C" w14:textId="77777777" w:rsidTr="00371562">
        <w:tc>
          <w:tcPr>
            <w:tcW w:w="9062" w:type="dxa"/>
          </w:tcPr>
          <w:p w14:paraId="4E1BFC89" w14:textId="77777777" w:rsidR="00DB3AD8" w:rsidRPr="00590CA1" w:rsidRDefault="00DB3AD8" w:rsidP="00371562">
            <w:pPr>
              <w:rPr>
                <w:u w:val="single"/>
              </w:rPr>
            </w:pPr>
            <w:r w:rsidRPr="00590CA1">
              <w:rPr>
                <w:u w:val="single"/>
              </w:rPr>
              <w:t>OTA base station output power</w:t>
            </w:r>
            <w:r>
              <w:rPr>
                <w:u w:val="single"/>
              </w:rPr>
              <w:t>,</w:t>
            </w:r>
            <w:r w:rsidRPr="00590CA1">
              <w:rPr>
                <w:u w:val="single"/>
              </w:rPr>
              <w:t xml:space="preserve"> ACLR</w:t>
            </w:r>
            <w:r>
              <w:rPr>
                <w:u w:val="single"/>
              </w:rPr>
              <w:t xml:space="preserve"> and </w:t>
            </w:r>
            <w:r w:rsidRPr="00590CA1">
              <w:rPr>
                <w:u w:val="single"/>
              </w:rPr>
              <w:t>operating band unwanted emissions:</w:t>
            </w:r>
          </w:p>
          <w:p w14:paraId="22B3F268" w14:textId="77777777" w:rsidR="00DB3AD8" w:rsidRDefault="00DB3AD8" w:rsidP="00371562">
            <w:r>
              <w:t>Step 1: Orthogonal cut grid (two-cuts and optional three cuts) as described in annex I.5 or B</w:t>
            </w:r>
            <w:r w:rsidRPr="00931575">
              <w:t>eam-based directions</w:t>
            </w:r>
            <w:r>
              <w:t xml:space="preserve"> as described in annex I.10 may be performed if chosen for the test, go to step 2 if this step is not chosen or the BS under test fails the test in this step.</w:t>
            </w:r>
          </w:p>
          <w:p w14:paraId="6C674311" w14:textId="77777777" w:rsidR="00DB3AD8" w:rsidRPr="00C25C9F" w:rsidRDefault="00DB3AD8" w:rsidP="00371562">
            <w:r>
              <w:t>Step 2: One of the TRP measurement procedure as described in annex I.2 to I.9 except annex I.5 shall be performed for the test.</w:t>
            </w:r>
          </w:p>
        </w:tc>
      </w:tr>
    </w:tbl>
    <w:p w14:paraId="0FFACCB4" w14:textId="77777777" w:rsidR="00DB3AD8" w:rsidRDefault="00DB3AD8" w:rsidP="00DB3AD8">
      <w:pPr>
        <w:pStyle w:val="BodyText"/>
        <w:snapToGrid w:val="0"/>
        <w:rPr>
          <w:lang w:eastAsia="zh-CN"/>
        </w:rPr>
      </w:pPr>
    </w:p>
    <w:tbl>
      <w:tblPr>
        <w:tblStyle w:val="TableGrid"/>
        <w:tblW w:w="0" w:type="auto"/>
        <w:tblLook w:val="04A0" w:firstRow="1" w:lastRow="0" w:firstColumn="1" w:lastColumn="0" w:noHBand="0" w:noVBand="1"/>
      </w:tblPr>
      <w:tblGrid>
        <w:gridCol w:w="9062"/>
      </w:tblGrid>
      <w:tr w:rsidR="00DB3AD8" w14:paraId="708A8980" w14:textId="77777777" w:rsidTr="00371562">
        <w:tc>
          <w:tcPr>
            <w:tcW w:w="9062" w:type="dxa"/>
          </w:tcPr>
          <w:p w14:paraId="238BC68C" w14:textId="54CB4BBD" w:rsidR="00DB3AD8" w:rsidRPr="00590CA1" w:rsidRDefault="00DB3AD8" w:rsidP="00371562">
            <w:pPr>
              <w:rPr>
                <w:u w:val="single"/>
              </w:rPr>
            </w:pPr>
            <w:r w:rsidRPr="00590CA1">
              <w:rPr>
                <w:u w:val="single"/>
              </w:rPr>
              <w:t xml:space="preserve">OTA </w:t>
            </w:r>
            <w:r w:rsidR="0081580A" w:rsidRPr="0081580A">
              <w:rPr>
                <w:u w:val="single"/>
              </w:rPr>
              <w:t>spurious emissions</w:t>
            </w:r>
            <w:r w:rsidRPr="00590CA1">
              <w:rPr>
                <w:u w:val="single"/>
              </w:rPr>
              <w:t>:</w:t>
            </w:r>
          </w:p>
          <w:p w14:paraId="444CA254" w14:textId="77777777" w:rsidR="00DB3AD8" w:rsidRDefault="00DB3AD8" w:rsidP="00371562">
            <w:r>
              <w:t>Step 1: Pre-scan as described in annex I.13.</w:t>
            </w:r>
          </w:p>
          <w:p w14:paraId="4AFC5691" w14:textId="77777777" w:rsidR="00DB3AD8" w:rsidRDefault="00DB3AD8" w:rsidP="00371562">
            <w:r>
              <w:t>Step 2: Orthogonal cut grid (two-cuts and optional three cuts) as described in annex I.5 or P</w:t>
            </w:r>
            <w:r w:rsidRPr="00931575">
              <w:t>eak method</w:t>
            </w:r>
            <w:r>
              <w:t xml:space="preserve"> as described in annex I.11 or</w:t>
            </w:r>
            <w:r w:rsidRPr="00931575">
              <w:t xml:space="preserve"> Equal sector with peak average</w:t>
            </w:r>
            <w:r>
              <w:t xml:space="preserve"> as described in annex I.12 may be performed if chosen for the test, go to step 3 if this step is not chosen or the BS under test fails the test in this step.</w:t>
            </w:r>
          </w:p>
          <w:p w14:paraId="4D91E1A6" w14:textId="77777777" w:rsidR="00DB3AD8" w:rsidRPr="00C25C9F" w:rsidRDefault="00DB3AD8" w:rsidP="00371562">
            <w:r>
              <w:t>Step 3: One of the TRP measurement procedure as described in annex I.2 to I.9 except annex I.5 shall be performed for the test.</w:t>
            </w:r>
          </w:p>
        </w:tc>
      </w:tr>
    </w:tbl>
    <w:p w14:paraId="1BFF8286" w14:textId="77777777" w:rsidR="007D2A5C" w:rsidRDefault="007D2A5C" w:rsidP="007D2A5C">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1E42E8C9"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ED28B9">
        <w:rPr>
          <w:szCs w:val="20"/>
        </w:rPr>
        <w:t>4</w:t>
      </w:r>
      <w:r w:rsidR="007B348B">
        <w:rPr>
          <w:szCs w:val="20"/>
        </w:rPr>
        <w:t>3270</w:t>
      </w:r>
      <w:r w:rsidRPr="00030788">
        <w:rPr>
          <w:szCs w:val="20"/>
        </w:rPr>
        <w:t>, “</w:t>
      </w:r>
      <w:r w:rsidR="007B348B" w:rsidRPr="007B348B">
        <w:rPr>
          <w:szCs w:val="20"/>
        </w:rPr>
        <w:t>Revised WID: NR base station (BS) RF requirement evolution for FR1/FR2 and testing</w:t>
      </w:r>
      <w:r w:rsidRPr="00030788">
        <w:rPr>
          <w:szCs w:val="20"/>
        </w:rPr>
        <w:t xml:space="preserve">”, </w:t>
      </w:r>
      <w:r w:rsidR="007B348B" w:rsidRPr="007B348B">
        <w:rPr>
          <w:szCs w:val="20"/>
        </w:rPr>
        <w:t>ZTE Corporation,</w:t>
      </w:r>
      <w:r w:rsidR="00C417AA">
        <w:rPr>
          <w:szCs w:val="20"/>
        </w:rPr>
        <w:t xml:space="preserve"> </w:t>
      </w:r>
      <w:proofErr w:type="spellStart"/>
      <w:r w:rsidR="007B348B" w:rsidRPr="007B348B">
        <w:rPr>
          <w:szCs w:val="20"/>
        </w:rPr>
        <w:t>HiSilicon</w:t>
      </w:r>
      <w:proofErr w:type="spellEnd"/>
      <w:r w:rsidR="007B348B" w:rsidRPr="007B348B">
        <w:rPr>
          <w:szCs w:val="20"/>
        </w:rPr>
        <w:t>, Huawei, Ericsson, Nokia, NEC</w:t>
      </w:r>
      <w:r w:rsidRPr="00030788">
        <w:rPr>
          <w:szCs w:val="20"/>
        </w:rPr>
        <w:t>.</w:t>
      </w:r>
    </w:p>
    <w:p w14:paraId="026B6CC1" w14:textId="2054D6D2" w:rsidR="00E2324E" w:rsidRDefault="00E2324E" w:rsidP="00E2324E">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sidR="0013192A">
        <w:rPr>
          <w:szCs w:val="20"/>
        </w:rPr>
        <w:t>5</w:t>
      </w:r>
      <w:r w:rsidR="008A0E25">
        <w:rPr>
          <w:szCs w:val="20"/>
        </w:rPr>
        <w:t>00565</w:t>
      </w:r>
      <w:r w:rsidRPr="00030788">
        <w:rPr>
          <w:szCs w:val="20"/>
        </w:rPr>
        <w:t>, “</w:t>
      </w:r>
      <w:r w:rsidR="00C417AA" w:rsidRPr="00C417AA">
        <w:rPr>
          <w:szCs w:val="20"/>
        </w:rPr>
        <w:t>Topic summary for [11</w:t>
      </w:r>
      <w:r w:rsidR="008A0E25">
        <w:rPr>
          <w:szCs w:val="20"/>
        </w:rPr>
        <w:t>4</w:t>
      </w:r>
      <w:r w:rsidR="00C417AA" w:rsidRPr="00C417AA">
        <w:rPr>
          <w:szCs w:val="20"/>
        </w:rPr>
        <w:t>][304] NR_BS_RF_Part3_OTA_TRP</w:t>
      </w:r>
      <w:r w:rsidRPr="00030788">
        <w:rPr>
          <w:szCs w:val="20"/>
        </w:rPr>
        <w:t xml:space="preserve">”, </w:t>
      </w:r>
      <w:r w:rsidRPr="00E2324E">
        <w:rPr>
          <w:szCs w:val="20"/>
        </w:rPr>
        <w:t>ZTE</w:t>
      </w:r>
      <w:r w:rsidRPr="00030788">
        <w:rPr>
          <w:szCs w:val="20"/>
        </w:rPr>
        <w:t>.</w:t>
      </w:r>
    </w:p>
    <w:p w14:paraId="4B35A95D" w14:textId="3773F2E7" w:rsidR="00E2324E" w:rsidRDefault="00E2324E" w:rsidP="00E2324E">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sidR="0013192A">
        <w:rPr>
          <w:szCs w:val="20"/>
        </w:rPr>
        <w:t>5</w:t>
      </w:r>
      <w:r w:rsidR="008A0E25">
        <w:rPr>
          <w:szCs w:val="20"/>
        </w:rPr>
        <w:t>02375</w:t>
      </w:r>
      <w:r w:rsidRPr="00030788">
        <w:rPr>
          <w:szCs w:val="20"/>
        </w:rPr>
        <w:t>, “</w:t>
      </w:r>
      <w:r w:rsidR="00C417AA" w:rsidRPr="00C417AA">
        <w:rPr>
          <w:szCs w:val="20"/>
        </w:rPr>
        <w:t>Way Forward for [11</w:t>
      </w:r>
      <w:r w:rsidR="008A0E25">
        <w:rPr>
          <w:szCs w:val="20"/>
        </w:rPr>
        <w:t>4</w:t>
      </w:r>
      <w:r w:rsidR="00C417AA" w:rsidRPr="00C417AA">
        <w:rPr>
          <w:szCs w:val="20"/>
        </w:rPr>
        <w:t>][304] NR_BS_RF_Part3_OTA_TRP</w:t>
      </w:r>
      <w:r w:rsidRPr="00030788">
        <w:rPr>
          <w:szCs w:val="20"/>
        </w:rPr>
        <w:t xml:space="preserve">”, </w:t>
      </w:r>
      <w:r w:rsidR="00C417AA" w:rsidRPr="007B348B">
        <w:rPr>
          <w:szCs w:val="20"/>
        </w:rPr>
        <w:t>ZTE Corporation</w:t>
      </w:r>
      <w:r w:rsidRPr="00030788">
        <w:rPr>
          <w:szCs w:val="20"/>
        </w:rPr>
        <w:t>.</w:t>
      </w:r>
    </w:p>
    <w:p w14:paraId="64AF1EE3" w14:textId="042ABDCC" w:rsidR="00E2324E" w:rsidRDefault="00E2324E" w:rsidP="00E2324E">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sidR="0013192A">
        <w:rPr>
          <w:szCs w:val="20"/>
        </w:rPr>
        <w:t>501647</w:t>
      </w:r>
      <w:r w:rsidRPr="00030788">
        <w:rPr>
          <w:szCs w:val="20"/>
        </w:rPr>
        <w:t>, “</w:t>
      </w:r>
      <w:r w:rsidR="0013192A" w:rsidRPr="0013192A">
        <w:rPr>
          <w:szCs w:val="20"/>
        </w:rPr>
        <w:t>TS 38.141-2 Annex I: Discussion on improvement of TRP measurement methods</w:t>
      </w:r>
      <w:r w:rsidRPr="00030788">
        <w:rPr>
          <w:szCs w:val="20"/>
        </w:rPr>
        <w:t xml:space="preserve">”, </w:t>
      </w:r>
      <w:r w:rsidR="0013192A">
        <w:rPr>
          <w:szCs w:val="20"/>
        </w:rPr>
        <w:t>Ericsson</w:t>
      </w:r>
      <w:r w:rsidRPr="00030788">
        <w:rPr>
          <w:szCs w:val="20"/>
        </w:rPr>
        <w:t>.</w:t>
      </w:r>
    </w:p>
    <w:p w14:paraId="615F09E9" w14:textId="2098A312" w:rsidR="0013192A" w:rsidRDefault="0013192A" w:rsidP="0013192A">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501879</w:t>
      </w:r>
      <w:r w:rsidRPr="00030788">
        <w:rPr>
          <w:szCs w:val="20"/>
        </w:rPr>
        <w:t>, “</w:t>
      </w:r>
      <w:r w:rsidRPr="0013192A">
        <w:rPr>
          <w:szCs w:val="20"/>
        </w:rPr>
        <w:t>Discussion on the applicability improvement of TRP measurement</w:t>
      </w:r>
      <w:r w:rsidRPr="00030788">
        <w:rPr>
          <w:szCs w:val="20"/>
        </w:rPr>
        <w:t xml:space="preserve">”, </w:t>
      </w:r>
      <w:r w:rsidRPr="0013192A">
        <w:rPr>
          <w:szCs w:val="20"/>
        </w:rPr>
        <w:t xml:space="preserve">ZTE Corporation, </w:t>
      </w:r>
      <w:proofErr w:type="spellStart"/>
      <w:r w:rsidRPr="0013192A">
        <w:rPr>
          <w:szCs w:val="20"/>
        </w:rPr>
        <w:t>Sanechips</w:t>
      </w:r>
      <w:proofErr w:type="spellEnd"/>
      <w:r w:rsidRPr="00030788">
        <w:rPr>
          <w:szCs w:val="20"/>
        </w:rPr>
        <w:t>.</w:t>
      </w:r>
    </w:p>
    <w:p w14:paraId="2D40DCF5" w14:textId="497F7B1F" w:rsidR="00E2324E" w:rsidRDefault="00E2324E" w:rsidP="0013192A">
      <w:pPr>
        <w:tabs>
          <w:tab w:val="center" w:pos="4153"/>
          <w:tab w:val="right" w:pos="8306"/>
        </w:tabs>
        <w:ind w:left="567" w:hanging="567"/>
      </w:pPr>
      <w:r w:rsidRPr="00030788">
        <w:rPr>
          <w:szCs w:val="20"/>
        </w:rPr>
        <w:t>[</w:t>
      </w:r>
      <w:r w:rsidR="0013192A">
        <w:rPr>
          <w:szCs w:val="20"/>
        </w:rPr>
        <w:t>6</w:t>
      </w:r>
      <w:r w:rsidRPr="00030788">
        <w:rPr>
          <w:szCs w:val="20"/>
        </w:rPr>
        <w:t>]</w:t>
      </w:r>
      <w:r w:rsidRPr="00030788">
        <w:rPr>
          <w:szCs w:val="20"/>
        </w:rPr>
        <w:tab/>
      </w:r>
      <w:r w:rsidR="0013192A">
        <w:t>3GPP</w:t>
      </w:r>
      <w:r w:rsidR="0006576C" w:rsidRPr="00397F38">
        <w:t xml:space="preserve"> T</w:t>
      </w:r>
      <w:r w:rsidR="0013192A">
        <w:t>S</w:t>
      </w:r>
      <w:r w:rsidR="0006576C" w:rsidRPr="00397F38">
        <w:t xml:space="preserve"> </w:t>
      </w:r>
      <w:r w:rsidR="0013192A">
        <w:t>38.141-2</w:t>
      </w:r>
      <w:r w:rsidR="00BF43BD" w:rsidRPr="00BF43BD">
        <w:t xml:space="preserve"> </w:t>
      </w:r>
      <w:r w:rsidR="00BF43BD" w:rsidRPr="00B27937">
        <w:t>v</w:t>
      </w:r>
      <w:r w:rsidR="0013192A">
        <w:t>19</w:t>
      </w:r>
      <w:r w:rsidR="00BF43BD" w:rsidRPr="00B27937">
        <w:t>.</w:t>
      </w:r>
      <w:r w:rsidR="00BF43BD">
        <w:t>0.</w:t>
      </w:r>
      <w:r w:rsidR="0013192A">
        <w:t>0</w:t>
      </w:r>
      <w:r w:rsidR="00BF43BD" w:rsidRPr="00B27937">
        <w:t>:</w:t>
      </w:r>
      <w:r w:rsidR="0006576C" w:rsidRPr="00111D69">
        <w:t xml:space="preserve"> </w:t>
      </w:r>
      <w:r w:rsidR="00BF43BD">
        <w:t>“</w:t>
      </w:r>
      <w:r w:rsidR="0013192A">
        <w:t>NR; Base Station (BS) conformance testing Part 2: Radiated conformance testing</w:t>
      </w:r>
      <w:r w:rsidR="00BF43BD">
        <w:t>”.</w:t>
      </w:r>
    </w:p>
    <w:p w14:paraId="19E5C22E" w14:textId="77777777" w:rsidR="004074B6" w:rsidRDefault="004074B6" w:rsidP="00E2324E">
      <w:pPr>
        <w:tabs>
          <w:tab w:val="center" w:pos="4153"/>
          <w:tab w:val="right" w:pos="8306"/>
        </w:tabs>
        <w:ind w:left="567" w:hanging="567"/>
        <w:rPr>
          <w:szCs w:val="20"/>
        </w:rPr>
      </w:pPr>
    </w:p>
    <w:sectPr w:rsidR="004074B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9BC0B" w14:textId="77777777" w:rsidR="00D76071" w:rsidRPr="004E3B67" w:rsidRDefault="00D76071" w:rsidP="00DA44AD">
      <w:pPr>
        <w:rPr>
          <w:rFonts w:eastAsia="SimSun" w:cs="Arial"/>
          <w:color w:val="0000FF"/>
          <w:kern w:val="2"/>
          <w:lang w:eastAsia="zh-CN"/>
        </w:rPr>
      </w:pPr>
      <w:r>
        <w:separator/>
      </w:r>
    </w:p>
  </w:endnote>
  <w:endnote w:type="continuationSeparator" w:id="0">
    <w:p w14:paraId="6F4420EB" w14:textId="77777777" w:rsidR="00D76071" w:rsidRPr="004E3B67" w:rsidRDefault="00D7607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D855F" w14:textId="77777777" w:rsidR="00D76071" w:rsidRPr="004E3B67" w:rsidRDefault="00D76071" w:rsidP="00DA44AD">
      <w:pPr>
        <w:rPr>
          <w:rFonts w:eastAsia="SimSun" w:cs="Arial"/>
          <w:color w:val="0000FF"/>
          <w:kern w:val="2"/>
          <w:lang w:eastAsia="zh-CN"/>
        </w:rPr>
      </w:pPr>
      <w:r>
        <w:separator/>
      </w:r>
    </w:p>
  </w:footnote>
  <w:footnote w:type="continuationSeparator" w:id="0">
    <w:p w14:paraId="7871C399" w14:textId="77777777" w:rsidR="00D76071" w:rsidRPr="004E3B67" w:rsidRDefault="00D7607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3"/>
  </w:num>
  <w:num w:numId="2" w16cid:durableId="381253757">
    <w:abstractNumId w:val="21"/>
  </w:num>
  <w:num w:numId="3" w16cid:durableId="1039011145">
    <w:abstractNumId w:val="20"/>
  </w:num>
  <w:num w:numId="4" w16cid:durableId="1044599023">
    <w:abstractNumId w:val="1"/>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19"/>
  </w:num>
  <w:num w:numId="10" w16cid:durableId="514420685">
    <w:abstractNumId w:val="16"/>
  </w:num>
  <w:num w:numId="11" w16cid:durableId="457067489">
    <w:abstractNumId w:val="4"/>
  </w:num>
  <w:num w:numId="12" w16cid:durableId="1819030077">
    <w:abstractNumId w:val="6"/>
  </w:num>
  <w:num w:numId="13" w16cid:durableId="1952973013">
    <w:abstractNumId w:val="13"/>
  </w:num>
  <w:num w:numId="14" w16cid:durableId="947154860">
    <w:abstractNumId w:val="10"/>
  </w:num>
  <w:num w:numId="15" w16cid:durableId="2038115577">
    <w:abstractNumId w:val="12"/>
  </w:num>
  <w:num w:numId="16" w16cid:durableId="575480245">
    <w:abstractNumId w:val="22"/>
  </w:num>
  <w:num w:numId="17" w16cid:durableId="794255143">
    <w:abstractNumId w:val="15"/>
  </w:num>
  <w:num w:numId="18" w16cid:durableId="305597488">
    <w:abstractNumId w:val="18"/>
  </w:num>
  <w:num w:numId="19" w16cid:durableId="1914848784">
    <w:abstractNumId w:val="7"/>
  </w:num>
  <w:num w:numId="20" w16cid:durableId="1956674998">
    <w:abstractNumId w:val="17"/>
  </w:num>
  <w:num w:numId="21" w16cid:durableId="1464928414">
    <w:abstractNumId w:val="14"/>
  </w:num>
  <w:num w:numId="22" w16cid:durableId="420759272">
    <w:abstractNumId w:val="16"/>
  </w:num>
  <w:num w:numId="23" w16cid:durableId="1567495096">
    <w:abstractNumId w:val="3"/>
  </w:num>
  <w:num w:numId="24" w16cid:durableId="1540430602">
    <w:abstractNumId w:val="3"/>
  </w:num>
  <w:num w:numId="25" w16cid:durableId="1019351584">
    <w:abstractNumId w:val="2"/>
  </w:num>
  <w:num w:numId="26" w16cid:durableId="55601291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27DEB"/>
    <w:rsid w:val="00130B11"/>
    <w:rsid w:val="00131431"/>
    <w:rsid w:val="0013170F"/>
    <w:rsid w:val="0013192A"/>
    <w:rsid w:val="001322E7"/>
    <w:rsid w:val="00134AB1"/>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404"/>
    <w:rsid w:val="003C35EF"/>
    <w:rsid w:val="003C381C"/>
    <w:rsid w:val="003C5B63"/>
    <w:rsid w:val="003C63C2"/>
    <w:rsid w:val="003C6DB9"/>
    <w:rsid w:val="003C7AE3"/>
    <w:rsid w:val="003D0BDA"/>
    <w:rsid w:val="003D12D2"/>
    <w:rsid w:val="003D138D"/>
    <w:rsid w:val="003D13E1"/>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47EA"/>
    <w:rsid w:val="006A6F1B"/>
    <w:rsid w:val="006B196A"/>
    <w:rsid w:val="006B272E"/>
    <w:rsid w:val="006B30C9"/>
    <w:rsid w:val="006B369F"/>
    <w:rsid w:val="006B5731"/>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0E25"/>
    <w:rsid w:val="008A17B7"/>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4EED"/>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8F612B"/>
    <w:rsid w:val="008F7DDB"/>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24DD9"/>
    <w:rsid w:val="0093178A"/>
    <w:rsid w:val="00932D28"/>
    <w:rsid w:val="00932D73"/>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E6D64"/>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72D1"/>
    <w:rsid w:val="00A6772C"/>
    <w:rsid w:val="00A678E2"/>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B0A55"/>
    <w:rsid w:val="00AB19E3"/>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2699"/>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A06"/>
    <w:rsid w:val="00C51DC0"/>
    <w:rsid w:val="00C523B7"/>
    <w:rsid w:val="00C53BD4"/>
    <w:rsid w:val="00C53F4C"/>
    <w:rsid w:val="00C557E7"/>
    <w:rsid w:val="00C55B60"/>
    <w:rsid w:val="00C60906"/>
    <w:rsid w:val="00C6393D"/>
    <w:rsid w:val="00C64D2F"/>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2526"/>
    <w:rsid w:val="00D33BF4"/>
    <w:rsid w:val="00D35404"/>
    <w:rsid w:val="00D35D18"/>
    <w:rsid w:val="00D369E3"/>
    <w:rsid w:val="00D404F0"/>
    <w:rsid w:val="00D408BA"/>
    <w:rsid w:val="00D417B6"/>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15</cp:revision>
  <dcterms:created xsi:type="dcterms:W3CDTF">2025-03-18T17:20:00Z</dcterms:created>
  <dcterms:modified xsi:type="dcterms:W3CDTF">2025-03-28T14:02:00Z</dcterms:modified>
</cp:coreProperties>
</file>