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E5321" w14:textId="0A0FD26A" w:rsidR="006E4E51" w:rsidRPr="00F542A0" w:rsidRDefault="006E4E51" w:rsidP="006E4E5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4A2228" w:rsidRPr="004A2228">
        <w:rPr>
          <w:rFonts w:eastAsia="SimSun" w:cs="Arial"/>
          <w:sz w:val="24"/>
          <w:szCs w:val="24"/>
          <w:lang w:eastAsia="zh-CN"/>
        </w:rPr>
        <w:t>R4-250459</w:t>
      </w:r>
      <w:r w:rsidR="004A2228">
        <w:rPr>
          <w:rFonts w:eastAsia="SimSun" w:cs="Arial"/>
          <w:sz w:val="24"/>
          <w:szCs w:val="24"/>
          <w:lang w:eastAsia="zh-CN"/>
        </w:rPr>
        <w:t>7</w:t>
      </w:r>
    </w:p>
    <w:p w14:paraId="1F87DE26" w14:textId="77777777" w:rsidR="006E4E51" w:rsidRPr="00F542A0" w:rsidRDefault="006E4E51" w:rsidP="006E4E5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1C5BEC9" w14:textId="77777777" w:rsidR="00E141C8" w:rsidRPr="00FD5D9B" w:rsidRDefault="00E141C8" w:rsidP="00E141C8">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0B451718" w14:textId="2DD4C07B" w:rsidR="00D211C7" w:rsidRPr="00C2665C" w:rsidRDefault="005929A6" w:rsidP="00A8300D">
      <w:pPr>
        <w:tabs>
          <w:tab w:val="left" w:pos="1985"/>
        </w:tabs>
        <w:ind w:left="1980" w:hanging="1980"/>
        <w:jc w:val="both"/>
        <w:rPr>
          <w:rFonts w:ascii="Arial" w:hAnsi="Arial" w:cs="Arial"/>
          <w:sz w:val="22"/>
        </w:rPr>
      </w:pPr>
      <w:r w:rsidRPr="00C2665C">
        <w:rPr>
          <w:rFonts w:ascii="Arial" w:hAnsi="Arial" w:cs="Arial"/>
          <w:b/>
          <w:sz w:val="22"/>
        </w:rPr>
        <w:t>Title:</w:t>
      </w:r>
      <w:r w:rsidRPr="00C2665C">
        <w:rPr>
          <w:rFonts w:ascii="Arial" w:hAnsi="Arial" w:cs="Arial"/>
          <w:sz w:val="22"/>
        </w:rPr>
        <w:t xml:space="preserve"> </w:t>
      </w:r>
      <w:r w:rsidRPr="00C2665C">
        <w:rPr>
          <w:rFonts w:ascii="Arial" w:hAnsi="Arial" w:cs="Arial"/>
          <w:sz w:val="22"/>
        </w:rPr>
        <w:tab/>
      </w:r>
      <w:r w:rsidR="00A8300D" w:rsidRPr="00C2665C">
        <w:rPr>
          <w:rFonts w:ascii="Arial" w:hAnsi="Arial" w:cs="Arial"/>
          <w:sz w:val="22"/>
        </w:rPr>
        <w:tab/>
      </w:r>
      <w:r w:rsidR="00107CBA">
        <w:rPr>
          <w:rFonts w:ascii="Arial" w:hAnsi="Arial" w:cs="Arial"/>
          <w:sz w:val="22"/>
        </w:rPr>
        <w:t>Information on European Commission</w:t>
      </w:r>
      <w:r w:rsidR="000E7AE2">
        <w:rPr>
          <w:rFonts w:ascii="Arial" w:hAnsi="Arial" w:cs="Arial"/>
          <w:sz w:val="22"/>
        </w:rPr>
        <w:t>’s</w:t>
      </w:r>
      <w:r w:rsidR="00107CBA">
        <w:rPr>
          <w:rFonts w:ascii="Arial" w:hAnsi="Arial" w:cs="Arial"/>
          <w:sz w:val="22"/>
        </w:rPr>
        <w:t xml:space="preserve"> feedback </w:t>
      </w:r>
      <w:proofErr w:type="spellStart"/>
      <w:r w:rsidR="00107CBA">
        <w:rPr>
          <w:rFonts w:ascii="Arial" w:hAnsi="Arial" w:cs="Arial"/>
          <w:sz w:val="22"/>
        </w:rPr>
        <w:t>wrt</w:t>
      </w:r>
      <w:proofErr w:type="spellEnd"/>
      <w:r w:rsidR="00107CBA">
        <w:rPr>
          <w:rFonts w:ascii="Arial" w:hAnsi="Arial" w:cs="Arial"/>
          <w:sz w:val="22"/>
        </w:rPr>
        <w:t xml:space="preserve">. </w:t>
      </w:r>
      <w:r w:rsidR="00705B31">
        <w:rPr>
          <w:rFonts w:ascii="Arial" w:hAnsi="Arial" w:cs="Arial"/>
          <w:sz w:val="22"/>
        </w:rPr>
        <w:t>a</w:t>
      </w:r>
      <w:r w:rsidR="00107CBA">
        <w:rPr>
          <w:rFonts w:ascii="Arial" w:hAnsi="Arial" w:cs="Arial"/>
          <w:sz w:val="22"/>
        </w:rPr>
        <w:t>lternative test methods</w:t>
      </w:r>
    </w:p>
    <w:p w14:paraId="1AA54E92" w14:textId="1C907865" w:rsidR="005929A6" w:rsidRPr="0091017F" w:rsidRDefault="005929A6" w:rsidP="00D211C7">
      <w:pPr>
        <w:tabs>
          <w:tab w:val="left" w:pos="1985"/>
        </w:tabs>
        <w:jc w:val="both"/>
        <w:rPr>
          <w:rFonts w:ascii="Arial" w:eastAsia="SimSun" w:hAnsi="Arial" w:cs="Arial"/>
          <w:sz w:val="22"/>
          <w:lang w:eastAsia="zh-CN"/>
        </w:rPr>
      </w:pPr>
      <w:r w:rsidRPr="00C2665C">
        <w:rPr>
          <w:rFonts w:ascii="Arial" w:hAnsi="Arial" w:cs="Arial"/>
          <w:b/>
          <w:sz w:val="22"/>
        </w:rPr>
        <w:t>Agen</w:t>
      </w:r>
      <w:r w:rsidR="007B3E89" w:rsidRPr="00C2665C">
        <w:rPr>
          <w:rFonts w:ascii="Arial" w:eastAsia="SimSun" w:hAnsi="Arial" w:cs="Arial" w:hint="eastAsia"/>
          <w:b/>
          <w:sz w:val="22"/>
          <w:lang w:eastAsia="zh-CN"/>
        </w:rPr>
        <w:t>d</w:t>
      </w:r>
      <w:r w:rsidRPr="00C2665C">
        <w:rPr>
          <w:rFonts w:ascii="Arial" w:hAnsi="Arial" w:cs="Arial"/>
          <w:b/>
          <w:sz w:val="22"/>
        </w:rPr>
        <w:t>a Item:</w:t>
      </w:r>
      <w:r w:rsidR="00291E51" w:rsidRPr="00C2665C">
        <w:rPr>
          <w:rFonts w:ascii="Arial" w:hAnsi="Arial" w:cs="Arial"/>
          <w:sz w:val="22"/>
        </w:rPr>
        <w:tab/>
      </w:r>
      <w:r w:rsidR="00107CBA" w:rsidRPr="00107CBA">
        <w:rPr>
          <w:rFonts w:ascii="Arial" w:hAnsi="Arial" w:cs="Arial"/>
          <w:sz w:val="22"/>
        </w:rPr>
        <w:t>7.13.5.3</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2"/>
    <w:bookmarkEnd w:id="3"/>
    <w:p w14:paraId="3EE62A4A" w14:textId="6285ACA2" w:rsidR="00BB1083" w:rsidRPr="00EB24F6" w:rsidRDefault="007726F1" w:rsidP="000619A6">
      <w:pPr>
        <w:pStyle w:val="Heading1"/>
      </w:pPr>
      <w:r w:rsidRPr="00EB24F6">
        <w:t>Introduction</w:t>
      </w:r>
    </w:p>
    <w:p w14:paraId="22B4F362" w14:textId="0FDB67AC" w:rsidR="00FD5D9B" w:rsidRDefault="00021398" w:rsidP="00E605DB">
      <w:pPr>
        <w:widowControl w:val="0"/>
        <w:overflowPunct/>
        <w:autoSpaceDE/>
        <w:autoSpaceDN/>
        <w:adjustRightInd/>
        <w:spacing w:after="0"/>
        <w:textAlignment w:val="auto"/>
      </w:pPr>
      <w:r w:rsidRPr="00EB24F6">
        <w:t>In this contribution,</w:t>
      </w:r>
      <w:r w:rsidR="00705B31">
        <w:t xml:space="preserve"> we provide </w:t>
      </w:r>
      <w:r w:rsidR="00705B31" w:rsidRPr="00705B31">
        <w:t>European Commission</w:t>
      </w:r>
      <w:r w:rsidR="00705B31">
        <w:t>’s</w:t>
      </w:r>
      <w:r w:rsidR="00705B31" w:rsidRPr="00705B31">
        <w:t xml:space="preserve"> </w:t>
      </w:r>
      <w:r w:rsidR="00705B31">
        <w:t xml:space="preserve">feedback on </w:t>
      </w:r>
      <w:r w:rsidR="00705B31" w:rsidRPr="00705B31">
        <w:t>alternative test methods</w:t>
      </w:r>
      <w:r w:rsidR="00705B31">
        <w:t xml:space="preserve">, </w:t>
      </w:r>
      <w:r w:rsidR="000E7AE2">
        <w:t xml:space="preserve">which was </w:t>
      </w:r>
      <w:r w:rsidR="00705B31">
        <w:t xml:space="preserve">received </w:t>
      </w:r>
      <w:r w:rsidR="008A4295">
        <w:t>during ETSI meeting with the European Commission</w:t>
      </w:r>
      <w:r w:rsidR="00B11C9D">
        <w:t xml:space="preserve"> (EC)</w:t>
      </w:r>
      <w:r w:rsidR="008A4295">
        <w:t xml:space="preserve">, and reported via </w:t>
      </w:r>
      <w:r w:rsidR="000E7AE2">
        <w:t xml:space="preserve">ETSI </w:t>
      </w:r>
      <w:r w:rsidR="008A4295" w:rsidRPr="00705B31">
        <w:t>OCG</w:t>
      </w:r>
      <w:r w:rsidR="000E7AE2">
        <w:t xml:space="preserve"> (Operational Coordination Group)</w:t>
      </w:r>
      <w:r w:rsidR="008A4295" w:rsidRPr="00705B31">
        <w:t xml:space="preserve"> RED</w:t>
      </w:r>
      <w:r w:rsidR="000E7AE2">
        <w:t xml:space="preserve"> (</w:t>
      </w:r>
      <w:r w:rsidR="000E7AE2" w:rsidRPr="000E7AE2">
        <w:t>Radio Equipment Directive</w:t>
      </w:r>
      <w:r w:rsidR="000E7AE2">
        <w:t xml:space="preserve">) meeting </w:t>
      </w:r>
      <w:r w:rsidR="008A4295" w:rsidRPr="00705B31">
        <w:t>#89</w:t>
      </w:r>
      <w:r w:rsidR="000E7AE2">
        <w:t xml:space="preserve"> [1]. Related contribution was </w:t>
      </w:r>
      <w:r w:rsidR="00940146">
        <w:t xml:space="preserve">presented </w:t>
      </w:r>
      <w:r w:rsidR="00705B31">
        <w:t>during ETSI TFES#83 (March 2025)</w:t>
      </w:r>
      <w:r w:rsidR="00940146">
        <w:t xml:space="preserve"> in [2]</w:t>
      </w:r>
      <w:r w:rsidRPr="00EB24F6">
        <w:t>.</w:t>
      </w:r>
    </w:p>
    <w:p w14:paraId="01B10B37" w14:textId="532129B6" w:rsidR="00161A13" w:rsidRDefault="00352855" w:rsidP="006E4E51">
      <w:pPr>
        <w:pStyle w:val="Heading1"/>
        <w:rPr>
          <w:lang w:eastAsia="zh-CN"/>
        </w:rPr>
      </w:pPr>
      <w:r w:rsidRPr="00EB24F6">
        <w:rPr>
          <w:lang w:eastAsia="zh-CN"/>
        </w:rPr>
        <w:t>D</w:t>
      </w:r>
      <w:r w:rsidRPr="00EB24F6">
        <w:rPr>
          <w:rFonts w:hint="eastAsia"/>
          <w:lang w:eastAsia="zh-CN"/>
        </w:rPr>
        <w:t>iscussion</w:t>
      </w:r>
    </w:p>
    <w:p w14:paraId="4569C12C" w14:textId="4BC6C1AD" w:rsidR="006E4E51" w:rsidRDefault="00A23C16" w:rsidP="006E4E51">
      <w:pPr>
        <w:rPr>
          <w:lang w:eastAsia="zh-CN"/>
        </w:rPr>
      </w:pPr>
      <w:r>
        <w:rPr>
          <w:lang w:eastAsia="zh-CN"/>
        </w:rPr>
        <w:t>The following information was captured in [2]:</w:t>
      </w:r>
    </w:p>
    <w:tbl>
      <w:tblPr>
        <w:tblStyle w:val="TableGrid"/>
        <w:tblW w:w="0" w:type="auto"/>
        <w:tblLook w:val="04A0" w:firstRow="1" w:lastRow="0" w:firstColumn="1" w:lastColumn="0" w:noHBand="0" w:noVBand="1"/>
      </w:tblPr>
      <w:tblGrid>
        <w:gridCol w:w="9631"/>
      </w:tblGrid>
      <w:tr w:rsidR="00A23C16" w14:paraId="60096E64" w14:textId="77777777" w:rsidTr="00A23C16">
        <w:tc>
          <w:tcPr>
            <w:tcW w:w="9631" w:type="dxa"/>
          </w:tcPr>
          <w:p w14:paraId="71BFA427" w14:textId="566D2E29" w:rsidR="00A23C16" w:rsidRDefault="008670FF" w:rsidP="00A23C16">
            <w:pPr>
              <w:jc w:val="center"/>
              <w:rPr>
                <w:lang w:eastAsia="zh-CN"/>
              </w:rPr>
            </w:pPr>
            <w:r w:rsidRPr="008670FF">
              <w:rPr>
                <w:noProof/>
                <w:lang w:eastAsia="zh-CN"/>
              </w:rPr>
              <w:drawing>
                <wp:inline distT="0" distB="0" distL="0" distR="0" wp14:anchorId="3590BACE" wp14:editId="0C5B377F">
                  <wp:extent cx="6020640" cy="2610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0640" cy="2610214"/>
                          </a:xfrm>
                          <a:prstGeom prst="rect">
                            <a:avLst/>
                          </a:prstGeom>
                        </pic:spPr>
                      </pic:pic>
                    </a:graphicData>
                  </a:graphic>
                </wp:inline>
              </w:drawing>
            </w:r>
          </w:p>
        </w:tc>
      </w:tr>
    </w:tbl>
    <w:p w14:paraId="2300EB2E" w14:textId="18CF0F6F" w:rsidR="00A23C16" w:rsidRDefault="00A23C16" w:rsidP="006E4E51">
      <w:pPr>
        <w:rPr>
          <w:lang w:eastAsia="zh-CN"/>
        </w:rPr>
      </w:pPr>
    </w:p>
    <w:p w14:paraId="5A8FD4DD" w14:textId="5DCA5610" w:rsidR="00A23C16" w:rsidRDefault="00A23C16" w:rsidP="006E4E51">
      <w:pPr>
        <w:rPr>
          <w:lang w:eastAsia="zh-CN"/>
        </w:rPr>
      </w:pPr>
      <w:r>
        <w:rPr>
          <w:lang w:eastAsia="zh-CN"/>
        </w:rPr>
        <w:t xml:space="preserve">We draw attention to the EC feedback related to the alternative test methods, which was part of the discussion on the TRP simplification topic during previous meetings. The above referred feedback </w:t>
      </w:r>
      <w:r w:rsidR="00B11C9D">
        <w:rPr>
          <w:lang w:eastAsia="zh-CN"/>
        </w:rPr>
        <w:t>says</w:t>
      </w:r>
      <w:r>
        <w:rPr>
          <w:lang w:eastAsia="zh-CN"/>
        </w:rPr>
        <w:t xml:space="preserve"> that for ETSI Harmonized Standard, a preferred test method now always needs to be identified – otherwise, the Harmonized Standard may not be listed in the </w:t>
      </w:r>
      <w:r w:rsidRPr="00A23C16">
        <w:rPr>
          <w:lang w:eastAsia="zh-CN"/>
        </w:rPr>
        <w:t>Official Journal</w:t>
      </w:r>
      <w:r>
        <w:rPr>
          <w:lang w:eastAsia="zh-CN"/>
        </w:rPr>
        <w:t xml:space="preserve"> (OJ). </w:t>
      </w:r>
    </w:p>
    <w:p w14:paraId="46C84B09" w14:textId="630B58CD" w:rsidR="00B11C9D" w:rsidRDefault="00B11C9D" w:rsidP="006E4E51">
      <w:pPr>
        <w:rPr>
          <w:lang w:eastAsia="zh-CN"/>
        </w:rPr>
      </w:pPr>
      <w:r>
        <w:rPr>
          <w:lang w:eastAsia="zh-CN"/>
        </w:rPr>
        <w:t xml:space="preserve">While RAN4 is not working on ETSI HS directly, RAN4 conformance testing specifications are the baseline for the ETSI MSG TFES work on Harmonized Standards. Therefore, it is advised that RAN4 </w:t>
      </w:r>
      <w:r w:rsidR="00E37EB5">
        <w:rPr>
          <w:lang w:eastAsia="zh-CN"/>
        </w:rPr>
        <w:t xml:space="preserve">(as well as RAN5 for UE conformance specifications) </w:t>
      </w:r>
      <w:r>
        <w:rPr>
          <w:lang w:eastAsia="zh-CN"/>
        </w:rPr>
        <w:t xml:space="preserve">considers the above EC feedback in future discussions (otherwise, decisions on the </w:t>
      </w:r>
      <w:r w:rsidR="00E37EB5">
        <w:rPr>
          <w:lang w:eastAsia="zh-CN"/>
        </w:rPr>
        <w:t xml:space="preserve">preferred test methods </w:t>
      </w:r>
      <w:r w:rsidR="009D1CD3">
        <w:rPr>
          <w:lang w:eastAsia="zh-CN"/>
        </w:rPr>
        <w:t xml:space="preserve">for BS Harmonized Standards </w:t>
      </w:r>
      <w:r w:rsidR="00E37EB5">
        <w:rPr>
          <w:lang w:eastAsia="zh-CN"/>
        </w:rPr>
        <w:t>will have to be taken in ETSI MSG TFES</w:t>
      </w:r>
      <w:r w:rsidR="006A1813">
        <w:rPr>
          <w:lang w:eastAsia="zh-CN"/>
        </w:rPr>
        <w:t xml:space="preserve"> anyway</w:t>
      </w:r>
      <w:r w:rsidR="00E37EB5">
        <w:rPr>
          <w:lang w:eastAsia="zh-CN"/>
        </w:rPr>
        <w:t xml:space="preserve">). </w:t>
      </w:r>
    </w:p>
    <w:p w14:paraId="455AA86F" w14:textId="19281AFD" w:rsidR="002D7FEC" w:rsidRDefault="002D7FEC" w:rsidP="006E4E51">
      <w:pPr>
        <w:rPr>
          <w:lang w:eastAsia="zh-CN"/>
        </w:rPr>
      </w:pPr>
      <w:r>
        <w:rPr>
          <w:lang w:eastAsia="zh-CN"/>
        </w:rPr>
        <w:t xml:space="preserve">The following can be observed: </w:t>
      </w:r>
    </w:p>
    <w:p w14:paraId="07BB8BED" w14:textId="4C94FF26" w:rsidR="00C43F41" w:rsidRPr="0059770C" w:rsidRDefault="00C43F41" w:rsidP="006E4E51">
      <w:pPr>
        <w:rPr>
          <w:lang w:eastAsia="zh-CN"/>
        </w:rPr>
      </w:pPr>
      <w:r>
        <w:rPr>
          <w:b/>
          <w:bCs/>
          <w:lang w:eastAsia="zh-CN"/>
        </w:rPr>
        <w:t>Observation 1</w:t>
      </w:r>
      <w:r>
        <w:rPr>
          <w:lang w:eastAsia="zh-CN"/>
        </w:rPr>
        <w:t xml:space="preserve">: </w:t>
      </w:r>
      <w:r w:rsidR="00F532EE">
        <w:rPr>
          <w:lang w:eastAsia="zh-CN"/>
        </w:rPr>
        <w:t>I</w:t>
      </w:r>
      <w:r w:rsidR="0059770C" w:rsidRPr="0059770C">
        <w:rPr>
          <w:lang w:eastAsia="zh-CN"/>
        </w:rPr>
        <w:t>n the above</w:t>
      </w:r>
      <w:r w:rsidR="0059770C">
        <w:rPr>
          <w:lang w:eastAsia="zh-CN"/>
        </w:rPr>
        <w:t xml:space="preserve"> referred text, OTA test chambers are listed as examples</w:t>
      </w:r>
      <w:r w:rsidR="00F532EE">
        <w:rPr>
          <w:lang w:eastAsia="zh-CN"/>
        </w:rPr>
        <w:t xml:space="preserve"> (i.e., it is not as granular as to provide TRP sampling grids, etc.)</w:t>
      </w:r>
      <w:r w:rsidR="0059770C">
        <w:rPr>
          <w:lang w:eastAsia="zh-CN"/>
        </w:rPr>
        <w:t>. EC feedback seems to be also applicable to conducted requirements (however this is not fully clear).</w:t>
      </w:r>
    </w:p>
    <w:p w14:paraId="32A01E4C" w14:textId="6076C22C" w:rsidR="002D7FEC" w:rsidRDefault="002D7FEC" w:rsidP="006E4E51">
      <w:pPr>
        <w:rPr>
          <w:lang w:eastAsia="zh-CN"/>
        </w:rPr>
      </w:pPr>
      <w:r>
        <w:rPr>
          <w:b/>
          <w:bCs/>
          <w:lang w:eastAsia="zh-CN"/>
        </w:rPr>
        <w:lastRenderedPageBreak/>
        <w:t xml:space="preserve">Observation </w:t>
      </w:r>
      <w:r w:rsidR="00C43F41">
        <w:rPr>
          <w:b/>
          <w:bCs/>
          <w:lang w:eastAsia="zh-CN"/>
        </w:rPr>
        <w:t>2</w:t>
      </w:r>
      <w:r w:rsidRPr="00003032">
        <w:rPr>
          <w:lang w:eastAsia="zh-CN"/>
        </w:rPr>
        <w:t>:</w:t>
      </w:r>
      <w:r>
        <w:rPr>
          <w:lang w:eastAsia="zh-CN"/>
        </w:rPr>
        <w:t xml:space="preserve"> </w:t>
      </w:r>
      <w:r w:rsidR="00F95C25">
        <w:rPr>
          <w:lang w:eastAsia="zh-CN"/>
        </w:rPr>
        <w:t>EC feedback is generic, and not related to TRP</w:t>
      </w:r>
      <w:r w:rsidR="0059770C">
        <w:rPr>
          <w:lang w:eastAsia="zh-CN"/>
        </w:rPr>
        <w:t xml:space="preserve"> only</w:t>
      </w:r>
      <w:r w:rsidR="00F95C25">
        <w:rPr>
          <w:lang w:eastAsia="zh-CN"/>
        </w:rPr>
        <w:t xml:space="preserve">. </w:t>
      </w:r>
    </w:p>
    <w:p w14:paraId="55CABE04" w14:textId="2A6EF22C" w:rsidR="002D7FEC" w:rsidRDefault="00774AB1" w:rsidP="002D7FEC">
      <w:pPr>
        <w:rPr>
          <w:lang w:eastAsia="zh-CN"/>
        </w:rPr>
      </w:pPr>
      <w:r>
        <w:rPr>
          <w:lang w:eastAsia="zh-CN"/>
        </w:rPr>
        <w:t xml:space="preserve">With the above, the following is proposed: </w:t>
      </w:r>
    </w:p>
    <w:p w14:paraId="6D6C47AF" w14:textId="62817011" w:rsidR="00E53EB3" w:rsidRDefault="00E53EB3" w:rsidP="006E4E51">
      <w:pPr>
        <w:rPr>
          <w:lang w:eastAsia="zh-CN"/>
        </w:rPr>
      </w:pPr>
      <w:r w:rsidRPr="00003032">
        <w:rPr>
          <w:b/>
          <w:bCs/>
          <w:lang w:eastAsia="zh-CN"/>
        </w:rPr>
        <w:t xml:space="preserve">Proposal </w:t>
      </w:r>
      <w:r w:rsidR="007961DA">
        <w:rPr>
          <w:b/>
          <w:bCs/>
          <w:lang w:eastAsia="zh-CN"/>
        </w:rPr>
        <w:t>1</w:t>
      </w:r>
      <w:r w:rsidRPr="00003032">
        <w:rPr>
          <w:lang w:eastAsia="zh-CN"/>
        </w:rPr>
        <w:t xml:space="preserve">: </w:t>
      </w:r>
      <w:r w:rsidR="00774AB1">
        <w:rPr>
          <w:lang w:eastAsia="zh-CN"/>
        </w:rPr>
        <w:t xml:space="preserve">RAN4 to consider the EC feedback on alternative test methods in the discussion on TRP simplifications, aiming to identify the preferred test method(s) for in-band and out-of-band requirements. </w:t>
      </w:r>
    </w:p>
    <w:p w14:paraId="3541CDC4" w14:textId="13BF5F50" w:rsidR="00774AB1" w:rsidRPr="006E4E51" w:rsidRDefault="00774AB1" w:rsidP="00774AB1">
      <w:pPr>
        <w:rPr>
          <w:lang w:eastAsia="zh-CN"/>
        </w:rPr>
      </w:pPr>
      <w:r w:rsidRPr="00003032">
        <w:rPr>
          <w:b/>
          <w:bCs/>
          <w:lang w:eastAsia="zh-CN"/>
        </w:rPr>
        <w:t xml:space="preserve">Proposal </w:t>
      </w:r>
      <w:r>
        <w:rPr>
          <w:b/>
          <w:bCs/>
          <w:lang w:eastAsia="zh-CN"/>
        </w:rPr>
        <w:t>2</w:t>
      </w:r>
      <w:r w:rsidRPr="00003032">
        <w:rPr>
          <w:lang w:eastAsia="zh-CN"/>
        </w:rPr>
        <w:t xml:space="preserve">: </w:t>
      </w:r>
      <w:r>
        <w:rPr>
          <w:lang w:eastAsia="zh-CN"/>
        </w:rPr>
        <w:t>RAN4 to further discuss how to account for the EC feedback for all other (</w:t>
      </w:r>
      <w:r w:rsidR="00496AA3">
        <w:rPr>
          <w:lang w:eastAsia="zh-CN"/>
        </w:rPr>
        <w:t>i.e.,</w:t>
      </w:r>
      <w:r>
        <w:rPr>
          <w:lang w:eastAsia="zh-CN"/>
        </w:rPr>
        <w:t xml:space="preserve"> non-TRP) requirements in Rel-19 specifications. </w:t>
      </w:r>
    </w:p>
    <w:p w14:paraId="6F812FD7" w14:textId="4A152FBC" w:rsidR="00CD26E5" w:rsidRPr="00064F2B" w:rsidRDefault="00CD26E5" w:rsidP="00CD26E5">
      <w:pPr>
        <w:pStyle w:val="Heading1"/>
      </w:pPr>
      <w:r w:rsidRPr="00064F2B">
        <w:t xml:space="preserve">Conclusions </w:t>
      </w:r>
    </w:p>
    <w:p w14:paraId="2AC9860A" w14:textId="77777777" w:rsidR="00DA1450" w:rsidRPr="00347E29" w:rsidRDefault="002836BE" w:rsidP="006B317D">
      <w:pPr>
        <w:rPr>
          <w:lang w:eastAsia="zh-CN"/>
        </w:rPr>
      </w:pPr>
      <w:r w:rsidRPr="00347E29">
        <w:rPr>
          <w:lang w:eastAsia="zh-CN"/>
        </w:rPr>
        <w:t xml:space="preserve">Based on the discussion above, </w:t>
      </w:r>
      <w:r w:rsidR="00DA1450" w:rsidRPr="00347E29">
        <w:rPr>
          <w:lang w:eastAsia="zh-CN"/>
        </w:rPr>
        <w:t xml:space="preserve">the following proposals were formulated: </w:t>
      </w:r>
    </w:p>
    <w:p w14:paraId="192881AD" w14:textId="77777777" w:rsidR="0046640B" w:rsidRDefault="0046640B" w:rsidP="0046640B">
      <w:pPr>
        <w:rPr>
          <w:lang w:eastAsia="zh-CN"/>
        </w:rPr>
      </w:pPr>
      <w:r w:rsidRPr="00003032">
        <w:rPr>
          <w:b/>
          <w:bCs/>
          <w:lang w:eastAsia="zh-CN"/>
        </w:rPr>
        <w:t xml:space="preserve">Proposal </w:t>
      </w:r>
      <w:r>
        <w:rPr>
          <w:b/>
          <w:bCs/>
          <w:lang w:eastAsia="zh-CN"/>
        </w:rPr>
        <w:t>1</w:t>
      </w:r>
      <w:r w:rsidRPr="00003032">
        <w:rPr>
          <w:lang w:eastAsia="zh-CN"/>
        </w:rPr>
        <w:t xml:space="preserve">: </w:t>
      </w:r>
      <w:r>
        <w:rPr>
          <w:lang w:eastAsia="zh-CN"/>
        </w:rPr>
        <w:t xml:space="preserve">RAN4 to consider the EC feedback on alternative test methods in the discussion on TRP simplifications, aiming to identify the preferred test method(s) for in-band and out-of-band requirements. </w:t>
      </w:r>
    </w:p>
    <w:p w14:paraId="420392AE" w14:textId="77777777" w:rsidR="0046640B" w:rsidRPr="006E4E51" w:rsidRDefault="0046640B" w:rsidP="0046640B">
      <w:pPr>
        <w:rPr>
          <w:lang w:eastAsia="zh-CN"/>
        </w:rPr>
      </w:pPr>
      <w:r w:rsidRPr="00003032">
        <w:rPr>
          <w:b/>
          <w:bCs/>
          <w:lang w:eastAsia="zh-CN"/>
        </w:rPr>
        <w:t xml:space="preserve">Proposal </w:t>
      </w:r>
      <w:r>
        <w:rPr>
          <w:b/>
          <w:bCs/>
          <w:lang w:eastAsia="zh-CN"/>
        </w:rPr>
        <w:t>2</w:t>
      </w:r>
      <w:r w:rsidRPr="00003032">
        <w:rPr>
          <w:lang w:eastAsia="zh-CN"/>
        </w:rPr>
        <w:t xml:space="preserve">: </w:t>
      </w:r>
      <w:r>
        <w:rPr>
          <w:lang w:eastAsia="zh-CN"/>
        </w:rPr>
        <w:t xml:space="preserve">RAN4 to further discuss how to account for the EC feedback for all other (i.e., non-TRP) requirements in Rel-19 specifications. </w:t>
      </w:r>
    </w:p>
    <w:p w14:paraId="51D2CC56" w14:textId="2A801082" w:rsidR="00D022D2" w:rsidRPr="00064F2B" w:rsidRDefault="00D022D2" w:rsidP="00D022D2">
      <w:pPr>
        <w:pStyle w:val="Heading1"/>
      </w:pPr>
      <w:r>
        <w:t>References</w:t>
      </w:r>
    </w:p>
    <w:p w14:paraId="082D2182" w14:textId="4AEB40A5" w:rsidR="007961DA" w:rsidRDefault="00D022D2" w:rsidP="007961DA">
      <w:pPr>
        <w:widowControl w:val="0"/>
        <w:overflowPunct/>
        <w:autoSpaceDE/>
        <w:autoSpaceDN/>
        <w:adjustRightInd/>
        <w:spacing w:after="0"/>
        <w:textAlignment w:val="auto"/>
      </w:pPr>
      <w:r>
        <w:t xml:space="preserve">[1] </w:t>
      </w:r>
      <w:r>
        <w:tab/>
      </w:r>
      <w:r w:rsidR="000E7AE2" w:rsidRPr="00705B31">
        <w:t>OCGREDEMCD(25)089010r1</w:t>
      </w:r>
      <w:r w:rsidR="000E7AE2">
        <w:t xml:space="preserve">, </w:t>
      </w:r>
      <w:r w:rsidR="00940146" w:rsidRPr="00940146">
        <w:t>Dialogue EC-ETSI on RED standardisation #3 7 February 2025 - conclusions</w:t>
      </w:r>
      <w:r w:rsidR="00940146">
        <w:t xml:space="preserve">, ETSI, </w:t>
      </w:r>
      <w:r w:rsidR="00940146" w:rsidRPr="00940146">
        <w:t>OCG RED-EMCD</w:t>
      </w:r>
      <w:r w:rsidR="00940146">
        <w:t xml:space="preserve">, </w:t>
      </w:r>
      <w:hyperlink r:id="rId9" w:history="1">
        <w:r w:rsidR="00940146" w:rsidRPr="00CB50D8">
          <w:rPr>
            <w:rStyle w:val="Hyperlink"/>
          </w:rPr>
          <w:t>https://docbox.etsi.org/OCG/OCG_Red-Emcd/05-CONTRIBUTIONS/2025/OCGREDEMCD(25)089010r1_Dialogue_EC-ETSI_on_RED_standardisation__3_7_February_202.zip</w:t>
        </w:r>
      </w:hyperlink>
    </w:p>
    <w:p w14:paraId="33775CB2" w14:textId="77777777" w:rsidR="000E7AE2" w:rsidRDefault="000E7AE2" w:rsidP="007961DA">
      <w:pPr>
        <w:widowControl w:val="0"/>
        <w:overflowPunct/>
        <w:autoSpaceDE/>
        <w:autoSpaceDN/>
        <w:adjustRightInd/>
        <w:spacing w:after="0"/>
        <w:textAlignment w:val="auto"/>
      </w:pPr>
    </w:p>
    <w:p w14:paraId="3ACB64C7" w14:textId="513A4FFB" w:rsidR="0090437B" w:rsidRDefault="000E7AE2" w:rsidP="009776D0">
      <w:pPr>
        <w:widowControl w:val="0"/>
        <w:overflowPunct/>
        <w:autoSpaceDE/>
        <w:autoSpaceDN/>
        <w:adjustRightInd/>
        <w:spacing w:after="0"/>
        <w:textAlignment w:val="auto"/>
      </w:pPr>
      <w:r>
        <w:t>[2]</w:t>
      </w:r>
      <w:r>
        <w:tab/>
      </w:r>
      <w:r>
        <w:tab/>
      </w:r>
      <w:r w:rsidR="00A23C16" w:rsidRPr="00A23C16">
        <w:t>TFES(25)83027</w:t>
      </w:r>
      <w:r w:rsidR="00A23C16">
        <w:t>,</w:t>
      </w:r>
      <w:r w:rsidR="00A23C16" w:rsidRPr="00A23C16">
        <w:t xml:space="preserve"> Open issues discussed with the European Commission </w:t>
      </w:r>
      <w:r w:rsidR="00A23C16">
        <w:t>–</w:t>
      </w:r>
      <w:r w:rsidR="00A23C16" w:rsidRPr="00A23C16">
        <w:t xml:space="preserve"> updates</w:t>
      </w:r>
      <w:r w:rsidR="00A23C16">
        <w:t xml:space="preserve">,  </w:t>
      </w:r>
      <w:hyperlink r:id="rId10" w:history="1">
        <w:r w:rsidR="00A23C16" w:rsidRPr="00CB50D8">
          <w:rPr>
            <w:rStyle w:val="Hyperlink"/>
          </w:rPr>
          <w:t>https://docbox.etsi.org/msg/tfes/05-CONTRIBUTIONS/2025/TFES(25)83027_Open_issues_discussed_with_the_European_Commission_-_updates.docx</w:t>
        </w:r>
      </w:hyperlink>
    </w:p>
    <w:p w14:paraId="78F9FF1E" w14:textId="77777777" w:rsidR="00A23C16" w:rsidRDefault="00A23C16" w:rsidP="009776D0">
      <w:pPr>
        <w:widowControl w:val="0"/>
        <w:overflowPunct/>
        <w:autoSpaceDE/>
        <w:autoSpaceDN/>
        <w:adjustRightInd/>
        <w:spacing w:after="0"/>
        <w:textAlignment w:val="auto"/>
      </w:pPr>
    </w:p>
    <w:sectPr w:rsidR="00A23C16"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E9962" w14:textId="77777777" w:rsidR="005A1B30" w:rsidRDefault="005A1B30">
      <w:r>
        <w:separator/>
      </w:r>
    </w:p>
  </w:endnote>
  <w:endnote w:type="continuationSeparator" w:id="0">
    <w:p w14:paraId="1CCA6DC4" w14:textId="77777777" w:rsidR="005A1B30" w:rsidRDefault="005A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61D70" w14:textId="77777777" w:rsidR="005A1B30" w:rsidRDefault="005A1B30">
      <w:r>
        <w:separator/>
      </w:r>
    </w:p>
  </w:footnote>
  <w:footnote w:type="continuationSeparator" w:id="0">
    <w:p w14:paraId="0E400E2D" w14:textId="77777777" w:rsidR="005A1B30" w:rsidRDefault="005A1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3"/>
  </w:num>
  <w:num w:numId="3">
    <w:abstractNumId w:val="15"/>
  </w:num>
  <w:num w:numId="4">
    <w:abstractNumId w:val="30"/>
  </w:num>
  <w:num w:numId="5">
    <w:abstractNumId w:val="6"/>
  </w:num>
  <w:num w:numId="6">
    <w:abstractNumId w:val="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8"/>
  </w:num>
  <w:num w:numId="10">
    <w:abstractNumId w:val="19"/>
  </w:num>
  <w:num w:numId="11">
    <w:abstractNumId w:val="29"/>
  </w:num>
  <w:num w:numId="12">
    <w:abstractNumId w:val="11"/>
  </w:num>
  <w:num w:numId="13">
    <w:abstractNumId w:val="23"/>
  </w:num>
  <w:num w:numId="14">
    <w:abstractNumId w:val="3"/>
  </w:num>
  <w:num w:numId="15">
    <w:abstractNumId w:val="26"/>
  </w:num>
  <w:num w:numId="16">
    <w:abstractNumId w:val="16"/>
  </w:num>
  <w:num w:numId="17">
    <w:abstractNumId w:val="2"/>
  </w:num>
  <w:num w:numId="18">
    <w:abstractNumId w:val="32"/>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9"/>
  </w:num>
  <w:num w:numId="23">
    <w:abstractNumId w:val="20"/>
  </w:num>
  <w:num w:numId="24">
    <w:abstractNumId w:val="5"/>
  </w:num>
  <w:num w:numId="25">
    <w:abstractNumId w:val="14"/>
  </w:num>
  <w:num w:numId="26">
    <w:abstractNumId w:val="1"/>
  </w:num>
  <w:num w:numId="27">
    <w:abstractNumId w:val="31"/>
  </w:num>
  <w:num w:numId="28">
    <w:abstractNumId w:val="4"/>
  </w:num>
  <w:num w:numId="29">
    <w:abstractNumId w:val="8"/>
  </w:num>
  <w:num w:numId="30">
    <w:abstractNumId w:val="10"/>
  </w:num>
  <w:num w:numId="31">
    <w:abstractNumId w:val="22"/>
  </w:num>
  <w:num w:numId="32">
    <w:abstractNumId w:val="27"/>
  </w:num>
  <w:num w:numId="3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E7AE2"/>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6AC"/>
    <w:rsid w:val="00107968"/>
    <w:rsid w:val="00107A88"/>
    <w:rsid w:val="00107CBA"/>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D7FEC"/>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640B"/>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6AA3"/>
    <w:rsid w:val="00497877"/>
    <w:rsid w:val="00497C5C"/>
    <w:rsid w:val="00497F51"/>
    <w:rsid w:val="004A01A9"/>
    <w:rsid w:val="004A01E3"/>
    <w:rsid w:val="004A0A2F"/>
    <w:rsid w:val="004A21D0"/>
    <w:rsid w:val="004A2228"/>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2EF"/>
    <w:rsid w:val="004B170F"/>
    <w:rsid w:val="004B1BFC"/>
    <w:rsid w:val="004B1D2E"/>
    <w:rsid w:val="004B1DF6"/>
    <w:rsid w:val="004B1EEB"/>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5B0C"/>
    <w:rsid w:val="00595CE8"/>
    <w:rsid w:val="00596C93"/>
    <w:rsid w:val="0059770C"/>
    <w:rsid w:val="005979E8"/>
    <w:rsid w:val="005A0AF5"/>
    <w:rsid w:val="005A11A6"/>
    <w:rsid w:val="005A16B1"/>
    <w:rsid w:val="005A1B30"/>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13"/>
    <w:rsid w:val="006A1830"/>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E51"/>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3C94"/>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5B31"/>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9D2"/>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4AB1"/>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1DA"/>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426"/>
    <w:rsid w:val="00863693"/>
    <w:rsid w:val="00864690"/>
    <w:rsid w:val="00865646"/>
    <w:rsid w:val="008656F1"/>
    <w:rsid w:val="008666D1"/>
    <w:rsid w:val="00866B52"/>
    <w:rsid w:val="008670FF"/>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295"/>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0146"/>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1CD3"/>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3C16"/>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1C9D"/>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3F41"/>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EFA"/>
    <w:rsid w:val="00DD7F8A"/>
    <w:rsid w:val="00DE0CE6"/>
    <w:rsid w:val="00DE1D41"/>
    <w:rsid w:val="00DE221F"/>
    <w:rsid w:val="00DE22A7"/>
    <w:rsid w:val="00DE277D"/>
    <w:rsid w:val="00DE2A08"/>
    <w:rsid w:val="00DE2DD3"/>
    <w:rsid w:val="00DE2F8F"/>
    <w:rsid w:val="00DE39B6"/>
    <w:rsid w:val="00DE3F1E"/>
    <w:rsid w:val="00DE4235"/>
    <w:rsid w:val="00DE4531"/>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37EB5"/>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2EE"/>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25"/>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40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61583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00905075">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box.etsi.org/msg/tfes/05-CONTRIBUTIONS/2025/TFES(25)83027_Open_issues_discussed_with_the_European_Commission_-_updates.docx" TargetMode="External"/><Relationship Id="rId4" Type="http://schemas.openxmlformats.org/officeDocument/2006/relationships/settings" Target="settings.xml"/><Relationship Id="rId9" Type="http://schemas.openxmlformats.org/officeDocument/2006/relationships/hyperlink" Target="https://docbox.etsi.org/OCG/OCG_Red-Emcd/05-CONTRIBUTIONS/2025/OCGREDEMCD(25)089010r1_Dialogue_EC-ETSI_on_RED_standardisation__3_7_February_2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2025-03-28T21:50:00Z</dcterms:created>
  <dcterms:modified xsi:type="dcterms:W3CDTF">2025-03-28T21:50:00Z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