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9CDBB" w14:textId="1EC99C99" w:rsidR="007C5BE9" w:rsidRPr="00F542A0" w:rsidRDefault="007C5BE9" w:rsidP="007C5BE9">
      <w:pPr>
        <w:pStyle w:val="a5"/>
        <w:tabs>
          <w:tab w:val="right" w:pos="9781"/>
          <w:tab w:val="right" w:pos="13323"/>
        </w:tabs>
        <w:spacing w:before="60" w:after="60"/>
        <w:outlineLvl w:val="0"/>
        <w:rPr>
          <w:rFonts w:eastAsia="宋体" w:cs="Arial"/>
          <w:b w:val="0"/>
          <w:sz w:val="24"/>
          <w:szCs w:val="24"/>
        </w:rPr>
      </w:pPr>
      <w:bookmarkStart w:id="0" w:name="Title"/>
      <w:bookmarkStart w:id="1" w:name="DocumentFor"/>
      <w:bookmarkEnd w:id="0"/>
      <w:bookmarkEnd w:id="1"/>
      <w:r w:rsidRPr="00F542A0">
        <w:rPr>
          <w:rFonts w:eastAsia="宋体" w:cs="Arial"/>
          <w:sz w:val="24"/>
          <w:szCs w:val="24"/>
        </w:rPr>
        <w:t>3GPP TSG-RAN WG4 Meeting #114</w:t>
      </w:r>
      <w:r>
        <w:rPr>
          <w:rFonts w:eastAsia="宋体" w:cs="Arial"/>
          <w:sz w:val="24"/>
          <w:szCs w:val="24"/>
        </w:rPr>
        <w:t>bis</w:t>
      </w:r>
      <w:r w:rsidRPr="00F542A0">
        <w:rPr>
          <w:rFonts w:eastAsia="宋体" w:cs="Arial"/>
          <w:sz w:val="24"/>
          <w:szCs w:val="24"/>
        </w:rPr>
        <w:tab/>
      </w:r>
      <w:r w:rsidR="008D49C5" w:rsidRPr="008D49C5">
        <w:rPr>
          <w:rFonts w:eastAsia="宋体" w:cs="Arial"/>
          <w:sz w:val="24"/>
          <w:szCs w:val="24"/>
        </w:rPr>
        <w:t>R4-2503340</w:t>
      </w:r>
    </w:p>
    <w:p w14:paraId="69E64B95" w14:textId="77777777" w:rsidR="007C5BE9" w:rsidRPr="00F542A0" w:rsidRDefault="007C5BE9" w:rsidP="007C5BE9">
      <w:pPr>
        <w:pStyle w:val="a5"/>
        <w:tabs>
          <w:tab w:val="right" w:pos="9781"/>
          <w:tab w:val="right" w:pos="13323"/>
        </w:tabs>
        <w:spacing w:before="60" w:after="60"/>
        <w:outlineLvl w:val="0"/>
        <w:rPr>
          <w:rFonts w:eastAsia="宋体" w:cs="Arial"/>
          <w:b w:val="0"/>
          <w:sz w:val="24"/>
          <w:szCs w:val="24"/>
        </w:rPr>
      </w:pPr>
      <w:r>
        <w:rPr>
          <w:rFonts w:eastAsia="宋体" w:cs="Arial"/>
          <w:sz w:val="24"/>
          <w:szCs w:val="24"/>
        </w:rPr>
        <w:t>Wuhan</w:t>
      </w:r>
      <w:r w:rsidRPr="00F542A0">
        <w:rPr>
          <w:rFonts w:eastAsia="宋体" w:cs="Arial"/>
          <w:sz w:val="24"/>
          <w:szCs w:val="24"/>
        </w:rPr>
        <w:t xml:space="preserve">, </w:t>
      </w:r>
      <w:r>
        <w:rPr>
          <w:rFonts w:eastAsia="宋体" w:cs="Arial"/>
          <w:sz w:val="24"/>
          <w:szCs w:val="24"/>
        </w:rPr>
        <w:t>Hubei, China</w:t>
      </w:r>
      <w:r w:rsidRPr="00F542A0">
        <w:rPr>
          <w:rFonts w:eastAsia="宋体" w:cs="Arial"/>
          <w:sz w:val="24"/>
          <w:szCs w:val="24"/>
        </w:rPr>
        <w:t xml:space="preserve">, </w:t>
      </w:r>
      <w:r>
        <w:rPr>
          <w:rFonts w:eastAsia="宋体" w:cs="Arial"/>
          <w:sz w:val="24"/>
          <w:szCs w:val="24"/>
        </w:rPr>
        <w:t>0</w:t>
      </w:r>
      <w:r w:rsidRPr="00F542A0">
        <w:rPr>
          <w:rFonts w:eastAsia="宋体" w:cs="Arial"/>
          <w:sz w:val="24"/>
          <w:szCs w:val="24"/>
        </w:rPr>
        <w:t>7</w:t>
      </w:r>
      <w:r w:rsidRPr="00F542A0">
        <w:rPr>
          <w:rFonts w:eastAsia="宋体" w:cs="Arial"/>
          <w:sz w:val="24"/>
          <w:szCs w:val="24"/>
          <w:vertAlign w:val="superscript"/>
        </w:rPr>
        <w:t>th</w:t>
      </w:r>
      <w:r w:rsidRPr="00F542A0">
        <w:rPr>
          <w:rFonts w:eastAsia="宋体" w:cs="Arial"/>
          <w:sz w:val="24"/>
          <w:szCs w:val="24"/>
        </w:rPr>
        <w:t xml:space="preserve"> – </w:t>
      </w:r>
      <w:r>
        <w:rPr>
          <w:rFonts w:eastAsia="宋体" w:cs="Arial"/>
          <w:sz w:val="24"/>
          <w:szCs w:val="24"/>
        </w:rPr>
        <w:t>11</w:t>
      </w:r>
      <w:r>
        <w:rPr>
          <w:rFonts w:eastAsia="宋体" w:cs="Arial"/>
          <w:sz w:val="24"/>
          <w:szCs w:val="24"/>
          <w:vertAlign w:val="superscript"/>
        </w:rPr>
        <w:t>th</w:t>
      </w:r>
      <w:r w:rsidRPr="00F542A0">
        <w:rPr>
          <w:rFonts w:eastAsia="宋体" w:cs="Arial"/>
          <w:sz w:val="24"/>
          <w:szCs w:val="24"/>
        </w:rPr>
        <w:t xml:space="preserve"> </w:t>
      </w:r>
      <w:r>
        <w:rPr>
          <w:rFonts w:eastAsia="宋体" w:cs="Arial"/>
          <w:sz w:val="24"/>
          <w:szCs w:val="24"/>
        </w:rPr>
        <w:t>April</w:t>
      </w:r>
      <w:r w:rsidRPr="00F542A0">
        <w:rPr>
          <w:rFonts w:eastAsia="宋体" w:cs="Arial"/>
          <w:sz w:val="24"/>
          <w:szCs w:val="24"/>
        </w:rPr>
        <w:t>, 2025</w:t>
      </w:r>
    </w:p>
    <w:p w14:paraId="37396EA4" w14:textId="77777777" w:rsidR="00FC7BA2" w:rsidRPr="00BF77CF" w:rsidRDefault="00FC7BA2" w:rsidP="00BE6586">
      <w:pPr>
        <w:tabs>
          <w:tab w:val="left" w:pos="1985"/>
        </w:tabs>
        <w:spacing w:after="120"/>
        <w:ind w:left="1980" w:hanging="1980"/>
        <w:jc w:val="both"/>
        <w:rPr>
          <w:rFonts w:ascii="Arial" w:eastAsia="宋体" w:hAnsi="Arial"/>
          <w:sz w:val="21"/>
          <w:lang w:val="en-US" w:eastAsia="zh-CN"/>
        </w:rPr>
      </w:pPr>
      <w:r w:rsidRPr="00BF77CF">
        <w:rPr>
          <w:rFonts w:ascii="Arial" w:hAnsi="Arial"/>
          <w:b/>
          <w:sz w:val="21"/>
          <w:lang w:val="en-US"/>
        </w:rPr>
        <w:t>Title:</w:t>
      </w:r>
      <w:r w:rsidRPr="00BF77CF">
        <w:rPr>
          <w:rFonts w:ascii="Arial" w:hAnsi="Arial"/>
          <w:sz w:val="21"/>
          <w:lang w:val="en-US"/>
        </w:rPr>
        <w:t xml:space="preserve"> </w:t>
      </w:r>
      <w:r w:rsidRPr="00BF77CF">
        <w:rPr>
          <w:rFonts w:ascii="Arial" w:hAnsi="Arial"/>
          <w:sz w:val="21"/>
          <w:lang w:val="en-US"/>
        </w:rPr>
        <w:tab/>
      </w:r>
      <w:r w:rsidR="00BF77CF" w:rsidRPr="00BF77CF">
        <w:rPr>
          <w:rFonts w:ascii="Arial" w:eastAsia="宋体" w:hAnsi="Arial"/>
          <w:b/>
          <w:sz w:val="21"/>
          <w:lang w:val="en-US" w:eastAsia="zh-CN"/>
        </w:rPr>
        <w:t>O</w:t>
      </w:r>
      <w:r w:rsidRPr="00BF77CF">
        <w:rPr>
          <w:rFonts w:ascii="Arial" w:eastAsia="宋体" w:hAnsi="Arial"/>
          <w:b/>
          <w:sz w:val="21"/>
          <w:lang w:val="en-US" w:eastAsia="zh-CN"/>
        </w:rPr>
        <w:t>n</w:t>
      </w:r>
      <w:r w:rsidR="00F90EDD" w:rsidRPr="00BF77CF">
        <w:rPr>
          <w:sz w:val="16"/>
        </w:rPr>
        <w:t xml:space="preserve"> </w:t>
      </w:r>
      <w:r w:rsidR="00102B9F" w:rsidRPr="00BF77CF">
        <w:rPr>
          <w:rFonts w:ascii="Arial" w:eastAsia="宋体" w:hAnsi="Arial"/>
          <w:b/>
          <w:sz w:val="21"/>
          <w:lang w:val="en-US" w:eastAsia="zh-CN"/>
        </w:rPr>
        <w:t>optimizing CSSF</w:t>
      </w:r>
      <w:r w:rsidR="00BF77CF" w:rsidRPr="00BF77CF">
        <w:rPr>
          <w:rFonts w:ascii="Arial" w:eastAsia="宋体" w:hAnsi="Arial"/>
          <w:b/>
          <w:sz w:val="21"/>
          <w:lang w:val="en-US" w:eastAsia="zh-CN"/>
        </w:rPr>
        <w:t xml:space="preserve"> for FR2-1 L3 measurement delay</w:t>
      </w:r>
    </w:p>
    <w:p w14:paraId="315647EB" w14:textId="77777777" w:rsidR="00FC7BA2" w:rsidRPr="00BF77CF" w:rsidRDefault="00FC7BA2" w:rsidP="00BE6586">
      <w:pPr>
        <w:tabs>
          <w:tab w:val="left" w:pos="1985"/>
        </w:tabs>
        <w:spacing w:after="120"/>
        <w:jc w:val="both"/>
        <w:rPr>
          <w:rFonts w:ascii="Arial" w:eastAsia="宋体" w:hAnsi="Arial"/>
          <w:b/>
          <w:sz w:val="21"/>
          <w:lang w:val="en-US" w:eastAsia="zh-CN"/>
        </w:rPr>
      </w:pPr>
      <w:r w:rsidRPr="00BF77CF">
        <w:rPr>
          <w:rFonts w:ascii="Arial" w:hAnsi="Arial"/>
          <w:b/>
          <w:sz w:val="21"/>
          <w:lang w:val="en-US"/>
        </w:rPr>
        <w:t xml:space="preserve">Source: </w:t>
      </w:r>
      <w:r w:rsidRPr="00BF77CF">
        <w:rPr>
          <w:rFonts w:ascii="Arial" w:hAnsi="Arial"/>
          <w:b/>
          <w:sz w:val="21"/>
          <w:lang w:val="en-US"/>
        </w:rPr>
        <w:tab/>
        <w:t>OPPO</w:t>
      </w:r>
    </w:p>
    <w:p w14:paraId="5611E101" w14:textId="77777777" w:rsidR="00FC7BA2" w:rsidRPr="00BF77CF" w:rsidRDefault="00FC7BA2" w:rsidP="00BE6586">
      <w:pPr>
        <w:tabs>
          <w:tab w:val="left" w:pos="1985"/>
        </w:tabs>
        <w:spacing w:after="120"/>
        <w:jc w:val="both"/>
        <w:rPr>
          <w:rFonts w:ascii="Arial" w:eastAsia="宋体" w:hAnsi="Arial"/>
          <w:b/>
          <w:sz w:val="21"/>
          <w:lang w:val="en-US" w:eastAsia="zh-CN"/>
        </w:rPr>
      </w:pPr>
      <w:r w:rsidRPr="00BF77CF">
        <w:rPr>
          <w:rFonts w:ascii="Arial" w:hAnsi="Arial"/>
          <w:b/>
          <w:sz w:val="21"/>
          <w:lang w:val="en-US"/>
        </w:rPr>
        <w:t>Agenda item:</w:t>
      </w:r>
      <w:r w:rsidRPr="00BF77CF">
        <w:rPr>
          <w:rFonts w:ascii="Arial" w:hAnsi="Arial"/>
          <w:b/>
          <w:sz w:val="21"/>
          <w:lang w:val="en-US"/>
        </w:rPr>
        <w:tab/>
      </w:r>
      <w:r w:rsidR="003E794D" w:rsidRPr="00BF77CF">
        <w:rPr>
          <w:rFonts w:ascii="Arial" w:eastAsia="宋体" w:hAnsi="Arial"/>
          <w:b/>
          <w:sz w:val="21"/>
          <w:lang w:val="en-US" w:eastAsia="zh-CN"/>
        </w:rPr>
        <w:t>7</w:t>
      </w:r>
      <w:r w:rsidR="003916BC" w:rsidRPr="00BF77CF">
        <w:rPr>
          <w:rFonts w:ascii="Arial" w:eastAsia="宋体" w:hAnsi="Arial"/>
          <w:b/>
          <w:sz w:val="21"/>
          <w:lang w:val="en-US" w:eastAsia="zh-CN"/>
        </w:rPr>
        <w:t>.1</w:t>
      </w:r>
      <w:r w:rsidR="00BF77CF" w:rsidRPr="00BF77CF">
        <w:rPr>
          <w:rFonts w:ascii="Arial" w:eastAsia="宋体" w:hAnsi="Arial"/>
          <w:b/>
          <w:sz w:val="21"/>
          <w:lang w:val="en-US" w:eastAsia="zh-CN"/>
        </w:rPr>
        <w:t>7</w:t>
      </w:r>
      <w:r w:rsidR="003916BC" w:rsidRPr="00BF77CF">
        <w:rPr>
          <w:rFonts w:ascii="Arial" w:eastAsia="宋体" w:hAnsi="Arial"/>
          <w:b/>
          <w:sz w:val="21"/>
          <w:lang w:val="en-US" w:eastAsia="zh-CN"/>
        </w:rPr>
        <w:t>.2.</w:t>
      </w:r>
      <w:r w:rsidR="00102B9F" w:rsidRPr="00BF77CF">
        <w:rPr>
          <w:rFonts w:ascii="Arial" w:eastAsia="宋体" w:hAnsi="Arial"/>
          <w:b/>
          <w:sz w:val="21"/>
          <w:lang w:val="en-US" w:eastAsia="zh-CN"/>
        </w:rPr>
        <w:t>2</w:t>
      </w:r>
      <w:r w:rsidR="00F90EDD" w:rsidRPr="00BF77CF">
        <w:rPr>
          <w:rFonts w:ascii="Arial" w:eastAsia="宋体" w:hAnsi="Arial"/>
          <w:b/>
          <w:sz w:val="21"/>
          <w:lang w:val="en-US" w:eastAsia="zh-CN"/>
        </w:rPr>
        <w:tab/>
      </w:r>
    </w:p>
    <w:p w14:paraId="06F1CD04" w14:textId="77777777" w:rsidR="00FC7BA2" w:rsidRPr="00975E9E" w:rsidRDefault="00FC7BA2" w:rsidP="00BE6586">
      <w:pPr>
        <w:tabs>
          <w:tab w:val="left" w:pos="1985"/>
        </w:tabs>
        <w:spacing w:after="120"/>
        <w:ind w:left="1980" w:hanging="1980"/>
        <w:jc w:val="both"/>
        <w:rPr>
          <w:rFonts w:ascii="Arial" w:eastAsia="宋体" w:hAnsi="Arial"/>
          <w:b/>
          <w:sz w:val="21"/>
          <w:lang w:val="en-US" w:eastAsia="zh-CN"/>
        </w:rPr>
      </w:pPr>
      <w:r w:rsidRPr="00BF77CF">
        <w:rPr>
          <w:rFonts w:ascii="Arial" w:hAnsi="Arial"/>
          <w:b/>
          <w:sz w:val="21"/>
          <w:lang w:val="en-US"/>
        </w:rPr>
        <w:t>Document for:</w:t>
      </w:r>
      <w:r w:rsidRPr="00BF77CF">
        <w:rPr>
          <w:rFonts w:ascii="Arial" w:hAnsi="Arial"/>
          <w:b/>
          <w:sz w:val="21"/>
          <w:lang w:val="en-US"/>
        </w:rPr>
        <w:tab/>
      </w:r>
      <w:r w:rsidRPr="00BF77CF">
        <w:rPr>
          <w:rFonts w:ascii="Arial" w:eastAsia="宋体" w:hAnsi="Arial" w:hint="eastAsia"/>
          <w:b/>
          <w:sz w:val="21"/>
          <w:lang w:val="en-US" w:eastAsia="zh-CN"/>
        </w:rPr>
        <w:t>Discussion</w:t>
      </w:r>
    </w:p>
    <w:p w14:paraId="0552CA47" w14:textId="77777777" w:rsidR="00FC7BA2" w:rsidRDefault="00FC7BA2" w:rsidP="00BE6586">
      <w:pPr>
        <w:pStyle w:val="1"/>
        <w:jc w:val="both"/>
        <w:rPr>
          <w:lang w:val="en-US"/>
        </w:rPr>
      </w:pPr>
      <w:bookmarkStart w:id="2" w:name="_Ref178171953"/>
      <w:r>
        <w:rPr>
          <w:lang w:val="en-US"/>
        </w:rPr>
        <w:t>Introduction</w:t>
      </w:r>
      <w:bookmarkEnd w:id="2"/>
    </w:p>
    <w:p w14:paraId="57ACD135" w14:textId="064C0AEA" w:rsidR="00E4380E" w:rsidRDefault="000D1B7C" w:rsidP="003E794D">
      <w:pPr>
        <w:jc w:val="both"/>
        <w:rPr>
          <w:rFonts w:eastAsia="Batang"/>
          <w:sz w:val="21"/>
        </w:rPr>
      </w:pPr>
      <w:r w:rsidRPr="001467C4">
        <w:rPr>
          <w:rFonts w:eastAsia="Batang"/>
          <w:sz w:val="21"/>
        </w:rPr>
        <w:t>In last meeting, a WF</w:t>
      </w:r>
      <w:r w:rsidR="007C5BE9">
        <w:rPr>
          <w:rFonts w:eastAsia="Batang"/>
          <w:sz w:val="21"/>
        </w:rPr>
        <w:t xml:space="preserve"> </w:t>
      </w:r>
      <w:r w:rsidR="008B7DAA" w:rsidRPr="001467C4">
        <w:rPr>
          <w:rFonts w:eastAsia="Batang"/>
          <w:sz w:val="21"/>
        </w:rPr>
        <w:t>[1]</w:t>
      </w:r>
      <w:r w:rsidRPr="001467C4">
        <w:rPr>
          <w:rFonts w:eastAsia="Batang"/>
          <w:sz w:val="21"/>
        </w:rPr>
        <w:t xml:space="preserve"> was approved on FR2-1 SSB based L3 measurement delay reduction.</w:t>
      </w:r>
      <w:r w:rsidR="00A102F4" w:rsidRPr="001467C4">
        <w:rPr>
          <w:rFonts w:eastAsia="Batang"/>
          <w:sz w:val="21"/>
        </w:rPr>
        <w:t xml:space="preserve"> </w:t>
      </w:r>
    </w:p>
    <w:p w14:paraId="6E78A866" w14:textId="22CAC323" w:rsidR="00FC7BA2" w:rsidRPr="001467C4" w:rsidRDefault="00FC7BA2" w:rsidP="003E794D">
      <w:pPr>
        <w:jc w:val="both"/>
        <w:rPr>
          <w:rFonts w:eastAsia="宋体"/>
          <w:sz w:val="21"/>
          <w:lang w:eastAsia="zh-CN"/>
        </w:rPr>
      </w:pPr>
      <w:r w:rsidRPr="001467C4">
        <w:rPr>
          <w:rFonts w:eastAsia="宋体"/>
          <w:sz w:val="21"/>
          <w:lang w:eastAsia="zh-CN"/>
        </w:rPr>
        <w:t>In this contribution, we will provide discussion on</w:t>
      </w:r>
      <w:r w:rsidR="00F90EDD" w:rsidRPr="001467C4">
        <w:rPr>
          <w:rFonts w:eastAsia="宋体"/>
          <w:sz w:val="21"/>
          <w:lang w:eastAsia="zh-CN"/>
        </w:rPr>
        <w:t xml:space="preserve"> FR2-1 SSB based L3 measurement delay reduction </w:t>
      </w:r>
      <w:r w:rsidR="00102B9F" w:rsidRPr="001467C4">
        <w:rPr>
          <w:rFonts w:eastAsia="宋体"/>
          <w:sz w:val="21"/>
          <w:lang w:eastAsia="zh-CN"/>
        </w:rPr>
        <w:t xml:space="preserve">by optimizing </w:t>
      </w:r>
      <w:proofErr w:type="spellStart"/>
      <w:r w:rsidR="003E794D" w:rsidRPr="003E794D">
        <w:rPr>
          <w:rFonts w:eastAsia="宋体"/>
          <w:sz w:val="21"/>
          <w:lang w:eastAsia="zh-CN"/>
        </w:rPr>
        <w:t>CSSF</w:t>
      </w:r>
      <w:r w:rsidR="003E794D" w:rsidRPr="00187AED">
        <w:rPr>
          <w:rFonts w:eastAsia="宋体"/>
          <w:sz w:val="21"/>
          <w:vertAlign w:val="subscript"/>
          <w:lang w:eastAsia="zh-CN"/>
        </w:rPr>
        <w:t>outside_gap</w:t>
      </w:r>
      <w:proofErr w:type="spellEnd"/>
      <w:r w:rsidRPr="001467C4">
        <w:rPr>
          <w:rFonts w:eastAsia="宋体"/>
          <w:sz w:val="21"/>
          <w:lang w:eastAsia="zh-CN"/>
        </w:rPr>
        <w:t>.</w:t>
      </w:r>
    </w:p>
    <w:p w14:paraId="25E13503" w14:textId="7DE6FD96" w:rsidR="00286006" w:rsidRDefault="00FC7BA2" w:rsidP="004811F8">
      <w:pPr>
        <w:pStyle w:val="1"/>
        <w:jc w:val="both"/>
        <w:rPr>
          <w:lang w:val="en-US"/>
        </w:rPr>
      </w:pPr>
      <w:r w:rsidRPr="00C643FE">
        <w:rPr>
          <w:lang w:val="en-US"/>
        </w:rPr>
        <w:t>Discussion</w:t>
      </w:r>
    </w:p>
    <w:p w14:paraId="219B5CBA" w14:textId="134D8345" w:rsidR="005249FF" w:rsidRPr="005249FF" w:rsidRDefault="005249FF" w:rsidP="005249FF">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last meeting, RAN4 agreed on solution 1 and solution 3 for CSSF reduction, and send LS to RAN2 to inform them of the potential signaling impact. </w:t>
      </w:r>
    </w:p>
    <w:tbl>
      <w:tblPr>
        <w:tblStyle w:val="a7"/>
        <w:tblpPr w:leftFromText="180" w:rightFromText="180" w:vertAnchor="text" w:tblpXSpec="center" w:tblpY="1"/>
        <w:tblOverlap w:val="never"/>
        <w:tblW w:w="0" w:type="auto"/>
        <w:jc w:val="center"/>
        <w:tblLook w:val="04A0" w:firstRow="1" w:lastRow="0" w:firstColumn="1" w:lastColumn="0" w:noHBand="0" w:noVBand="1"/>
      </w:tblPr>
      <w:tblGrid>
        <w:gridCol w:w="8296"/>
      </w:tblGrid>
      <w:tr w:rsidR="00846C3E" w14:paraId="22458BD8" w14:textId="77777777" w:rsidTr="001004AE">
        <w:trPr>
          <w:jc w:val="center"/>
        </w:trPr>
        <w:tc>
          <w:tcPr>
            <w:tcW w:w="8296" w:type="dxa"/>
          </w:tcPr>
          <w:p w14:paraId="33956134" w14:textId="5CFAD534" w:rsidR="00F27EC4" w:rsidRPr="00F27EC4" w:rsidRDefault="00F27EC4" w:rsidP="001004AE">
            <w:pPr>
              <w:rPr>
                <w:rFonts w:eastAsia="Malgun Gothic"/>
                <w:b/>
                <w:color w:val="0070C0"/>
                <w:u w:val="single"/>
                <w:lang w:eastAsia="ko-KR"/>
              </w:rPr>
            </w:pPr>
            <w:r>
              <w:rPr>
                <w:b/>
                <w:color w:val="0070C0"/>
                <w:u w:val="single"/>
                <w:lang w:eastAsia="ko-KR"/>
              </w:rPr>
              <w:t>Issue 1-3-1: Tentative solution 1: measure one serving CC per band</w:t>
            </w:r>
          </w:p>
          <w:p w14:paraId="04BED1C6" w14:textId="77777777" w:rsidR="00F27EC4" w:rsidRPr="00024EA3" w:rsidRDefault="00F27EC4" w:rsidP="001004AE">
            <w:pPr>
              <w:overflowPunct w:val="0"/>
              <w:autoSpaceDE w:val="0"/>
              <w:autoSpaceDN w:val="0"/>
              <w:adjustRightInd w:val="0"/>
              <w:snapToGrid w:val="0"/>
              <w:spacing w:after="120"/>
              <w:rPr>
                <w:rFonts w:eastAsia="等线"/>
                <w:iCs/>
                <w:szCs w:val="21"/>
                <w:highlight w:val="green"/>
              </w:rPr>
            </w:pPr>
            <w:r w:rsidRPr="00024EA3">
              <w:rPr>
                <w:rFonts w:eastAsia="等线" w:hint="eastAsia"/>
                <w:iCs/>
                <w:szCs w:val="21"/>
                <w:highlight w:val="green"/>
              </w:rPr>
              <w:t>A</w:t>
            </w:r>
            <w:r w:rsidRPr="00024EA3">
              <w:rPr>
                <w:rFonts w:eastAsia="等线"/>
                <w:iCs/>
                <w:szCs w:val="21"/>
                <w:highlight w:val="green"/>
              </w:rPr>
              <w:t>greement:</w:t>
            </w:r>
          </w:p>
          <w:p w14:paraId="27825027" w14:textId="77777777" w:rsidR="00F27EC4" w:rsidRPr="00CE7E1C" w:rsidRDefault="00F27EC4" w:rsidP="001004AE">
            <w:pPr>
              <w:numPr>
                <w:ilvl w:val="0"/>
                <w:numId w:val="3"/>
              </w:numPr>
              <w:autoSpaceDN w:val="0"/>
              <w:snapToGrid w:val="0"/>
              <w:spacing w:after="120"/>
              <w:ind w:left="360"/>
              <w:rPr>
                <w:rFonts w:eastAsia="宋体"/>
                <w:iCs/>
                <w:szCs w:val="21"/>
              </w:rPr>
            </w:pPr>
            <w:r w:rsidRPr="00CE7E1C">
              <w:rPr>
                <w:rFonts w:eastAsia="宋体"/>
                <w:iCs/>
                <w:szCs w:val="21"/>
              </w:rPr>
              <w:t xml:space="preserve">If network indicates to enable this CSSF enhancement, UE only needs to measure one serving CC per band if multiple serving CCs are configured for measurement in the same band and UE is allowed to determine the CC in the band to be measured based on followings, </w:t>
            </w:r>
          </w:p>
          <w:p w14:paraId="4D49BCFC" w14:textId="77777777" w:rsidR="00F27EC4" w:rsidRPr="00CE7E1C" w:rsidRDefault="00F27EC4" w:rsidP="001004AE">
            <w:pPr>
              <w:numPr>
                <w:ilvl w:val="1"/>
                <w:numId w:val="3"/>
              </w:numPr>
              <w:overflowPunct w:val="0"/>
              <w:autoSpaceDE w:val="0"/>
              <w:autoSpaceDN w:val="0"/>
              <w:adjustRightInd w:val="0"/>
              <w:snapToGrid w:val="0"/>
              <w:spacing w:after="120"/>
              <w:ind w:left="1080"/>
              <w:rPr>
                <w:rFonts w:eastAsia="宋体"/>
                <w:iCs/>
                <w:szCs w:val="21"/>
              </w:rPr>
            </w:pPr>
            <w:r w:rsidRPr="00CE7E1C">
              <w:rPr>
                <w:rFonts w:eastAsia="宋体"/>
                <w:iCs/>
                <w:szCs w:val="21"/>
              </w:rPr>
              <w:t>Network indication of enable/disable this CSSF enhancement is per-UE.</w:t>
            </w:r>
          </w:p>
          <w:p w14:paraId="20E40111" w14:textId="77777777" w:rsidR="00F27EC4" w:rsidRPr="00CE7E1C" w:rsidRDefault="00F27EC4" w:rsidP="001004AE">
            <w:pPr>
              <w:numPr>
                <w:ilvl w:val="1"/>
                <w:numId w:val="3"/>
              </w:numPr>
              <w:overflowPunct w:val="0"/>
              <w:autoSpaceDE w:val="0"/>
              <w:autoSpaceDN w:val="0"/>
              <w:adjustRightInd w:val="0"/>
              <w:snapToGrid w:val="0"/>
              <w:spacing w:after="120"/>
              <w:ind w:left="1080"/>
              <w:rPr>
                <w:rFonts w:eastAsia="宋体"/>
                <w:iCs/>
                <w:szCs w:val="21"/>
              </w:rPr>
            </w:pPr>
            <w:r w:rsidRPr="00CE7E1C">
              <w:rPr>
                <w:rFonts w:eastAsia="宋体"/>
                <w:iCs/>
                <w:szCs w:val="21"/>
              </w:rPr>
              <w:t xml:space="preserve">Follow the following principle for serving and </w:t>
            </w:r>
            <w:proofErr w:type="spellStart"/>
            <w:r w:rsidRPr="00CE7E1C">
              <w:rPr>
                <w:rFonts w:eastAsia="宋体"/>
                <w:iCs/>
                <w:szCs w:val="21"/>
              </w:rPr>
              <w:t>neighboring</w:t>
            </w:r>
            <w:proofErr w:type="spellEnd"/>
            <w:r w:rsidRPr="00CE7E1C">
              <w:rPr>
                <w:rFonts w:eastAsia="宋体"/>
                <w:iCs/>
                <w:szCs w:val="21"/>
              </w:rPr>
              <w:t xml:space="preserve"> cell measurement</w:t>
            </w:r>
          </w:p>
          <w:p w14:paraId="6609A3C5" w14:textId="77777777" w:rsidR="00F27EC4" w:rsidRPr="00CE7E1C" w:rsidRDefault="00F27EC4" w:rsidP="001004AE">
            <w:pPr>
              <w:numPr>
                <w:ilvl w:val="2"/>
                <w:numId w:val="3"/>
              </w:numPr>
              <w:suppressAutoHyphens/>
              <w:snapToGrid w:val="0"/>
              <w:spacing w:after="120"/>
              <w:ind w:left="1800"/>
              <w:rPr>
                <w:rFonts w:eastAsia="宋体"/>
                <w:iCs/>
                <w:szCs w:val="21"/>
              </w:rPr>
            </w:pPr>
            <w:r w:rsidRPr="00CE7E1C">
              <w:rPr>
                <w:rFonts w:eastAsia="宋体"/>
                <w:iCs/>
                <w:szCs w:val="21"/>
              </w:rPr>
              <w:t>Measure PCC if PCC in band</w:t>
            </w:r>
          </w:p>
          <w:p w14:paraId="1ADC980E" w14:textId="77777777" w:rsidR="00F27EC4" w:rsidRPr="00CE7E1C" w:rsidRDefault="00F27EC4" w:rsidP="001004AE">
            <w:pPr>
              <w:numPr>
                <w:ilvl w:val="2"/>
                <w:numId w:val="3"/>
              </w:numPr>
              <w:suppressAutoHyphens/>
              <w:snapToGrid w:val="0"/>
              <w:spacing w:after="120"/>
              <w:ind w:left="1800"/>
              <w:rPr>
                <w:rFonts w:eastAsia="宋体"/>
                <w:iCs/>
                <w:szCs w:val="21"/>
              </w:rPr>
            </w:pPr>
            <w:r w:rsidRPr="00CE7E1C">
              <w:rPr>
                <w:rFonts w:eastAsia="宋体"/>
                <w:iCs/>
                <w:szCs w:val="21"/>
              </w:rPr>
              <w:t>Measure PSCC if PSCC in band</w:t>
            </w:r>
          </w:p>
          <w:p w14:paraId="1BC2229C" w14:textId="77777777" w:rsidR="00F27EC4" w:rsidRPr="00CE7E1C" w:rsidRDefault="00F27EC4" w:rsidP="001004AE">
            <w:pPr>
              <w:numPr>
                <w:ilvl w:val="2"/>
                <w:numId w:val="3"/>
              </w:numPr>
              <w:suppressAutoHyphens/>
              <w:snapToGrid w:val="0"/>
              <w:spacing w:after="120"/>
              <w:ind w:left="1800"/>
              <w:rPr>
                <w:rFonts w:eastAsia="宋体"/>
                <w:iCs/>
                <w:szCs w:val="21"/>
              </w:rPr>
            </w:pPr>
            <w:r w:rsidRPr="00CE7E1C">
              <w:rPr>
                <w:rFonts w:eastAsia="宋体"/>
                <w:iCs/>
                <w:szCs w:val="21"/>
              </w:rPr>
              <w:t>Measure SCC on which UE is configured to report SSB based measurements, if</w:t>
            </w:r>
          </w:p>
          <w:p w14:paraId="01B68621" w14:textId="77777777" w:rsidR="00F27EC4" w:rsidRPr="00CE7E1C" w:rsidRDefault="00F27EC4" w:rsidP="001004AE">
            <w:pPr>
              <w:numPr>
                <w:ilvl w:val="3"/>
                <w:numId w:val="3"/>
              </w:numPr>
              <w:suppressAutoHyphens/>
              <w:snapToGrid w:val="0"/>
              <w:spacing w:after="120"/>
              <w:ind w:left="2520"/>
              <w:rPr>
                <w:rFonts w:eastAsia="宋体"/>
                <w:iCs/>
                <w:szCs w:val="21"/>
              </w:rPr>
            </w:pPr>
            <w:r w:rsidRPr="00CE7E1C">
              <w:rPr>
                <w:rFonts w:eastAsia="宋体"/>
                <w:iCs/>
                <w:szCs w:val="21"/>
              </w:rPr>
              <w:t>there is only one SCC on which UE is configured to report SSB based measurements on same FR2 band and no PCC/PSCC in band</w:t>
            </w:r>
          </w:p>
          <w:p w14:paraId="52445017" w14:textId="77777777" w:rsidR="00F27EC4" w:rsidRPr="00CE7E1C" w:rsidRDefault="00F27EC4" w:rsidP="001004AE">
            <w:pPr>
              <w:numPr>
                <w:ilvl w:val="1"/>
                <w:numId w:val="3"/>
              </w:numPr>
              <w:overflowPunct w:val="0"/>
              <w:autoSpaceDE w:val="0"/>
              <w:autoSpaceDN w:val="0"/>
              <w:adjustRightInd w:val="0"/>
              <w:snapToGrid w:val="0"/>
              <w:spacing w:after="120"/>
              <w:ind w:left="1080"/>
              <w:rPr>
                <w:rFonts w:eastAsia="宋体"/>
                <w:iCs/>
                <w:szCs w:val="21"/>
              </w:rPr>
            </w:pPr>
            <w:r w:rsidRPr="00CE7E1C">
              <w:rPr>
                <w:rFonts w:eastAsia="宋体"/>
                <w:iCs/>
                <w:szCs w:val="21"/>
              </w:rPr>
              <w:t>Follow the network indication to measure a SCC, if</w:t>
            </w:r>
          </w:p>
          <w:p w14:paraId="21C173BA" w14:textId="77777777" w:rsidR="00F27EC4" w:rsidRPr="00CE7E1C" w:rsidRDefault="00F27EC4" w:rsidP="001004AE">
            <w:pPr>
              <w:numPr>
                <w:ilvl w:val="2"/>
                <w:numId w:val="3"/>
              </w:numPr>
              <w:suppressAutoHyphens/>
              <w:snapToGrid w:val="0"/>
              <w:spacing w:after="120"/>
              <w:ind w:left="1800"/>
              <w:rPr>
                <w:rFonts w:eastAsia="宋体"/>
                <w:iCs/>
                <w:szCs w:val="21"/>
              </w:rPr>
            </w:pPr>
            <w:r w:rsidRPr="00CE7E1C">
              <w:rPr>
                <w:rFonts w:eastAsia="宋体"/>
                <w:iCs/>
                <w:szCs w:val="21"/>
              </w:rPr>
              <w:t>neither PCC nor PSCC is in band, and</w:t>
            </w:r>
          </w:p>
          <w:p w14:paraId="15816A3C" w14:textId="77777777" w:rsidR="00F27EC4" w:rsidRPr="00F27EC4" w:rsidRDefault="00F27EC4" w:rsidP="001004AE">
            <w:pPr>
              <w:numPr>
                <w:ilvl w:val="2"/>
                <w:numId w:val="3"/>
              </w:numPr>
              <w:suppressAutoHyphens/>
              <w:snapToGrid w:val="0"/>
              <w:spacing w:after="120"/>
              <w:ind w:left="1800"/>
              <w:rPr>
                <w:rFonts w:eastAsia="宋体"/>
                <w:iCs/>
                <w:szCs w:val="21"/>
                <w:highlight w:val="yellow"/>
              </w:rPr>
            </w:pPr>
            <w:r w:rsidRPr="00F27EC4">
              <w:rPr>
                <w:rFonts w:eastAsia="宋体"/>
                <w:iCs/>
                <w:szCs w:val="21"/>
                <w:highlight w:val="yellow"/>
              </w:rPr>
              <w:t>if there is no SCCs on which UE is configured to report SSB based measurements in band, or</w:t>
            </w:r>
          </w:p>
          <w:p w14:paraId="20D53419" w14:textId="77777777" w:rsidR="00F27EC4" w:rsidRPr="00CE7E1C" w:rsidRDefault="00F27EC4" w:rsidP="001004AE">
            <w:pPr>
              <w:numPr>
                <w:ilvl w:val="2"/>
                <w:numId w:val="3"/>
              </w:numPr>
              <w:suppressAutoHyphens/>
              <w:snapToGrid w:val="0"/>
              <w:spacing w:after="120"/>
              <w:ind w:left="1800"/>
              <w:rPr>
                <w:rFonts w:eastAsia="宋体"/>
                <w:iCs/>
                <w:szCs w:val="21"/>
              </w:rPr>
            </w:pPr>
            <w:r w:rsidRPr="00CE7E1C">
              <w:rPr>
                <w:rFonts w:eastAsia="宋体"/>
                <w:iCs/>
                <w:szCs w:val="21"/>
              </w:rPr>
              <w:t>if there are multiple SCCs on which UE is configured to report SSB based measurements in band.</w:t>
            </w:r>
          </w:p>
          <w:p w14:paraId="2E3C74AE" w14:textId="77777777" w:rsidR="00F27EC4" w:rsidRPr="00CE7E1C" w:rsidRDefault="00F27EC4" w:rsidP="001004AE">
            <w:pPr>
              <w:numPr>
                <w:ilvl w:val="2"/>
                <w:numId w:val="3"/>
              </w:numPr>
              <w:suppressAutoHyphens/>
              <w:snapToGrid w:val="0"/>
              <w:spacing w:after="120"/>
              <w:ind w:left="1800"/>
              <w:rPr>
                <w:rFonts w:eastAsia="宋体"/>
                <w:iCs/>
                <w:szCs w:val="21"/>
              </w:rPr>
            </w:pPr>
            <w:r w:rsidRPr="00CE7E1C">
              <w:rPr>
                <w:rFonts w:eastAsia="宋体"/>
                <w:iCs/>
                <w:szCs w:val="21"/>
              </w:rPr>
              <w:t>Network indication of a specific SCC per-band for measurement.</w:t>
            </w:r>
          </w:p>
          <w:p w14:paraId="605509A1" w14:textId="77777777" w:rsidR="00F27EC4" w:rsidRPr="00CE7E1C" w:rsidRDefault="00F27EC4" w:rsidP="001004AE">
            <w:pPr>
              <w:numPr>
                <w:ilvl w:val="3"/>
                <w:numId w:val="3"/>
              </w:numPr>
              <w:suppressAutoHyphens/>
              <w:snapToGrid w:val="0"/>
              <w:spacing w:after="120"/>
              <w:ind w:left="2520"/>
              <w:rPr>
                <w:rFonts w:eastAsia="宋体"/>
                <w:iCs/>
                <w:szCs w:val="21"/>
              </w:rPr>
            </w:pPr>
            <w:r w:rsidRPr="00CE7E1C">
              <w:rPr>
                <w:rFonts w:eastAsia="宋体"/>
                <w:iCs/>
                <w:szCs w:val="21"/>
              </w:rPr>
              <w:t>if network indicates which of the SCC to be measured in a band, UE will perform both serving and neighbour cell measurements on the indicated SCC in a band.</w:t>
            </w:r>
          </w:p>
          <w:p w14:paraId="395F5E33" w14:textId="77777777" w:rsidR="00F27EC4" w:rsidRPr="00CE7E1C" w:rsidRDefault="00F27EC4" w:rsidP="001004AE">
            <w:pPr>
              <w:numPr>
                <w:ilvl w:val="1"/>
                <w:numId w:val="3"/>
              </w:numPr>
              <w:overflowPunct w:val="0"/>
              <w:autoSpaceDE w:val="0"/>
              <w:autoSpaceDN w:val="0"/>
              <w:adjustRightInd w:val="0"/>
              <w:snapToGrid w:val="0"/>
              <w:spacing w:after="120"/>
              <w:ind w:left="1080"/>
              <w:rPr>
                <w:rFonts w:eastAsia="宋体"/>
                <w:iCs/>
                <w:szCs w:val="21"/>
              </w:rPr>
            </w:pPr>
            <w:r w:rsidRPr="00CE7E1C">
              <w:rPr>
                <w:rFonts w:eastAsia="宋体" w:hint="eastAsia"/>
                <w:iCs/>
                <w:szCs w:val="21"/>
              </w:rPr>
              <w:lastRenderedPageBreak/>
              <w:t>O</w:t>
            </w:r>
            <w:r w:rsidRPr="00CE7E1C">
              <w:rPr>
                <w:rFonts w:eastAsia="宋体"/>
                <w:iCs/>
                <w:szCs w:val="21"/>
              </w:rPr>
              <w:t xml:space="preserve">therwise, </w:t>
            </w:r>
            <w:r w:rsidRPr="00CE7E1C">
              <w:rPr>
                <w:iCs/>
                <w:szCs w:val="21"/>
              </w:rPr>
              <w:t xml:space="preserve">UE will perform serving and </w:t>
            </w:r>
            <w:proofErr w:type="spellStart"/>
            <w:r w:rsidRPr="00CE7E1C">
              <w:rPr>
                <w:iCs/>
                <w:szCs w:val="21"/>
              </w:rPr>
              <w:t>neighbor</w:t>
            </w:r>
            <w:proofErr w:type="spellEnd"/>
            <w:r w:rsidRPr="00CE7E1C">
              <w:rPr>
                <w:iCs/>
                <w:szCs w:val="21"/>
              </w:rPr>
              <w:t xml:space="preserve"> cell measurements on one SCC per band, which SCC to measure is up to UE implementation.</w:t>
            </w:r>
          </w:p>
          <w:p w14:paraId="1AAD95E8" w14:textId="77777777" w:rsidR="00F27EC4" w:rsidRPr="00CE7E1C" w:rsidRDefault="00F27EC4" w:rsidP="001004AE">
            <w:pPr>
              <w:numPr>
                <w:ilvl w:val="0"/>
                <w:numId w:val="3"/>
              </w:numPr>
              <w:overflowPunct w:val="0"/>
              <w:autoSpaceDE w:val="0"/>
              <w:autoSpaceDN w:val="0"/>
              <w:adjustRightInd w:val="0"/>
              <w:snapToGrid w:val="0"/>
              <w:spacing w:after="120"/>
              <w:ind w:left="360"/>
              <w:rPr>
                <w:iCs/>
                <w:szCs w:val="21"/>
              </w:rPr>
            </w:pPr>
            <w:r w:rsidRPr="00CE7E1C">
              <w:rPr>
                <w:iCs/>
                <w:szCs w:val="21"/>
              </w:rPr>
              <w:t xml:space="preserve">Otherwise, UE will follow the R15 spec to perform serving and </w:t>
            </w:r>
            <w:proofErr w:type="spellStart"/>
            <w:r w:rsidRPr="00CE7E1C">
              <w:rPr>
                <w:iCs/>
                <w:szCs w:val="21"/>
              </w:rPr>
              <w:t>neighbor</w:t>
            </w:r>
            <w:proofErr w:type="spellEnd"/>
            <w:r w:rsidRPr="00CE7E1C">
              <w:rPr>
                <w:iCs/>
                <w:szCs w:val="21"/>
              </w:rPr>
              <w:t xml:space="preserve"> cell measurements.</w:t>
            </w:r>
          </w:p>
          <w:p w14:paraId="2286A3C5" w14:textId="0A543ED3" w:rsidR="00846C3E" w:rsidRPr="00F27EC4" w:rsidRDefault="00F27EC4" w:rsidP="001004AE">
            <w:pPr>
              <w:numPr>
                <w:ilvl w:val="0"/>
                <w:numId w:val="3"/>
              </w:numPr>
              <w:overflowPunct w:val="0"/>
              <w:autoSpaceDE w:val="0"/>
              <w:autoSpaceDN w:val="0"/>
              <w:adjustRightInd w:val="0"/>
              <w:snapToGrid w:val="0"/>
              <w:spacing w:after="120"/>
              <w:ind w:left="360"/>
              <w:rPr>
                <w:iCs/>
                <w:szCs w:val="21"/>
              </w:rPr>
            </w:pPr>
            <w:r w:rsidRPr="00CE7E1C">
              <w:rPr>
                <w:iCs/>
                <w:szCs w:val="21"/>
              </w:rPr>
              <w:t>Note: Following the WID, the above agreement applies for the measurement without gap.</w:t>
            </w:r>
          </w:p>
        </w:tc>
      </w:tr>
    </w:tbl>
    <w:p w14:paraId="724DC1A7" w14:textId="77777777" w:rsidR="005249FF" w:rsidRPr="005249FF" w:rsidRDefault="005249FF" w:rsidP="00143700">
      <w:pPr>
        <w:pStyle w:val="Default"/>
        <w:jc w:val="both"/>
        <w:rPr>
          <w:rFonts w:eastAsia="宋体"/>
          <w:iCs/>
          <w:szCs w:val="21"/>
        </w:rPr>
      </w:pPr>
    </w:p>
    <w:p w14:paraId="248CEC1D" w14:textId="76AA82DD" w:rsidR="001A4AE7" w:rsidRDefault="005249FF" w:rsidP="004811F8">
      <w:pPr>
        <w:pStyle w:val="Default"/>
        <w:jc w:val="both"/>
        <w:rPr>
          <w:sz w:val="20"/>
          <w:szCs w:val="20"/>
        </w:rPr>
      </w:pPr>
      <w:r>
        <w:rPr>
          <w:sz w:val="20"/>
          <w:szCs w:val="20"/>
        </w:rPr>
        <w:t>After discussion internally, our RAN2 guys think</w:t>
      </w:r>
      <w:r w:rsidR="00DB6EB4">
        <w:rPr>
          <w:sz w:val="20"/>
          <w:szCs w:val="20"/>
        </w:rPr>
        <w:t xml:space="preserve"> it is not very clear </w:t>
      </w:r>
      <w:r>
        <w:rPr>
          <w:sz w:val="20"/>
          <w:szCs w:val="20"/>
        </w:rPr>
        <w:t xml:space="preserve">about the two-level </w:t>
      </w:r>
      <w:r w:rsidR="00600A7C">
        <w:rPr>
          <w:sz w:val="20"/>
          <w:szCs w:val="20"/>
        </w:rPr>
        <w:t>network indication</w:t>
      </w:r>
      <w:r w:rsidR="001A4AE7">
        <w:rPr>
          <w:sz w:val="20"/>
          <w:szCs w:val="20"/>
        </w:rPr>
        <w:t xml:space="preserve">. </w:t>
      </w:r>
    </w:p>
    <w:p w14:paraId="066B5006" w14:textId="77777777" w:rsidR="007C5BE9" w:rsidRDefault="007C5BE9" w:rsidP="004811F8">
      <w:pPr>
        <w:pStyle w:val="Default"/>
        <w:jc w:val="both"/>
        <w:rPr>
          <w:sz w:val="20"/>
          <w:szCs w:val="20"/>
        </w:rPr>
      </w:pPr>
    </w:p>
    <w:p w14:paraId="66F93BAF" w14:textId="5DE9B3D8" w:rsidR="001A4AE7" w:rsidRDefault="001A4AE7" w:rsidP="004811F8">
      <w:pPr>
        <w:pStyle w:val="Default"/>
        <w:jc w:val="both"/>
        <w:rPr>
          <w:sz w:val="20"/>
          <w:szCs w:val="20"/>
        </w:rPr>
      </w:pPr>
      <w:r>
        <w:rPr>
          <w:sz w:val="20"/>
          <w:szCs w:val="20"/>
        </w:rPr>
        <w:t>Firstly,</w:t>
      </w:r>
      <w:r w:rsidR="00DB6EB4">
        <w:rPr>
          <w:sz w:val="20"/>
          <w:szCs w:val="20"/>
        </w:rPr>
        <w:t xml:space="preserve"> usually </w:t>
      </w:r>
      <w:r w:rsidR="00527577">
        <w:rPr>
          <w:sz w:val="20"/>
          <w:szCs w:val="20"/>
        </w:rPr>
        <w:t xml:space="preserve">the measurement configuration can already reflect the </w:t>
      </w:r>
      <w:r w:rsidR="00DB6EB4">
        <w:rPr>
          <w:sz w:val="20"/>
          <w:szCs w:val="20"/>
        </w:rPr>
        <w:t xml:space="preserve">measurement </w:t>
      </w:r>
      <w:r w:rsidR="00527577">
        <w:rPr>
          <w:sz w:val="20"/>
          <w:szCs w:val="20"/>
        </w:rPr>
        <w:t xml:space="preserve">purposes and cared carriers from network side. If some SCC is configured in one MO, it should be taken care of by UE during the measurement and report, and the network can reconfigure and adapt the measurement configuration according the </w:t>
      </w:r>
      <w:r w:rsidR="00D0120D">
        <w:rPr>
          <w:sz w:val="20"/>
          <w:szCs w:val="20"/>
        </w:rPr>
        <w:t xml:space="preserve">measurement </w:t>
      </w:r>
      <w:r w:rsidR="00527577">
        <w:rPr>
          <w:sz w:val="20"/>
          <w:szCs w:val="20"/>
        </w:rPr>
        <w:t>reports and</w:t>
      </w:r>
      <w:r w:rsidR="00D0120D">
        <w:rPr>
          <w:sz w:val="20"/>
          <w:szCs w:val="20"/>
        </w:rPr>
        <w:t xml:space="preserve"> real-time </w:t>
      </w:r>
      <w:r w:rsidR="00316A9F">
        <w:rPr>
          <w:sz w:val="20"/>
          <w:szCs w:val="20"/>
        </w:rPr>
        <w:t>demand</w:t>
      </w:r>
      <w:r w:rsidR="00D0120D">
        <w:rPr>
          <w:sz w:val="20"/>
          <w:szCs w:val="20"/>
        </w:rPr>
        <w:t xml:space="preserve">. </w:t>
      </w:r>
      <w:r w:rsidR="00600A7C">
        <w:rPr>
          <w:sz w:val="20"/>
          <w:szCs w:val="20"/>
        </w:rPr>
        <w:t>In this case</w:t>
      </w:r>
      <w:r w:rsidR="00D0120D">
        <w:rPr>
          <w:sz w:val="20"/>
          <w:szCs w:val="20"/>
        </w:rPr>
        <w:t xml:space="preserve">, the </w:t>
      </w:r>
      <w:r w:rsidR="00C96550">
        <w:rPr>
          <w:sz w:val="20"/>
          <w:szCs w:val="20"/>
        </w:rPr>
        <w:t xml:space="preserve">other </w:t>
      </w:r>
      <w:r w:rsidR="00D0120D">
        <w:rPr>
          <w:sz w:val="20"/>
          <w:szCs w:val="20"/>
        </w:rPr>
        <w:t>SCC</w:t>
      </w:r>
      <w:r w:rsidR="00C96550">
        <w:rPr>
          <w:sz w:val="20"/>
          <w:szCs w:val="20"/>
        </w:rPr>
        <w:t>s</w:t>
      </w:r>
      <w:r w:rsidR="00D0120D">
        <w:rPr>
          <w:sz w:val="20"/>
          <w:szCs w:val="20"/>
        </w:rPr>
        <w:t xml:space="preserve"> </w:t>
      </w:r>
      <w:r w:rsidR="00600A7C">
        <w:rPr>
          <w:sz w:val="20"/>
          <w:szCs w:val="20"/>
        </w:rPr>
        <w:t xml:space="preserve">not selected </w:t>
      </w:r>
      <w:r w:rsidR="00D0120D">
        <w:rPr>
          <w:sz w:val="20"/>
          <w:szCs w:val="20"/>
        </w:rPr>
        <w:t xml:space="preserve">can be taken as low priority or even </w:t>
      </w:r>
      <w:r>
        <w:rPr>
          <w:sz w:val="20"/>
          <w:szCs w:val="20"/>
        </w:rPr>
        <w:t>released from MO list. The benefit of network indication to enable CSSF enhancement seems quite limited.</w:t>
      </w:r>
    </w:p>
    <w:p w14:paraId="69A5521D" w14:textId="77777777" w:rsidR="007C5BE9" w:rsidRDefault="007C5BE9" w:rsidP="004811F8">
      <w:pPr>
        <w:pStyle w:val="Default"/>
        <w:jc w:val="both"/>
        <w:rPr>
          <w:sz w:val="20"/>
          <w:szCs w:val="20"/>
        </w:rPr>
      </w:pPr>
    </w:p>
    <w:p w14:paraId="576237BD" w14:textId="43C13CEE" w:rsidR="00402D79" w:rsidRDefault="001A4AE7" w:rsidP="004811F8">
      <w:pPr>
        <w:pStyle w:val="Default"/>
        <w:jc w:val="both"/>
        <w:rPr>
          <w:sz w:val="20"/>
          <w:szCs w:val="20"/>
        </w:rPr>
      </w:pPr>
      <w:r>
        <w:rPr>
          <w:sz w:val="20"/>
          <w:szCs w:val="20"/>
        </w:rPr>
        <w:t xml:space="preserve">Secondly, about the additional network indication to measure a SCC, some sub-case is also not reasonable to RAN2. In RAN2’s assumption, if </w:t>
      </w:r>
      <w:r w:rsidR="00D72BFE">
        <w:rPr>
          <w:sz w:val="20"/>
          <w:szCs w:val="20"/>
        </w:rPr>
        <w:t xml:space="preserve">UE is configured with the measurement either in </w:t>
      </w:r>
      <w:proofErr w:type="spellStart"/>
      <w:r w:rsidR="00D72BFE">
        <w:rPr>
          <w:sz w:val="20"/>
          <w:szCs w:val="20"/>
        </w:rPr>
        <w:t>servingcellMO</w:t>
      </w:r>
      <w:proofErr w:type="spellEnd"/>
      <w:r w:rsidR="00D72BFE">
        <w:rPr>
          <w:sz w:val="20"/>
          <w:szCs w:val="20"/>
        </w:rPr>
        <w:t xml:space="preserve"> or MOs for neighbor cell measurements, the related reports are expected to be configured together</w:t>
      </w:r>
      <w:r w:rsidR="00DA45D4">
        <w:rPr>
          <w:sz w:val="20"/>
          <w:szCs w:val="20"/>
        </w:rPr>
        <w:t>, either for serving cell or neighbor cell measurements</w:t>
      </w:r>
      <w:r w:rsidR="00D72BFE">
        <w:rPr>
          <w:sz w:val="20"/>
          <w:szCs w:val="20"/>
        </w:rPr>
        <w:t xml:space="preserve">. It may happen that one UE is performing measurements but does not fulfill the condition of reporting within some time duration. But it seems not correct configuration for only measurement or report on one CC. </w:t>
      </w:r>
    </w:p>
    <w:p w14:paraId="218DA5EC" w14:textId="5B3A597D" w:rsidR="00F27EC4" w:rsidRPr="00D72BFE" w:rsidRDefault="00D72BFE" w:rsidP="004811F8">
      <w:pPr>
        <w:pStyle w:val="Default"/>
        <w:jc w:val="both"/>
        <w:rPr>
          <w:color w:val="FF0000"/>
          <w:sz w:val="20"/>
          <w:szCs w:val="20"/>
        </w:rPr>
      </w:pPr>
      <w:r>
        <w:rPr>
          <w:sz w:val="20"/>
          <w:szCs w:val="20"/>
        </w:rPr>
        <w:t>Based on what RAN4 agreed in last meeting, IF t</w:t>
      </w:r>
      <w:r w:rsidRPr="00D72BFE">
        <w:rPr>
          <w:sz w:val="20"/>
          <w:szCs w:val="20"/>
        </w:rPr>
        <w:t>here is no SCCs on which UE is configured to report SSB based measurements in band</w:t>
      </w:r>
      <w:r w:rsidR="00402D79">
        <w:rPr>
          <w:sz w:val="20"/>
          <w:szCs w:val="20"/>
        </w:rPr>
        <w:t xml:space="preserve"> (including both serving cell and neighbor cell measurement)</w:t>
      </w:r>
      <w:r w:rsidRPr="00D72BFE">
        <w:rPr>
          <w:sz w:val="20"/>
          <w:szCs w:val="20"/>
        </w:rPr>
        <w:t>,</w:t>
      </w:r>
      <w:r>
        <w:rPr>
          <w:sz w:val="20"/>
          <w:szCs w:val="20"/>
        </w:rPr>
        <w:t xml:space="preserve"> then </w:t>
      </w:r>
      <w:r w:rsidR="00402D79">
        <w:rPr>
          <w:sz w:val="20"/>
          <w:szCs w:val="20"/>
        </w:rPr>
        <w:t xml:space="preserve">it means there is no measurement requirement for </w:t>
      </w:r>
      <w:r>
        <w:rPr>
          <w:sz w:val="20"/>
          <w:szCs w:val="20"/>
        </w:rPr>
        <w:t xml:space="preserve">these SCC </w:t>
      </w:r>
      <w:r w:rsidR="00402D79">
        <w:rPr>
          <w:sz w:val="20"/>
          <w:szCs w:val="20"/>
        </w:rPr>
        <w:t>in band. Then it is quite strange that why network need further to indicate to measure suc</w:t>
      </w:r>
      <w:r w:rsidR="00402D79">
        <w:rPr>
          <w:rFonts w:hint="eastAsia"/>
          <w:sz w:val="20"/>
          <w:szCs w:val="20"/>
        </w:rPr>
        <w:t>h</w:t>
      </w:r>
      <w:r w:rsidR="00402D79">
        <w:rPr>
          <w:sz w:val="20"/>
          <w:szCs w:val="20"/>
        </w:rPr>
        <w:t xml:space="preserve"> </w:t>
      </w:r>
      <w:r w:rsidR="00402D79">
        <w:rPr>
          <w:rFonts w:hint="eastAsia"/>
          <w:sz w:val="20"/>
          <w:szCs w:val="20"/>
        </w:rPr>
        <w:t>SCC</w:t>
      </w:r>
      <w:r w:rsidR="00402D79">
        <w:rPr>
          <w:sz w:val="20"/>
          <w:szCs w:val="20"/>
        </w:rPr>
        <w:t xml:space="preserve"> and UE shall follow the indication.</w:t>
      </w:r>
    </w:p>
    <w:p w14:paraId="46ACB884" w14:textId="77777777" w:rsidR="001A4AE7" w:rsidRPr="00CE7E1C" w:rsidRDefault="001A4AE7" w:rsidP="001A4AE7">
      <w:pPr>
        <w:numPr>
          <w:ilvl w:val="1"/>
          <w:numId w:val="3"/>
        </w:numPr>
        <w:overflowPunct w:val="0"/>
        <w:autoSpaceDE w:val="0"/>
        <w:autoSpaceDN w:val="0"/>
        <w:adjustRightInd w:val="0"/>
        <w:snapToGrid w:val="0"/>
        <w:spacing w:after="120"/>
        <w:ind w:left="1080"/>
        <w:rPr>
          <w:rFonts w:eastAsia="宋体"/>
          <w:iCs/>
          <w:szCs w:val="21"/>
        </w:rPr>
      </w:pPr>
      <w:r w:rsidRPr="00CE7E1C">
        <w:rPr>
          <w:rFonts w:eastAsia="宋体"/>
          <w:iCs/>
          <w:szCs w:val="21"/>
        </w:rPr>
        <w:t>Follow the network indication to measure a SCC, if</w:t>
      </w:r>
    </w:p>
    <w:p w14:paraId="6B2F8D7F" w14:textId="77777777" w:rsidR="001A4AE7" w:rsidRPr="00CE7E1C" w:rsidRDefault="001A4AE7" w:rsidP="001A4AE7">
      <w:pPr>
        <w:numPr>
          <w:ilvl w:val="2"/>
          <w:numId w:val="3"/>
        </w:numPr>
        <w:suppressAutoHyphens/>
        <w:snapToGrid w:val="0"/>
        <w:spacing w:after="120"/>
        <w:ind w:left="1800"/>
        <w:rPr>
          <w:rFonts w:eastAsia="宋体"/>
          <w:iCs/>
          <w:szCs w:val="21"/>
        </w:rPr>
      </w:pPr>
      <w:r w:rsidRPr="00CE7E1C">
        <w:rPr>
          <w:rFonts w:eastAsia="宋体"/>
          <w:iCs/>
          <w:szCs w:val="21"/>
        </w:rPr>
        <w:t>neither PCC nor PSCC is in band, and</w:t>
      </w:r>
    </w:p>
    <w:p w14:paraId="1A543068" w14:textId="2D15D689" w:rsidR="001A4AE7" w:rsidRPr="00402D79" w:rsidRDefault="001A4AE7" w:rsidP="001A4AE7">
      <w:pPr>
        <w:numPr>
          <w:ilvl w:val="2"/>
          <w:numId w:val="3"/>
        </w:numPr>
        <w:suppressAutoHyphens/>
        <w:snapToGrid w:val="0"/>
        <w:spacing w:after="120"/>
        <w:ind w:left="1800"/>
        <w:rPr>
          <w:rFonts w:eastAsia="宋体"/>
          <w:iCs/>
          <w:color w:val="FF0000"/>
          <w:szCs w:val="21"/>
        </w:rPr>
      </w:pPr>
      <w:r w:rsidRPr="00402D79">
        <w:rPr>
          <w:rFonts w:eastAsia="宋体"/>
          <w:iCs/>
          <w:color w:val="FF0000"/>
          <w:szCs w:val="21"/>
        </w:rPr>
        <w:t>if there is no SCCs on which UE is configured to report SSB based measurements in band, or</w:t>
      </w:r>
    </w:p>
    <w:p w14:paraId="196BB9BE" w14:textId="6823FB29" w:rsidR="001A4AE7" w:rsidRDefault="001A4AE7" w:rsidP="001A4AE7">
      <w:pPr>
        <w:numPr>
          <w:ilvl w:val="2"/>
          <w:numId w:val="3"/>
        </w:numPr>
        <w:suppressAutoHyphens/>
        <w:snapToGrid w:val="0"/>
        <w:spacing w:after="120"/>
        <w:ind w:left="1800"/>
        <w:rPr>
          <w:rFonts w:eastAsia="宋体"/>
          <w:iCs/>
          <w:szCs w:val="21"/>
        </w:rPr>
      </w:pPr>
      <w:r w:rsidRPr="00CE7E1C">
        <w:rPr>
          <w:rFonts w:eastAsia="宋体"/>
          <w:iCs/>
          <w:szCs w:val="21"/>
        </w:rPr>
        <w:t>if there are multiple SCCs on which UE is configured to report SSB based measurements in band.</w:t>
      </w:r>
    </w:p>
    <w:p w14:paraId="622633D9" w14:textId="77777777" w:rsidR="00402D79" w:rsidRPr="00CE7E1C" w:rsidRDefault="00402D79" w:rsidP="00402D79">
      <w:pPr>
        <w:numPr>
          <w:ilvl w:val="2"/>
          <w:numId w:val="3"/>
        </w:numPr>
        <w:suppressAutoHyphens/>
        <w:snapToGrid w:val="0"/>
        <w:spacing w:after="120"/>
        <w:ind w:left="1800"/>
        <w:rPr>
          <w:rFonts w:eastAsia="宋体"/>
          <w:iCs/>
          <w:szCs w:val="21"/>
        </w:rPr>
      </w:pPr>
      <w:r w:rsidRPr="00CE7E1C">
        <w:rPr>
          <w:rFonts w:eastAsia="宋体"/>
          <w:iCs/>
          <w:szCs w:val="21"/>
        </w:rPr>
        <w:t>Network indication of a specific SCC per-band for measurement.</w:t>
      </w:r>
    </w:p>
    <w:p w14:paraId="4767549F" w14:textId="27701800" w:rsidR="00402D79" w:rsidRDefault="00402D79" w:rsidP="00402D79">
      <w:pPr>
        <w:numPr>
          <w:ilvl w:val="3"/>
          <w:numId w:val="3"/>
        </w:numPr>
        <w:suppressAutoHyphens/>
        <w:snapToGrid w:val="0"/>
        <w:spacing w:after="120"/>
        <w:ind w:left="2520"/>
        <w:rPr>
          <w:rFonts w:eastAsia="宋体"/>
          <w:iCs/>
          <w:szCs w:val="21"/>
        </w:rPr>
      </w:pPr>
      <w:r w:rsidRPr="00CE7E1C">
        <w:rPr>
          <w:rFonts w:eastAsia="宋体"/>
          <w:iCs/>
          <w:szCs w:val="21"/>
        </w:rPr>
        <w:t>if network indicates which of the SCC to be measured in a band, UE will perform both serving and neighbour cell measurements on the indicated SCC in a band.</w:t>
      </w:r>
    </w:p>
    <w:p w14:paraId="73CC44AF" w14:textId="77777777" w:rsidR="00DA45D4" w:rsidRPr="00CE7E1C" w:rsidRDefault="00DA45D4" w:rsidP="00DA45D4">
      <w:pPr>
        <w:numPr>
          <w:ilvl w:val="1"/>
          <w:numId w:val="3"/>
        </w:numPr>
        <w:overflowPunct w:val="0"/>
        <w:autoSpaceDE w:val="0"/>
        <w:autoSpaceDN w:val="0"/>
        <w:adjustRightInd w:val="0"/>
        <w:snapToGrid w:val="0"/>
        <w:spacing w:after="120"/>
        <w:ind w:left="1080"/>
        <w:rPr>
          <w:rFonts w:eastAsia="宋体"/>
          <w:iCs/>
          <w:szCs w:val="21"/>
        </w:rPr>
      </w:pPr>
      <w:r w:rsidRPr="00CE7E1C">
        <w:rPr>
          <w:rFonts w:eastAsia="宋体" w:hint="eastAsia"/>
          <w:iCs/>
          <w:szCs w:val="21"/>
        </w:rPr>
        <w:t>O</w:t>
      </w:r>
      <w:r w:rsidRPr="00CE7E1C">
        <w:rPr>
          <w:rFonts w:eastAsia="宋体"/>
          <w:iCs/>
          <w:szCs w:val="21"/>
        </w:rPr>
        <w:t xml:space="preserve">therwise, </w:t>
      </w:r>
      <w:r w:rsidRPr="00CE7E1C">
        <w:rPr>
          <w:iCs/>
          <w:szCs w:val="21"/>
        </w:rPr>
        <w:t xml:space="preserve">UE will perform serving and </w:t>
      </w:r>
      <w:proofErr w:type="spellStart"/>
      <w:r w:rsidRPr="00CE7E1C">
        <w:rPr>
          <w:iCs/>
          <w:szCs w:val="21"/>
        </w:rPr>
        <w:t>neighbor</w:t>
      </w:r>
      <w:proofErr w:type="spellEnd"/>
      <w:r w:rsidRPr="00CE7E1C">
        <w:rPr>
          <w:iCs/>
          <w:szCs w:val="21"/>
        </w:rPr>
        <w:t xml:space="preserve"> cell measurements on one SCC per band, which SCC to measure is up to UE implementation.</w:t>
      </w:r>
    </w:p>
    <w:p w14:paraId="1255773E" w14:textId="77777777" w:rsidR="00DA45D4" w:rsidRPr="00402D79" w:rsidRDefault="00DA45D4" w:rsidP="00DA45D4">
      <w:pPr>
        <w:suppressAutoHyphens/>
        <w:snapToGrid w:val="0"/>
        <w:spacing w:after="120"/>
        <w:rPr>
          <w:rFonts w:eastAsia="宋体"/>
          <w:iCs/>
          <w:szCs w:val="21"/>
        </w:rPr>
      </w:pPr>
    </w:p>
    <w:p w14:paraId="39D41D10" w14:textId="34C69E7F" w:rsidR="001A4AE7" w:rsidRPr="00CE7E1C" w:rsidRDefault="00402D79" w:rsidP="001A4AE7">
      <w:pPr>
        <w:suppressAutoHyphens/>
        <w:snapToGrid w:val="0"/>
        <w:spacing w:after="120"/>
        <w:rPr>
          <w:rFonts w:eastAsia="宋体"/>
          <w:iCs/>
          <w:szCs w:val="21"/>
        </w:rPr>
      </w:pPr>
      <w:r>
        <w:rPr>
          <w:rFonts w:eastAsia="宋体"/>
          <w:iCs/>
          <w:szCs w:val="21"/>
        </w:rPr>
        <w:t xml:space="preserve">We can understand the intention to reduce the measurements on both serving and neighbour cells. But </w:t>
      </w:r>
      <w:r w:rsidR="00DA45D4">
        <w:rPr>
          <w:rFonts w:eastAsia="宋体"/>
          <w:iCs/>
          <w:szCs w:val="21"/>
        </w:rPr>
        <w:t>the discussed case is redundant to us. So we suggest to remove the sub-case and update the agreements as follows:</w:t>
      </w:r>
    </w:p>
    <w:p w14:paraId="05DED64C" w14:textId="77777777" w:rsidR="00DA45D4" w:rsidRPr="00CE7E1C" w:rsidRDefault="00DA45D4" w:rsidP="00DA45D4">
      <w:pPr>
        <w:numPr>
          <w:ilvl w:val="1"/>
          <w:numId w:val="3"/>
        </w:numPr>
        <w:overflowPunct w:val="0"/>
        <w:autoSpaceDE w:val="0"/>
        <w:autoSpaceDN w:val="0"/>
        <w:adjustRightInd w:val="0"/>
        <w:snapToGrid w:val="0"/>
        <w:spacing w:after="120"/>
        <w:ind w:left="1080"/>
        <w:rPr>
          <w:rFonts w:eastAsia="宋体"/>
          <w:iCs/>
          <w:szCs w:val="21"/>
        </w:rPr>
      </w:pPr>
      <w:r w:rsidRPr="00CE7E1C">
        <w:rPr>
          <w:rFonts w:eastAsia="宋体"/>
          <w:iCs/>
          <w:szCs w:val="21"/>
        </w:rPr>
        <w:t>Follow the network indication to measure a SCC, if</w:t>
      </w:r>
    </w:p>
    <w:p w14:paraId="50CFE6FE" w14:textId="77777777" w:rsidR="00DA45D4" w:rsidRPr="00CE7E1C" w:rsidRDefault="00DA45D4" w:rsidP="00DA45D4">
      <w:pPr>
        <w:numPr>
          <w:ilvl w:val="2"/>
          <w:numId w:val="3"/>
        </w:numPr>
        <w:suppressAutoHyphens/>
        <w:snapToGrid w:val="0"/>
        <w:spacing w:after="120"/>
        <w:ind w:left="1800"/>
        <w:rPr>
          <w:rFonts w:eastAsia="宋体"/>
          <w:iCs/>
          <w:szCs w:val="21"/>
        </w:rPr>
      </w:pPr>
      <w:r w:rsidRPr="00CE7E1C">
        <w:rPr>
          <w:rFonts w:eastAsia="宋体"/>
          <w:iCs/>
          <w:szCs w:val="21"/>
        </w:rPr>
        <w:t>neither PCC nor PSCC is in band, and</w:t>
      </w:r>
    </w:p>
    <w:p w14:paraId="52DD7FC1" w14:textId="77777777" w:rsidR="00DA45D4" w:rsidRPr="00DA45D4" w:rsidRDefault="00DA45D4" w:rsidP="00DA45D4">
      <w:pPr>
        <w:numPr>
          <w:ilvl w:val="2"/>
          <w:numId w:val="3"/>
        </w:numPr>
        <w:suppressAutoHyphens/>
        <w:snapToGrid w:val="0"/>
        <w:spacing w:after="120"/>
        <w:ind w:left="1800"/>
        <w:rPr>
          <w:rFonts w:eastAsia="宋体"/>
          <w:iCs/>
          <w:strike/>
          <w:color w:val="FF0000"/>
          <w:szCs w:val="21"/>
        </w:rPr>
      </w:pPr>
      <w:r w:rsidRPr="00DA45D4">
        <w:rPr>
          <w:rFonts w:eastAsia="宋体"/>
          <w:iCs/>
          <w:strike/>
          <w:color w:val="FF0000"/>
          <w:szCs w:val="21"/>
        </w:rPr>
        <w:t>if there is no SCCs on which UE is configured to report SSB based measurements in band, or</w:t>
      </w:r>
    </w:p>
    <w:p w14:paraId="167AF505" w14:textId="77777777" w:rsidR="00DA45D4" w:rsidRDefault="00DA45D4" w:rsidP="00DA45D4">
      <w:pPr>
        <w:numPr>
          <w:ilvl w:val="2"/>
          <w:numId w:val="3"/>
        </w:numPr>
        <w:suppressAutoHyphens/>
        <w:snapToGrid w:val="0"/>
        <w:spacing w:after="120"/>
        <w:ind w:left="1800"/>
        <w:rPr>
          <w:rFonts w:eastAsia="宋体"/>
          <w:iCs/>
          <w:szCs w:val="21"/>
        </w:rPr>
      </w:pPr>
      <w:r w:rsidRPr="00CE7E1C">
        <w:rPr>
          <w:rFonts w:eastAsia="宋体"/>
          <w:iCs/>
          <w:szCs w:val="21"/>
        </w:rPr>
        <w:lastRenderedPageBreak/>
        <w:t>if there are multiple SCCs on which UE is configured to report SSB based measurements in band.</w:t>
      </w:r>
    </w:p>
    <w:p w14:paraId="0616757F" w14:textId="77777777" w:rsidR="00DA45D4" w:rsidRPr="00CE7E1C" w:rsidRDefault="00DA45D4" w:rsidP="00DA45D4">
      <w:pPr>
        <w:numPr>
          <w:ilvl w:val="2"/>
          <w:numId w:val="3"/>
        </w:numPr>
        <w:suppressAutoHyphens/>
        <w:snapToGrid w:val="0"/>
        <w:spacing w:after="120"/>
        <w:ind w:left="1800"/>
        <w:rPr>
          <w:rFonts w:eastAsia="宋体"/>
          <w:iCs/>
          <w:szCs w:val="21"/>
        </w:rPr>
      </w:pPr>
      <w:r w:rsidRPr="00CE7E1C">
        <w:rPr>
          <w:rFonts w:eastAsia="宋体"/>
          <w:iCs/>
          <w:szCs w:val="21"/>
        </w:rPr>
        <w:t>Network indication of a specific SCC per-band for measurement.</w:t>
      </w:r>
    </w:p>
    <w:p w14:paraId="26A630DA" w14:textId="77777777" w:rsidR="00DA45D4" w:rsidRPr="00402D79" w:rsidRDefault="00DA45D4" w:rsidP="00DA45D4">
      <w:pPr>
        <w:numPr>
          <w:ilvl w:val="3"/>
          <w:numId w:val="3"/>
        </w:numPr>
        <w:suppressAutoHyphens/>
        <w:snapToGrid w:val="0"/>
        <w:spacing w:after="120"/>
        <w:ind w:left="2520"/>
        <w:rPr>
          <w:rFonts w:eastAsia="宋体"/>
          <w:iCs/>
          <w:szCs w:val="21"/>
        </w:rPr>
      </w:pPr>
      <w:r w:rsidRPr="00CE7E1C">
        <w:rPr>
          <w:rFonts w:eastAsia="宋体"/>
          <w:iCs/>
          <w:szCs w:val="21"/>
        </w:rPr>
        <w:t>if network indicates which of the SCC to be measured in a band, UE will perform both serving and neighbour cell measurements on the indicated SCC in a band.</w:t>
      </w:r>
    </w:p>
    <w:p w14:paraId="5B90C8E9" w14:textId="77777777" w:rsidR="00DA45D4" w:rsidRPr="00CE7E1C" w:rsidRDefault="00DA45D4" w:rsidP="00DA45D4">
      <w:pPr>
        <w:numPr>
          <w:ilvl w:val="1"/>
          <w:numId w:val="3"/>
        </w:numPr>
        <w:overflowPunct w:val="0"/>
        <w:autoSpaceDE w:val="0"/>
        <w:autoSpaceDN w:val="0"/>
        <w:adjustRightInd w:val="0"/>
        <w:snapToGrid w:val="0"/>
        <w:spacing w:after="120"/>
        <w:ind w:left="1080"/>
        <w:rPr>
          <w:rFonts w:eastAsia="宋体"/>
          <w:iCs/>
          <w:szCs w:val="21"/>
        </w:rPr>
      </w:pPr>
      <w:r w:rsidRPr="00CE7E1C">
        <w:rPr>
          <w:rFonts w:eastAsia="宋体" w:hint="eastAsia"/>
          <w:iCs/>
          <w:szCs w:val="21"/>
        </w:rPr>
        <w:t>O</w:t>
      </w:r>
      <w:r w:rsidRPr="00CE7E1C">
        <w:rPr>
          <w:rFonts w:eastAsia="宋体"/>
          <w:iCs/>
          <w:szCs w:val="21"/>
        </w:rPr>
        <w:t xml:space="preserve">therwise, </w:t>
      </w:r>
      <w:r w:rsidRPr="00CE7E1C">
        <w:rPr>
          <w:iCs/>
          <w:szCs w:val="21"/>
        </w:rPr>
        <w:t xml:space="preserve">UE will perform serving and </w:t>
      </w:r>
      <w:proofErr w:type="spellStart"/>
      <w:r w:rsidRPr="00CE7E1C">
        <w:rPr>
          <w:iCs/>
          <w:szCs w:val="21"/>
        </w:rPr>
        <w:t>neighbor</w:t>
      </w:r>
      <w:proofErr w:type="spellEnd"/>
      <w:r w:rsidRPr="00CE7E1C">
        <w:rPr>
          <w:iCs/>
          <w:szCs w:val="21"/>
        </w:rPr>
        <w:t xml:space="preserve"> cell measurements on one SCC per band, which SCC to measure is up to UE implementation.</w:t>
      </w:r>
    </w:p>
    <w:p w14:paraId="06A48120" w14:textId="77777777" w:rsidR="005249FF" w:rsidRPr="00DA45D4" w:rsidRDefault="005249FF" w:rsidP="005249FF">
      <w:pPr>
        <w:pStyle w:val="Default"/>
        <w:jc w:val="both"/>
        <w:rPr>
          <w:sz w:val="21"/>
          <w:szCs w:val="21"/>
          <w:lang w:val="en-GB"/>
        </w:rPr>
      </w:pPr>
    </w:p>
    <w:p w14:paraId="521E090D" w14:textId="150197B0" w:rsidR="00DA45D4" w:rsidRPr="00DA45D4" w:rsidRDefault="00DA45D4" w:rsidP="004811F8">
      <w:pPr>
        <w:pStyle w:val="Default"/>
        <w:jc w:val="both"/>
        <w:rPr>
          <w:b/>
          <w:bCs/>
          <w:sz w:val="20"/>
          <w:szCs w:val="20"/>
        </w:rPr>
      </w:pPr>
      <w:r w:rsidRPr="00DA45D4">
        <w:rPr>
          <w:rFonts w:hint="eastAsia"/>
          <w:b/>
          <w:bCs/>
          <w:sz w:val="20"/>
          <w:szCs w:val="20"/>
        </w:rPr>
        <w:t>O</w:t>
      </w:r>
      <w:r w:rsidRPr="00DA45D4">
        <w:rPr>
          <w:b/>
          <w:bCs/>
          <w:sz w:val="20"/>
          <w:szCs w:val="20"/>
        </w:rPr>
        <w:t>bservation 1: The MO (e.g., either for serving cell or neighbor cell)</w:t>
      </w:r>
      <w:r w:rsidR="008D49C5">
        <w:rPr>
          <w:b/>
          <w:bCs/>
          <w:sz w:val="20"/>
          <w:szCs w:val="20"/>
        </w:rPr>
        <w:t xml:space="preserve"> </w:t>
      </w:r>
      <w:r w:rsidRPr="00DA45D4">
        <w:rPr>
          <w:b/>
          <w:bCs/>
          <w:sz w:val="20"/>
          <w:szCs w:val="20"/>
        </w:rPr>
        <w:t xml:space="preserve">is assumed to configured with report configuration </w:t>
      </w:r>
      <w:r w:rsidR="008D49C5">
        <w:rPr>
          <w:b/>
          <w:bCs/>
          <w:sz w:val="20"/>
          <w:szCs w:val="20"/>
        </w:rPr>
        <w:t>based on RAN2’s spec</w:t>
      </w:r>
      <w:r w:rsidRPr="00DA45D4">
        <w:rPr>
          <w:b/>
          <w:bCs/>
          <w:sz w:val="20"/>
          <w:szCs w:val="20"/>
        </w:rPr>
        <w:t>.</w:t>
      </w:r>
    </w:p>
    <w:p w14:paraId="7D94A389" w14:textId="77777777" w:rsidR="00DA45D4" w:rsidRDefault="00DA45D4" w:rsidP="004811F8">
      <w:pPr>
        <w:pStyle w:val="Default"/>
        <w:jc w:val="both"/>
        <w:rPr>
          <w:sz w:val="20"/>
          <w:szCs w:val="20"/>
        </w:rPr>
      </w:pPr>
    </w:p>
    <w:p w14:paraId="27A1ACC6" w14:textId="6FE37D91" w:rsidR="00DA45D4" w:rsidRPr="00CE7E1C" w:rsidRDefault="00DA45D4" w:rsidP="00DA45D4">
      <w:pPr>
        <w:pStyle w:val="Default"/>
        <w:jc w:val="both"/>
        <w:rPr>
          <w:rFonts w:eastAsia="宋体"/>
          <w:iCs/>
          <w:szCs w:val="21"/>
          <w:lang w:val="en-GB" w:eastAsia="en-US"/>
        </w:rPr>
      </w:pPr>
      <w:r w:rsidRPr="00DA45D4">
        <w:rPr>
          <w:rFonts w:hint="eastAsia"/>
          <w:b/>
          <w:bCs/>
          <w:sz w:val="20"/>
          <w:szCs w:val="20"/>
        </w:rPr>
        <w:t>P</w:t>
      </w:r>
      <w:r w:rsidRPr="00DA45D4">
        <w:rPr>
          <w:b/>
          <w:bCs/>
          <w:sz w:val="20"/>
          <w:szCs w:val="20"/>
        </w:rPr>
        <w:t>roposal 1:</w:t>
      </w:r>
      <w:r>
        <w:rPr>
          <w:b/>
          <w:bCs/>
          <w:sz w:val="20"/>
          <w:szCs w:val="20"/>
        </w:rPr>
        <w:t xml:space="preserve"> For solution 1, r</w:t>
      </w:r>
      <w:r w:rsidRPr="00DA45D4">
        <w:rPr>
          <w:b/>
          <w:bCs/>
          <w:sz w:val="20"/>
          <w:szCs w:val="20"/>
        </w:rPr>
        <w:t>emove the sub-case and update the agreements as follows:</w:t>
      </w:r>
    </w:p>
    <w:p w14:paraId="006DE96C" w14:textId="77777777" w:rsidR="00DA45D4" w:rsidRPr="00DA45D4" w:rsidRDefault="00DA45D4" w:rsidP="00DA45D4">
      <w:pPr>
        <w:numPr>
          <w:ilvl w:val="1"/>
          <w:numId w:val="3"/>
        </w:numPr>
        <w:overflowPunct w:val="0"/>
        <w:autoSpaceDE w:val="0"/>
        <w:autoSpaceDN w:val="0"/>
        <w:adjustRightInd w:val="0"/>
        <w:snapToGrid w:val="0"/>
        <w:spacing w:after="120"/>
        <w:ind w:left="1080"/>
        <w:rPr>
          <w:rFonts w:eastAsia="宋体"/>
          <w:b/>
          <w:bCs/>
          <w:iCs/>
          <w:szCs w:val="21"/>
        </w:rPr>
      </w:pPr>
      <w:r w:rsidRPr="00DA45D4">
        <w:rPr>
          <w:rFonts w:eastAsia="宋体"/>
          <w:b/>
          <w:bCs/>
          <w:iCs/>
          <w:szCs w:val="21"/>
        </w:rPr>
        <w:t>Follow the network indication to measure a SCC, if</w:t>
      </w:r>
    </w:p>
    <w:p w14:paraId="13A07E46" w14:textId="77777777" w:rsidR="00DA45D4" w:rsidRPr="00DA45D4" w:rsidRDefault="00DA45D4" w:rsidP="00DA45D4">
      <w:pPr>
        <w:numPr>
          <w:ilvl w:val="2"/>
          <w:numId w:val="3"/>
        </w:numPr>
        <w:suppressAutoHyphens/>
        <w:snapToGrid w:val="0"/>
        <w:spacing w:after="120"/>
        <w:ind w:left="1800"/>
        <w:rPr>
          <w:rFonts w:eastAsia="宋体"/>
          <w:b/>
          <w:bCs/>
          <w:iCs/>
          <w:szCs w:val="21"/>
        </w:rPr>
      </w:pPr>
      <w:r w:rsidRPr="00DA45D4">
        <w:rPr>
          <w:rFonts w:eastAsia="宋体"/>
          <w:b/>
          <w:bCs/>
          <w:iCs/>
          <w:szCs w:val="21"/>
        </w:rPr>
        <w:t>neither PCC nor PSCC is in band, and</w:t>
      </w:r>
    </w:p>
    <w:p w14:paraId="0F18F317" w14:textId="77777777" w:rsidR="00DA45D4" w:rsidRPr="00DA45D4" w:rsidRDefault="00DA45D4" w:rsidP="00DA45D4">
      <w:pPr>
        <w:numPr>
          <w:ilvl w:val="2"/>
          <w:numId w:val="3"/>
        </w:numPr>
        <w:suppressAutoHyphens/>
        <w:snapToGrid w:val="0"/>
        <w:spacing w:after="120"/>
        <w:ind w:left="1800"/>
        <w:rPr>
          <w:rFonts w:eastAsia="宋体"/>
          <w:b/>
          <w:bCs/>
          <w:iCs/>
          <w:strike/>
          <w:color w:val="FF0000"/>
          <w:szCs w:val="21"/>
        </w:rPr>
      </w:pPr>
      <w:r w:rsidRPr="00DA45D4">
        <w:rPr>
          <w:rFonts w:eastAsia="宋体"/>
          <w:b/>
          <w:bCs/>
          <w:iCs/>
          <w:strike/>
          <w:color w:val="FF0000"/>
          <w:szCs w:val="21"/>
        </w:rPr>
        <w:t>if there is no SCCs on which UE is configured to report SSB based measurements in band, or</w:t>
      </w:r>
    </w:p>
    <w:p w14:paraId="4B32660D" w14:textId="77777777" w:rsidR="00DA45D4" w:rsidRPr="00DA45D4" w:rsidRDefault="00DA45D4" w:rsidP="00DA45D4">
      <w:pPr>
        <w:numPr>
          <w:ilvl w:val="2"/>
          <w:numId w:val="3"/>
        </w:numPr>
        <w:suppressAutoHyphens/>
        <w:snapToGrid w:val="0"/>
        <w:spacing w:after="120"/>
        <w:ind w:left="1800"/>
        <w:rPr>
          <w:rFonts w:eastAsia="宋体"/>
          <w:b/>
          <w:bCs/>
          <w:iCs/>
          <w:szCs w:val="21"/>
        </w:rPr>
      </w:pPr>
      <w:r w:rsidRPr="00DA45D4">
        <w:rPr>
          <w:rFonts w:eastAsia="宋体"/>
          <w:b/>
          <w:bCs/>
          <w:iCs/>
          <w:szCs w:val="21"/>
        </w:rPr>
        <w:t>if there are multiple SCCs on which UE is configured to report SSB based measurements in band.</w:t>
      </w:r>
    </w:p>
    <w:p w14:paraId="6781D4C1" w14:textId="77777777" w:rsidR="00DA45D4" w:rsidRPr="00DA45D4" w:rsidRDefault="00DA45D4" w:rsidP="00DA45D4">
      <w:pPr>
        <w:numPr>
          <w:ilvl w:val="2"/>
          <w:numId w:val="3"/>
        </w:numPr>
        <w:suppressAutoHyphens/>
        <w:snapToGrid w:val="0"/>
        <w:spacing w:after="120"/>
        <w:ind w:left="1800"/>
        <w:rPr>
          <w:rFonts w:eastAsia="宋体"/>
          <w:b/>
          <w:bCs/>
          <w:iCs/>
          <w:szCs w:val="21"/>
        </w:rPr>
      </w:pPr>
      <w:r w:rsidRPr="00DA45D4">
        <w:rPr>
          <w:rFonts w:eastAsia="宋体"/>
          <w:b/>
          <w:bCs/>
          <w:iCs/>
          <w:szCs w:val="21"/>
        </w:rPr>
        <w:t>Network indication of a specific SCC per-band for measurement.</w:t>
      </w:r>
    </w:p>
    <w:p w14:paraId="7ACBD1F7" w14:textId="77777777" w:rsidR="00DA45D4" w:rsidRPr="00DA45D4" w:rsidRDefault="00DA45D4" w:rsidP="00DA45D4">
      <w:pPr>
        <w:numPr>
          <w:ilvl w:val="3"/>
          <w:numId w:val="3"/>
        </w:numPr>
        <w:suppressAutoHyphens/>
        <w:snapToGrid w:val="0"/>
        <w:spacing w:after="120"/>
        <w:ind w:left="2520"/>
        <w:rPr>
          <w:rFonts w:eastAsia="宋体"/>
          <w:b/>
          <w:bCs/>
          <w:iCs/>
          <w:szCs w:val="21"/>
        </w:rPr>
      </w:pPr>
      <w:r w:rsidRPr="00DA45D4">
        <w:rPr>
          <w:rFonts w:eastAsia="宋体"/>
          <w:b/>
          <w:bCs/>
          <w:iCs/>
          <w:szCs w:val="21"/>
        </w:rPr>
        <w:t>if network indicates which of the SCC to be measured in a band, UE will perform both serving and neighbour cell measurements on the indicated SCC in a band.</w:t>
      </w:r>
    </w:p>
    <w:p w14:paraId="7842F979" w14:textId="77777777" w:rsidR="00DA45D4" w:rsidRPr="00DA45D4" w:rsidRDefault="00DA45D4" w:rsidP="00DA45D4">
      <w:pPr>
        <w:numPr>
          <w:ilvl w:val="1"/>
          <w:numId w:val="3"/>
        </w:numPr>
        <w:overflowPunct w:val="0"/>
        <w:autoSpaceDE w:val="0"/>
        <w:autoSpaceDN w:val="0"/>
        <w:adjustRightInd w:val="0"/>
        <w:snapToGrid w:val="0"/>
        <w:spacing w:after="120"/>
        <w:ind w:left="1080"/>
        <w:rPr>
          <w:rFonts w:eastAsia="宋体"/>
          <w:b/>
          <w:bCs/>
          <w:iCs/>
          <w:szCs w:val="21"/>
        </w:rPr>
      </w:pPr>
      <w:r w:rsidRPr="00DA45D4">
        <w:rPr>
          <w:rFonts w:eastAsia="宋体" w:hint="eastAsia"/>
          <w:b/>
          <w:bCs/>
          <w:iCs/>
          <w:szCs w:val="21"/>
        </w:rPr>
        <w:t>O</w:t>
      </w:r>
      <w:r w:rsidRPr="00DA45D4">
        <w:rPr>
          <w:rFonts w:eastAsia="宋体"/>
          <w:b/>
          <w:bCs/>
          <w:iCs/>
          <w:szCs w:val="21"/>
        </w:rPr>
        <w:t xml:space="preserve">therwise, </w:t>
      </w:r>
      <w:r w:rsidRPr="00DA45D4">
        <w:rPr>
          <w:b/>
          <w:bCs/>
          <w:iCs/>
          <w:szCs w:val="21"/>
        </w:rPr>
        <w:t xml:space="preserve">UE will perform serving and </w:t>
      </w:r>
      <w:proofErr w:type="spellStart"/>
      <w:r w:rsidRPr="00DA45D4">
        <w:rPr>
          <w:b/>
          <w:bCs/>
          <w:iCs/>
          <w:szCs w:val="21"/>
        </w:rPr>
        <w:t>neighbor</w:t>
      </w:r>
      <w:proofErr w:type="spellEnd"/>
      <w:r w:rsidRPr="00DA45D4">
        <w:rPr>
          <w:b/>
          <w:bCs/>
          <w:iCs/>
          <w:szCs w:val="21"/>
        </w:rPr>
        <w:t xml:space="preserve"> cell measurements on one SCC per band, which SCC to measure is up to UE implementation.</w:t>
      </w:r>
    </w:p>
    <w:p w14:paraId="4B0C1B49" w14:textId="77777777" w:rsidR="00C96550" w:rsidRPr="00DA45D4" w:rsidRDefault="00C96550" w:rsidP="004811F8">
      <w:pPr>
        <w:pStyle w:val="Default"/>
        <w:jc w:val="both"/>
        <w:rPr>
          <w:sz w:val="20"/>
          <w:szCs w:val="20"/>
          <w:lang w:val="en-GB"/>
        </w:rPr>
      </w:pPr>
    </w:p>
    <w:p w14:paraId="6F7C4D26" w14:textId="0EA8A2FE" w:rsidR="008D49C5" w:rsidRDefault="00DA45D4" w:rsidP="004811F8">
      <w:pPr>
        <w:pStyle w:val="Default"/>
        <w:jc w:val="both"/>
        <w:rPr>
          <w:sz w:val="20"/>
          <w:szCs w:val="20"/>
        </w:rPr>
      </w:pPr>
      <w:r>
        <w:rPr>
          <w:sz w:val="20"/>
          <w:szCs w:val="20"/>
        </w:rPr>
        <w:t xml:space="preserve">If RAN2 sent to LS reply and pointed out the issue of redundant configuration, </w:t>
      </w:r>
      <w:r w:rsidR="00D0120D">
        <w:rPr>
          <w:sz w:val="20"/>
          <w:szCs w:val="20"/>
        </w:rPr>
        <w:t xml:space="preserve">we </w:t>
      </w:r>
      <w:r w:rsidR="009B59C5">
        <w:rPr>
          <w:sz w:val="20"/>
          <w:szCs w:val="20"/>
        </w:rPr>
        <w:t>are not sure whether RAN4 needs to open the discussion again</w:t>
      </w:r>
      <w:r w:rsidR="00D0120D">
        <w:rPr>
          <w:sz w:val="20"/>
          <w:szCs w:val="20"/>
        </w:rPr>
        <w:t xml:space="preserve">. </w:t>
      </w:r>
      <w:r w:rsidR="008D49C5">
        <w:rPr>
          <w:sz w:val="20"/>
          <w:szCs w:val="20"/>
        </w:rPr>
        <w:t>For the potential revision of RAN4 agreements or negative reply, RAN4 can take them into account.</w:t>
      </w:r>
    </w:p>
    <w:p w14:paraId="531D9870" w14:textId="7ECFD9E5" w:rsidR="00A01AA4" w:rsidRDefault="009B59C5" w:rsidP="004811F8">
      <w:pPr>
        <w:pStyle w:val="Default"/>
        <w:jc w:val="both"/>
        <w:rPr>
          <w:sz w:val="20"/>
          <w:szCs w:val="20"/>
        </w:rPr>
      </w:pPr>
      <w:r>
        <w:rPr>
          <w:sz w:val="20"/>
          <w:szCs w:val="20"/>
        </w:rPr>
        <w:t xml:space="preserve">We think the SCC decided by UE can be more accurate than that indicated by the network, and such carrier can represent the quality of carriers in the same band. From UE side, </w:t>
      </w:r>
      <w:r w:rsidR="00D0120D">
        <w:rPr>
          <w:sz w:val="20"/>
          <w:szCs w:val="20"/>
        </w:rPr>
        <w:t>UE can select one suitable SCC based on both network configuration and</w:t>
      </w:r>
      <w:r w:rsidR="004366BA">
        <w:rPr>
          <w:sz w:val="20"/>
          <w:szCs w:val="20"/>
        </w:rPr>
        <w:t xml:space="preserve"> real-time channel conditions, which leave some flexibility to UE implementation.</w:t>
      </w:r>
      <w:r w:rsidR="00316A9F">
        <w:rPr>
          <w:sz w:val="20"/>
          <w:szCs w:val="20"/>
        </w:rPr>
        <w:t xml:space="preserve"> </w:t>
      </w:r>
    </w:p>
    <w:p w14:paraId="2293BEA6" w14:textId="24EE0ABD" w:rsidR="00D0120D" w:rsidRDefault="003E4CC3" w:rsidP="004811F8">
      <w:pPr>
        <w:pStyle w:val="Default"/>
        <w:jc w:val="both"/>
        <w:rPr>
          <w:sz w:val="20"/>
          <w:szCs w:val="20"/>
        </w:rPr>
      </w:pPr>
      <w:r>
        <w:rPr>
          <w:sz w:val="20"/>
          <w:szCs w:val="20"/>
        </w:rPr>
        <w:t>Furthermore, even without the new</w:t>
      </w:r>
      <w:r w:rsidR="00A01AA4">
        <w:rPr>
          <w:sz w:val="20"/>
          <w:szCs w:val="20"/>
        </w:rPr>
        <w:t xml:space="preserve"> signaling </w:t>
      </w:r>
      <w:r>
        <w:rPr>
          <w:sz w:val="20"/>
          <w:szCs w:val="20"/>
        </w:rPr>
        <w:t xml:space="preserve">indication, we think the requirements under the solution 1 of the selected SCC are not broken. At this stage, RAN4 may focus on the CSSF itself and related RAN4’s requirements, e.g., mainly the tables of CSSF outside gap in clause 9.1.5 of TS 38.133. </w:t>
      </w:r>
    </w:p>
    <w:p w14:paraId="5B1EBD44" w14:textId="77777777" w:rsidR="00ED72C3" w:rsidRDefault="00ED72C3" w:rsidP="004811F8">
      <w:pPr>
        <w:pStyle w:val="Default"/>
        <w:jc w:val="both"/>
        <w:rPr>
          <w:sz w:val="20"/>
          <w:szCs w:val="20"/>
        </w:rPr>
      </w:pPr>
    </w:p>
    <w:p w14:paraId="67930924" w14:textId="68166DAA" w:rsidR="008D49C5" w:rsidRDefault="008D49C5" w:rsidP="004811F8">
      <w:pPr>
        <w:pStyle w:val="Default"/>
        <w:jc w:val="both"/>
        <w:rPr>
          <w:b/>
          <w:sz w:val="20"/>
          <w:szCs w:val="20"/>
        </w:rPr>
      </w:pPr>
      <w:r>
        <w:rPr>
          <w:rFonts w:hint="eastAsia"/>
          <w:b/>
          <w:sz w:val="20"/>
          <w:szCs w:val="20"/>
        </w:rPr>
        <w:t>O</w:t>
      </w:r>
      <w:r>
        <w:rPr>
          <w:b/>
          <w:sz w:val="20"/>
          <w:szCs w:val="20"/>
        </w:rPr>
        <w:t xml:space="preserve">bservation 2: </w:t>
      </w:r>
      <w:r w:rsidRPr="008D49C5">
        <w:rPr>
          <w:b/>
          <w:sz w:val="20"/>
          <w:szCs w:val="20"/>
        </w:rPr>
        <w:t xml:space="preserve">Even without the new signaling indication of a specific SCC per-band for measurement, </w:t>
      </w:r>
      <w:r>
        <w:rPr>
          <w:b/>
          <w:sz w:val="20"/>
          <w:szCs w:val="20"/>
        </w:rPr>
        <w:t xml:space="preserve">RAN4’s RRM </w:t>
      </w:r>
      <w:r w:rsidRPr="008D49C5">
        <w:rPr>
          <w:b/>
          <w:sz w:val="20"/>
          <w:szCs w:val="20"/>
        </w:rPr>
        <w:t>requirements under the solution 1 are not broken.</w:t>
      </w:r>
    </w:p>
    <w:p w14:paraId="1905B2E2" w14:textId="5115D895" w:rsidR="007E40C2" w:rsidRPr="005F35AC" w:rsidRDefault="00D0120D" w:rsidP="004811F8">
      <w:pPr>
        <w:pStyle w:val="Default"/>
        <w:jc w:val="both"/>
        <w:rPr>
          <w:b/>
          <w:sz w:val="20"/>
          <w:szCs w:val="20"/>
        </w:rPr>
      </w:pPr>
      <w:r w:rsidRPr="004366BA">
        <w:rPr>
          <w:b/>
          <w:sz w:val="20"/>
          <w:szCs w:val="20"/>
        </w:rPr>
        <w:t xml:space="preserve">Proposal 2: </w:t>
      </w:r>
      <w:r w:rsidR="009B59C5">
        <w:rPr>
          <w:b/>
          <w:sz w:val="20"/>
          <w:szCs w:val="20"/>
        </w:rPr>
        <w:t>RAN4</w:t>
      </w:r>
      <w:r w:rsidR="003E4CC3">
        <w:rPr>
          <w:b/>
          <w:sz w:val="20"/>
          <w:szCs w:val="20"/>
        </w:rPr>
        <w:t xml:space="preserve"> to discuss the potential revision</w:t>
      </w:r>
      <w:r w:rsidR="00ED72C3">
        <w:rPr>
          <w:b/>
          <w:sz w:val="20"/>
          <w:szCs w:val="20"/>
        </w:rPr>
        <w:t xml:space="preserve"> on network indication requests of solution 1</w:t>
      </w:r>
      <w:r w:rsidR="003E4CC3">
        <w:rPr>
          <w:b/>
          <w:sz w:val="20"/>
          <w:szCs w:val="20"/>
        </w:rPr>
        <w:t>, and</w:t>
      </w:r>
      <w:r w:rsidR="008D49C5">
        <w:rPr>
          <w:b/>
          <w:sz w:val="20"/>
          <w:szCs w:val="20"/>
        </w:rPr>
        <w:t xml:space="preserve"> if agreed,</w:t>
      </w:r>
      <w:r w:rsidR="003E4CC3">
        <w:rPr>
          <w:b/>
          <w:sz w:val="20"/>
          <w:szCs w:val="20"/>
        </w:rPr>
        <w:t xml:space="preserve"> </w:t>
      </w:r>
      <w:r w:rsidR="008D49C5">
        <w:rPr>
          <w:b/>
          <w:sz w:val="20"/>
          <w:szCs w:val="20"/>
        </w:rPr>
        <w:t>send LS to</w:t>
      </w:r>
      <w:r w:rsidR="009B59C5">
        <w:rPr>
          <w:b/>
          <w:sz w:val="20"/>
          <w:szCs w:val="20"/>
        </w:rPr>
        <w:t xml:space="preserve"> RAN2</w:t>
      </w:r>
      <w:r w:rsidR="008D49C5">
        <w:rPr>
          <w:b/>
          <w:sz w:val="20"/>
          <w:szCs w:val="20"/>
        </w:rPr>
        <w:t xml:space="preserve"> for update</w:t>
      </w:r>
      <w:r w:rsidR="00A01AA4">
        <w:rPr>
          <w:b/>
          <w:sz w:val="20"/>
          <w:szCs w:val="20"/>
        </w:rPr>
        <w:t>.</w:t>
      </w:r>
      <w:r w:rsidR="009B59C5">
        <w:rPr>
          <w:b/>
          <w:sz w:val="20"/>
          <w:szCs w:val="20"/>
        </w:rPr>
        <w:t xml:space="preserve"> </w:t>
      </w:r>
    </w:p>
    <w:p w14:paraId="0AAC5402" w14:textId="77777777" w:rsidR="004366BA" w:rsidRPr="004811F8" w:rsidRDefault="004366BA" w:rsidP="004811F8">
      <w:pPr>
        <w:pStyle w:val="Default"/>
        <w:jc w:val="both"/>
        <w:rPr>
          <w:sz w:val="20"/>
          <w:szCs w:val="20"/>
        </w:rPr>
      </w:pPr>
    </w:p>
    <w:p w14:paraId="303BC0D2" w14:textId="77777777" w:rsidR="00FC7BA2" w:rsidRDefault="00FC7BA2" w:rsidP="00BE6586">
      <w:pPr>
        <w:pStyle w:val="1"/>
        <w:jc w:val="both"/>
        <w:rPr>
          <w:lang w:val="en-US"/>
        </w:rPr>
      </w:pPr>
      <w:r>
        <w:rPr>
          <w:lang w:val="en-US"/>
        </w:rPr>
        <w:lastRenderedPageBreak/>
        <w:t>Conclusions</w:t>
      </w:r>
    </w:p>
    <w:p w14:paraId="7F610084" w14:textId="77777777" w:rsidR="00FC7BA2" w:rsidRDefault="00FC7BA2" w:rsidP="00BE6586">
      <w:pPr>
        <w:adjustRightInd w:val="0"/>
        <w:snapToGrid w:val="0"/>
        <w:jc w:val="both"/>
        <w:rPr>
          <w:rFonts w:eastAsia="宋体"/>
          <w:lang w:eastAsia="zh-CN"/>
        </w:rPr>
      </w:pPr>
      <w:r w:rsidRPr="00BF5C15">
        <w:rPr>
          <w:rFonts w:eastAsia="宋体"/>
          <w:lang w:eastAsia="zh-CN"/>
        </w:rPr>
        <w:t>In this paper we provided our</w:t>
      </w:r>
      <w:r w:rsidR="004A00D4">
        <w:rPr>
          <w:rFonts w:eastAsia="宋体"/>
          <w:lang w:eastAsia="zh-CN"/>
        </w:rPr>
        <w:t xml:space="preserve"> views</w:t>
      </w:r>
      <w:r w:rsidRPr="00BF5C15">
        <w:rPr>
          <w:rFonts w:eastAsia="宋体"/>
          <w:lang w:eastAsia="zh-CN"/>
        </w:rPr>
        <w:t xml:space="preserve"> on</w:t>
      </w:r>
      <w:r w:rsidR="00B416EA">
        <w:rPr>
          <w:rFonts w:eastAsia="宋体"/>
          <w:lang w:eastAsia="zh-CN"/>
        </w:rPr>
        <w:t xml:space="preserve"> CSSF optimization</w:t>
      </w:r>
      <w:r w:rsidRPr="00BF5C15">
        <w:rPr>
          <w:rFonts w:eastAsia="宋体"/>
          <w:lang w:eastAsia="zh-CN"/>
        </w:rPr>
        <w:t>.</w:t>
      </w:r>
    </w:p>
    <w:p w14:paraId="2A0460A3" w14:textId="3B1A9D79" w:rsidR="003E4CC3" w:rsidRPr="00DA45D4" w:rsidRDefault="003E4CC3" w:rsidP="003E4CC3">
      <w:pPr>
        <w:pStyle w:val="Default"/>
        <w:jc w:val="both"/>
        <w:rPr>
          <w:b/>
          <w:bCs/>
          <w:sz w:val="20"/>
          <w:szCs w:val="20"/>
        </w:rPr>
      </w:pPr>
      <w:r w:rsidRPr="00DA45D4">
        <w:rPr>
          <w:rFonts w:hint="eastAsia"/>
          <w:b/>
          <w:bCs/>
          <w:sz w:val="20"/>
          <w:szCs w:val="20"/>
        </w:rPr>
        <w:t>O</w:t>
      </w:r>
      <w:r w:rsidRPr="00DA45D4">
        <w:rPr>
          <w:b/>
          <w:bCs/>
          <w:sz w:val="20"/>
          <w:szCs w:val="20"/>
        </w:rPr>
        <w:t>bservation 1: The MO (e.g., either for serving cell or neighbor cell)</w:t>
      </w:r>
      <w:r w:rsidR="008D49C5">
        <w:rPr>
          <w:b/>
          <w:bCs/>
          <w:sz w:val="20"/>
          <w:szCs w:val="20"/>
        </w:rPr>
        <w:t xml:space="preserve"> </w:t>
      </w:r>
      <w:r w:rsidRPr="00DA45D4">
        <w:rPr>
          <w:b/>
          <w:bCs/>
          <w:sz w:val="20"/>
          <w:szCs w:val="20"/>
        </w:rPr>
        <w:t xml:space="preserve">is assumed to configured with report configuration </w:t>
      </w:r>
      <w:r w:rsidR="008D49C5">
        <w:rPr>
          <w:b/>
          <w:bCs/>
          <w:sz w:val="20"/>
          <w:szCs w:val="20"/>
        </w:rPr>
        <w:t>based on</w:t>
      </w:r>
      <w:r w:rsidRPr="00DA45D4">
        <w:rPr>
          <w:b/>
          <w:bCs/>
          <w:sz w:val="20"/>
          <w:szCs w:val="20"/>
        </w:rPr>
        <w:t xml:space="preserve"> RAN2’s</w:t>
      </w:r>
      <w:r w:rsidR="008D49C5">
        <w:rPr>
          <w:b/>
          <w:bCs/>
          <w:sz w:val="20"/>
          <w:szCs w:val="20"/>
        </w:rPr>
        <w:t xml:space="preserve"> spec.</w:t>
      </w:r>
    </w:p>
    <w:p w14:paraId="04FC16F3" w14:textId="77777777" w:rsidR="003E4CC3" w:rsidRDefault="003E4CC3" w:rsidP="003E4CC3">
      <w:pPr>
        <w:pStyle w:val="Default"/>
        <w:jc w:val="both"/>
        <w:rPr>
          <w:sz w:val="20"/>
          <w:szCs w:val="20"/>
        </w:rPr>
      </w:pPr>
    </w:p>
    <w:p w14:paraId="56091190" w14:textId="77777777" w:rsidR="003E4CC3" w:rsidRPr="00CE7E1C" w:rsidRDefault="003E4CC3" w:rsidP="003E4CC3">
      <w:pPr>
        <w:pStyle w:val="Default"/>
        <w:jc w:val="both"/>
        <w:rPr>
          <w:rFonts w:eastAsia="宋体"/>
          <w:iCs/>
          <w:szCs w:val="21"/>
          <w:lang w:val="en-GB" w:eastAsia="en-US"/>
        </w:rPr>
      </w:pPr>
      <w:r w:rsidRPr="00DA45D4">
        <w:rPr>
          <w:rFonts w:hint="eastAsia"/>
          <w:b/>
          <w:bCs/>
          <w:sz w:val="20"/>
          <w:szCs w:val="20"/>
        </w:rPr>
        <w:t>P</w:t>
      </w:r>
      <w:r w:rsidRPr="00DA45D4">
        <w:rPr>
          <w:b/>
          <w:bCs/>
          <w:sz w:val="20"/>
          <w:szCs w:val="20"/>
        </w:rPr>
        <w:t>roposal 1:</w:t>
      </w:r>
      <w:r>
        <w:rPr>
          <w:b/>
          <w:bCs/>
          <w:sz w:val="20"/>
          <w:szCs w:val="20"/>
        </w:rPr>
        <w:t xml:space="preserve"> For solution 1, r</w:t>
      </w:r>
      <w:r w:rsidRPr="00DA45D4">
        <w:rPr>
          <w:b/>
          <w:bCs/>
          <w:sz w:val="20"/>
          <w:szCs w:val="20"/>
        </w:rPr>
        <w:t>emove the sub-case and update the agreements as follows:</w:t>
      </w:r>
    </w:p>
    <w:p w14:paraId="34F39E60" w14:textId="77777777" w:rsidR="003E4CC3" w:rsidRPr="00DA45D4" w:rsidRDefault="003E4CC3" w:rsidP="003E4CC3">
      <w:pPr>
        <w:numPr>
          <w:ilvl w:val="1"/>
          <w:numId w:val="3"/>
        </w:numPr>
        <w:overflowPunct w:val="0"/>
        <w:autoSpaceDE w:val="0"/>
        <w:autoSpaceDN w:val="0"/>
        <w:adjustRightInd w:val="0"/>
        <w:snapToGrid w:val="0"/>
        <w:spacing w:after="120"/>
        <w:ind w:left="1080"/>
        <w:rPr>
          <w:rFonts w:eastAsia="宋体"/>
          <w:b/>
          <w:bCs/>
          <w:iCs/>
          <w:szCs w:val="21"/>
        </w:rPr>
      </w:pPr>
      <w:r w:rsidRPr="00DA45D4">
        <w:rPr>
          <w:rFonts w:eastAsia="宋体"/>
          <w:b/>
          <w:bCs/>
          <w:iCs/>
          <w:szCs w:val="21"/>
        </w:rPr>
        <w:t>Follow the network indication to measure a SCC, if</w:t>
      </w:r>
    </w:p>
    <w:p w14:paraId="010F9348" w14:textId="77777777" w:rsidR="003E4CC3" w:rsidRPr="00DA45D4" w:rsidRDefault="003E4CC3" w:rsidP="003E4CC3">
      <w:pPr>
        <w:numPr>
          <w:ilvl w:val="2"/>
          <w:numId w:val="3"/>
        </w:numPr>
        <w:suppressAutoHyphens/>
        <w:snapToGrid w:val="0"/>
        <w:spacing w:after="120"/>
        <w:ind w:left="1800"/>
        <w:rPr>
          <w:rFonts w:eastAsia="宋体"/>
          <w:b/>
          <w:bCs/>
          <w:iCs/>
          <w:szCs w:val="21"/>
        </w:rPr>
      </w:pPr>
      <w:r w:rsidRPr="00DA45D4">
        <w:rPr>
          <w:rFonts w:eastAsia="宋体"/>
          <w:b/>
          <w:bCs/>
          <w:iCs/>
          <w:szCs w:val="21"/>
        </w:rPr>
        <w:t>neither PCC nor PSCC is in band, and</w:t>
      </w:r>
    </w:p>
    <w:p w14:paraId="4D91F2CB" w14:textId="77777777" w:rsidR="003E4CC3" w:rsidRPr="00DA45D4" w:rsidRDefault="003E4CC3" w:rsidP="003E4CC3">
      <w:pPr>
        <w:numPr>
          <w:ilvl w:val="2"/>
          <w:numId w:val="3"/>
        </w:numPr>
        <w:suppressAutoHyphens/>
        <w:snapToGrid w:val="0"/>
        <w:spacing w:after="120"/>
        <w:ind w:left="1800"/>
        <w:rPr>
          <w:rFonts w:eastAsia="宋体"/>
          <w:b/>
          <w:bCs/>
          <w:iCs/>
          <w:strike/>
          <w:color w:val="FF0000"/>
          <w:szCs w:val="21"/>
        </w:rPr>
      </w:pPr>
      <w:r w:rsidRPr="00DA45D4">
        <w:rPr>
          <w:rFonts w:eastAsia="宋体"/>
          <w:b/>
          <w:bCs/>
          <w:iCs/>
          <w:strike/>
          <w:color w:val="FF0000"/>
          <w:szCs w:val="21"/>
        </w:rPr>
        <w:t>if there is no SCCs on which UE is configured to report SSB based measurements in band, or</w:t>
      </w:r>
    </w:p>
    <w:p w14:paraId="731C3414" w14:textId="77777777" w:rsidR="003E4CC3" w:rsidRPr="00DA45D4" w:rsidRDefault="003E4CC3" w:rsidP="003E4CC3">
      <w:pPr>
        <w:numPr>
          <w:ilvl w:val="2"/>
          <w:numId w:val="3"/>
        </w:numPr>
        <w:suppressAutoHyphens/>
        <w:snapToGrid w:val="0"/>
        <w:spacing w:after="120"/>
        <w:ind w:left="1800"/>
        <w:rPr>
          <w:rFonts w:eastAsia="宋体"/>
          <w:b/>
          <w:bCs/>
          <w:iCs/>
          <w:szCs w:val="21"/>
        </w:rPr>
      </w:pPr>
      <w:r w:rsidRPr="00DA45D4">
        <w:rPr>
          <w:rFonts w:eastAsia="宋体"/>
          <w:b/>
          <w:bCs/>
          <w:iCs/>
          <w:szCs w:val="21"/>
        </w:rPr>
        <w:t>if there are multiple SCCs on which UE is configured to report SSB based measurements in band.</w:t>
      </w:r>
    </w:p>
    <w:p w14:paraId="1C06E2DF" w14:textId="77777777" w:rsidR="003E4CC3" w:rsidRPr="00DA45D4" w:rsidRDefault="003E4CC3" w:rsidP="003E4CC3">
      <w:pPr>
        <w:numPr>
          <w:ilvl w:val="2"/>
          <w:numId w:val="3"/>
        </w:numPr>
        <w:suppressAutoHyphens/>
        <w:snapToGrid w:val="0"/>
        <w:spacing w:after="120"/>
        <w:ind w:left="1800"/>
        <w:rPr>
          <w:rFonts w:eastAsia="宋体"/>
          <w:b/>
          <w:bCs/>
          <w:iCs/>
          <w:szCs w:val="21"/>
        </w:rPr>
      </w:pPr>
      <w:r w:rsidRPr="00DA45D4">
        <w:rPr>
          <w:rFonts w:eastAsia="宋体"/>
          <w:b/>
          <w:bCs/>
          <w:iCs/>
          <w:szCs w:val="21"/>
        </w:rPr>
        <w:t>Network indication of a specific SCC per-band for measurement.</w:t>
      </w:r>
    </w:p>
    <w:p w14:paraId="4F3A4560" w14:textId="77777777" w:rsidR="003E4CC3" w:rsidRPr="00DA45D4" w:rsidRDefault="003E4CC3" w:rsidP="003E4CC3">
      <w:pPr>
        <w:numPr>
          <w:ilvl w:val="3"/>
          <w:numId w:val="3"/>
        </w:numPr>
        <w:suppressAutoHyphens/>
        <w:snapToGrid w:val="0"/>
        <w:spacing w:after="120"/>
        <w:ind w:left="2520"/>
        <w:rPr>
          <w:rFonts w:eastAsia="宋体"/>
          <w:b/>
          <w:bCs/>
          <w:iCs/>
          <w:szCs w:val="21"/>
        </w:rPr>
      </w:pPr>
      <w:r w:rsidRPr="00DA45D4">
        <w:rPr>
          <w:rFonts w:eastAsia="宋体"/>
          <w:b/>
          <w:bCs/>
          <w:iCs/>
          <w:szCs w:val="21"/>
        </w:rPr>
        <w:t>if network indicates which of the SCC to be measured in a band, UE will perform both serving and neighbour cell measurements on the indicated SCC in a band.</w:t>
      </w:r>
    </w:p>
    <w:p w14:paraId="09844ED7" w14:textId="77777777" w:rsidR="003E4CC3" w:rsidRPr="00DA45D4" w:rsidRDefault="003E4CC3" w:rsidP="003E4CC3">
      <w:pPr>
        <w:numPr>
          <w:ilvl w:val="1"/>
          <w:numId w:val="3"/>
        </w:numPr>
        <w:overflowPunct w:val="0"/>
        <w:autoSpaceDE w:val="0"/>
        <w:autoSpaceDN w:val="0"/>
        <w:adjustRightInd w:val="0"/>
        <w:snapToGrid w:val="0"/>
        <w:spacing w:after="120"/>
        <w:ind w:left="1080"/>
        <w:rPr>
          <w:rFonts w:eastAsia="宋体"/>
          <w:b/>
          <w:bCs/>
          <w:iCs/>
          <w:szCs w:val="21"/>
        </w:rPr>
      </w:pPr>
      <w:r w:rsidRPr="00DA45D4">
        <w:rPr>
          <w:rFonts w:eastAsia="宋体" w:hint="eastAsia"/>
          <w:b/>
          <w:bCs/>
          <w:iCs/>
          <w:szCs w:val="21"/>
        </w:rPr>
        <w:t>O</w:t>
      </w:r>
      <w:r w:rsidRPr="00DA45D4">
        <w:rPr>
          <w:rFonts w:eastAsia="宋体"/>
          <w:b/>
          <w:bCs/>
          <w:iCs/>
          <w:szCs w:val="21"/>
        </w:rPr>
        <w:t xml:space="preserve">therwise, </w:t>
      </w:r>
      <w:r w:rsidRPr="00DA45D4">
        <w:rPr>
          <w:b/>
          <w:bCs/>
          <w:iCs/>
          <w:szCs w:val="21"/>
        </w:rPr>
        <w:t xml:space="preserve">UE will perform serving and </w:t>
      </w:r>
      <w:proofErr w:type="spellStart"/>
      <w:r w:rsidRPr="00DA45D4">
        <w:rPr>
          <w:b/>
          <w:bCs/>
          <w:iCs/>
          <w:szCs w:val="21"/>
        </w:rPr>
        <w:t>neighbor</w:t>
      </w:r>
      <w:proofErr w:type="spellEnd"/>
      <w:r w:rsidRPr="00DA45D4">
        <w:rPr>
          <w:b/>
          <w:bCs/>
          <w:iCs/>
          <w:szCs w:val="21"/>
        </w:rPr>
        <w:t xml:space="preserve"> cell measurements on one SCC per band, which SCC to measure is up to UE implementation.</w:t>
      </w:r>
    </w:p>
    <w:p w14:paraId="4D7B6F17" w14:textId="77777777" w:rsidR="00ED72C3" w:rsidRDefault="00ED72C3" w:rsidP="003E4CC3">
      <w:pPr>
        <w:pStyle w:val="Default"/>
        <w:jc w:val="both"/>
        <w:rPr>
          <w:b/>
          <w:sz w:val="20"/>
          <w:szCs w:val="20"/>
        </w:rPr>
      </w:pPr>
    </w:p>
    <w:p w14:paraId="64E46BB1" w14:textId="27A7051A" w:rsidR="003E4CC3" w:rsidRPr="00ED72C3" w:rsidRDefault="00ED72C3" w:rsidP="003E4CC3">
      <w:pPr>
        <w:pStyle w:val="Default"/>
        <w:jc w:val="both"/>
        <w:rPr>
          <w:b/>
          <w:sz w:val="20"/>
          <w:szCs w:val="20"/>
        </w:rPr>
      </w:pPr>
      <w:r>
        <w:rPr>
          <w:rFonts w:hint="eastAsia"/>
          <w:b/>
          <w:sz w:val="20"/>
          <w:szCs w:val="20"/>
        </w:rPr>
        <w:t>O</w:t>
      </w:r>
      <w:r>
        <w:rPr>
          <w:b/>
          <w:sz w:val="20"/>
          <w:szCs w:val="20"/>
        </w:rPr>
        <w:t xml:space="preserve">bservation 2: </w:t>
      </w:r>
      <w:r w:rsidRPr="008D49C5">
        <w:rPr>
          <w:b/>
          <w:sz w:val="20"/>
          <w:szCs w:val="20"/>
        </w:rPr>
        <w:t xml:space="preserve">Even without the new signaling indication of a specific SCC per-band for measurement, </w:t>
      </w:r>
      <w:r>
        <w:rPr>
          <w:b/>
          <w:sz w:val="20"/>
          <w:szCs w:val="20"/>
        </w:rPr>
        <w:t xml:space="preserve">RAN4’s RRM </w:t>
      </w:r>
      <w:r w:rsidRPr="008D49C5">
        <w:rPr>
          <w:b/>
          <w:sz w:val="20"/>
          <w:szCs w:val="20"/>
        </w:rPr>
        <w:t>requirements under the solution 1 are not broken.</w:t>
      </w:r>
    </w:p>
    <w:p w14:paraId="4EBFC8B0" w14:textId="66969E68" w:rsidR="008D49C5" w:rsidRPr="005F35AC" w:rsidRDefault="008D49C5" w:rsidP="008D49C5">
      <w:pPr>
        <w:pStyle w:val="Default"/>
        <w:jc w:val="both"/>
        <w:rPr>
          <w:b/>
          <w:sz w:val="20"/>
          <w:szCs w:val="20"/>
        </w:rPr>
      </w:pPr>
      <w:r w:rsidRPr="004366BA">
        <w:rPr>
          <w:b/>
          <w:sz w:val="20"/>
          <w:szCs w:val="20"/>
        </w:rPr>
        <w:t xml:space="preserve">Proposal 2: </w:t>
      </w:r>
      <w:r>
        <w:rPr>
          <w:b/>
          <w:sz w:val="20"/>
          <w:szCs w:val="20"/>
        </w:rPr>
        <w:t>RAN4 to discuss the potential revision</w:t>
      </w:r>
      <w:r w:rsidR="00ED72C3">
        <w:rPr>
          <w:b/>
          <w:sz w:val="20"/>
          <w:szCs w:val="20"/>
        </w:rPr>
        <w:t xml:space="preserve"> on network indication requests of solution 1</w:t>
      </w:r>
      <w:r>
        <w:rPr>
          <w:b/>
          <w:sz w:val="20"/>
          <w:szCs w:val="20"/>
        </w:rPr>
        <w:t xml:space="preserve">, and if agreed, send LS to RAN2 for update. </w:t>
      </w:r>
    </w:p>
    <w:p w14:paraId="194EE479" w14:textId="77777777" w:rsidR="000F2E7D" w:rsidRPr="008D49C5" w:rsidRDefault="000F2E7D" w:rsidP="000F2E7D">
      <w:pPr>
        <w:rPr>
          <w:rFonts w:eastAsiaTheme="minorEastAsia"/>
          <w:lang w:val="en-US" w:eastAsia="zh-CN"/>
        </w:rPr>
      </w:pPr>
    </w:p>
    <w:p w14:paraId="029FBF3E" w14:textId="77777777" w:rsidR="00FC7BA2" w:rsidRDefault="00FC7BA2" w:rsidP="00BE6586">
      <w:pPr>
        <w:pStyle w:val="1"/>
        <w:jc w:val="both"/>
        <w:rPr>
          <w:lang w:val="en-US"/>
        </w:rPr>
      </w:pPr>
      <w:r w:rsidRPr="00C0754F">
        <w:rPr>
          <w:lang w:val="en-US"/>
        </w:rPr>
        <w:t>Reference</w:t>
      </w:r>
    </w:p>
    <w:p w14:paraId="6348CE90" w14:textId="77777777" w:rsidR="003E4CC3" w:rsidRPr="003E4CC3" w:rsidRDefault="003E4CC3" w:rsidP="003E4CC3">
      <w:pPr>
        <w:widowControl w:val="0"/>
        <w:numPr>
          <w:ilvl w:val="0"/>
          <w:numId w:val="4"/>
        </w:numPr>
        <w:tabs>
          <w:tab w:val="left" w:pos="426"/>
        </w:tabs>
        <w:jc w:val="both"/>
        <w:rPr>
          <w:rFonts w:eastAsia="宋体"/>
          <w:szCs w:val="22"/>
          <w:lang w:eastAsia="zh-CN"/>
        </w:rPr>
      </w:pPr>
      <w:r w:rsidRPr="003E4CC3">
        <w:rPr>
          <w:rFonts w:eastAsia="宋体"/>
          <w:szCs w:val="22"/>
          <w:lang w:eastAsia="zh-CN"/>
        </w:rPr>
        <w:t>R4-2502592</w:t>
      </w:r>
      <w:r w:rsidRPr="003E4CC3">
        <w:rPr>
          <w:rFonts w:eastAsia="宋体"/>
          <w:szCs w:val="22"/>
          <w:lang w:eastAsia="zh-CN"/>
        </w:rPr>
        <w:tab/>
        <w:t>WF on RRM requirements for NR_RRM_Ph5_Part1</w:t>
      </w:r>
    </w:p>
    <w:p w14:paraId="4578535D" w14:textId="270DF25C" w:rsidR="00FC7BA2" w:rsidRPr="003E4CC3" w:rsidRDefault="003E4CC3" w:rsidP="003E4CC3">
      <w:pPr>
        <w:widowControl w:val="0"/>
        <w:numPr>
          <w:ilvl w:val="0"/>
          <w:numId w:val="4"/>
        </w:numPr>
        <w:tabs>
          <w:tab w:val="left" w:pos="426"/>
        </w:tabs>
        <w:jc w:val="both"/>
        <w:rPr>
          <w:rFonts w:eastAsia="宋体"/>
          <w:szCs w:val="22"/>
          <w:lang w:eastAsia="zh-CN"/>
        </w:rPr>
      </w:pPr>
      <w:r w:rsidRPr="003E4CC3">
        <w:rPr>
          <w:rFonts w:eastAsia="宋体"/>
          <w:szCs w:val="22"/>
          <w:lang w:eastAsia="zh-CN"/>
        </w:rPr>
        <w:t>R4-2502662</w:t>
      </w:r>
      <w:r w:rsidRPr="003E4CC3">
        <w:rPr>
          <w:rFonts w:eastAsia="宋体"/>
          <w:szCs w:val="22"/>
          <w:lang w:eastAsia="zh-CN"/>
        </w:rPr>
        <w:tab/>
        <w:t>LS on CSSF optimization for NR RRM Phase 5</w:t>
      </w:r>
    </w:p>
    <w:sectPr w:rsidR="00FC7BA2" w:rsidRPr="003E4CC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39445" w14:textId="77777777" w:rsidR="005953FA" w:rsidRDefault="005953FA" w:rsidP="003E2FD5">
      <w:pPr>
        <w:spacing w:after="0"/>
      </w:pPr>
      <w:r>
        <w:separator/>
      </w:r>
    </w:p>
  </w:endnote>
  <w:endnote w:type="continuationSeparator" w:id="0">
    <w:p w14:paraId="5FD05728" w14:textId="77777777" w:rsidR="005953FA" w:rsidRDefault="005953FA" w:rsidP="003E2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EE458" w14:textId="77777777" w:rsidR="005953FA" w:rsidRDefault="005953FA" w:rsidP="003E2FD5">
      <w:pPr>
        <w:spacing w:after="0"/>
      </w:pPr>
      <w:r>
        <w:separator/>
      </w:r>
    </w:p>
  </w:footnote>
  <w:footnote w:type="continuationSeparator" w:id="0">
    <w:p w14:paraId="0AD1B85C" w14:textId="77777777" w:rsidR="005953FA" w:rsidRDefault="005953FA" w:rsidP="003E2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848ED"/>
    <w:multiLevelType w:val="hybridMultilevel"/>
    <w:tmpl w:val="DF6CB91E"/>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F569C2"/>
    <w:multiLevelType w:val="hybridMultilevel"/>
    <w:tmpl w:val="9578C648"/>
    <w:lvl w:ilvl="0" w:tplc="E092D518">
      <w:start w:val="1"/>
      <w:numFmt w:val="decimal"/>
      <w:lvlText w:val="Proposal %1: "/>
      <w:lvlJc w:val="left"/>
      <w:pPr>
        <w:ind w:left="420" w:hanging="420"/>
      </w:pPr>
      <w:rPr>
        <w:rFonts w:ascii="Times New Roman" w:hAnsi="Times New Roman" w:cs="Times New Roman" w:hint="default"/>
        <w:b/>
        <w:bCs w:val="0"/>
        <w:i/>
        <w:iCs w:val="0"/>
        <w:caps w:val="0"/>
        <w:smallCaps w:val="0"/>
        <w:strike w:val="0"/>
        <w:dstrike w:val="0"/>
        <w:outline w:val="0"/>
        <w:shadow w:val="0"/>
        <w:emboss w:val="0"/>
        <w:imprint w:val="0"/>
        <w:noProof w:val="0"/>
        <w:snapToGrid w:val="0"/>
        <w:vanish w:val="0"/>
        <w:color w:val="auto"/>
        <w:spacing w:val="0"/>
        <w:w w:val="0"/>
        <w:kern w:val="0"/>
        <w:position w:val="0"/>
        <w:sz w:val="20"/>
        <w:szCs w:val="2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0DF64B3A"/>
    <w:multiLevelType w:val="hybridMultilevel"/>
    <w:tmpl w:val="812E35A8"/>
    <w:lvl w:ilvl="0" w:tplc="6C7EB390">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29237F"/>
    <w:multiLevelType w:val="hybridMultilevel"/>
    <w:tmpl w:val="5FCEE0DC"/>
    <w:lvl w:ilvl="0" w:tplc="EB0E0106">
      <w:start w:val="1"/>
      <w:numFmt w:val="decimal"/>
      <w:pStyle w:val="a"/>
      <w:lvlText w:val="Proposal %1: "/>
      <w:lvlJc w:val="left"/>
      <w:pPr>
        <w:ind w:left="420" w:hanging="420"/>
      </w:pPr>
      <w:rPr>
        <w:rFonts w:ascii="Times New Roman" w:hAnsi="Times New Roman" w:cs="Times New Roman" w:hint="default"/>
        <w:b/>
        <w:i w:val="0"/>
        <w:color w:val="auto"/>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E44C2F"/>
    <w:multiLevelType w:val="hybridMultilevel"/>
    <w:tmpl w:val="DAA4720C"/>
    <w:lvl w:ilvl="0" w:tplc="FFFFFFFF">
      <w:start w:val="1"/>
      <w:numFmt w:val="decimal"/>
      <w:lvlText w:val="Proposal %1: "/>
      <w:lvlJc w:val="left"/>
      <w:pPr>
        <w:ind w:left="420" w:hanging="420"/>
      </w:pPr>
      <w:rPr>
        <w:rFonts w:ascii="Times New Roman" w:hAnsi="Times New Roman" w:cs="Times New Roman" w:hint="default"/>
        <w:b/>
        <w:i w:val="0"/>
        <w:color w:val="auto"/>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493031"/>
    <w:multiLevelType w:val="hybridMultilevel"/>
    <w:tmpl w:val="D04435CA"/>
    <w:lvl w:ilvl="0" w:tplc="EC2C1A30">
      <w:start w:val="1"/>
      <w:numFmt w:val="decimal"/>
      <w:lvlText w:val="Proposal %1:"/>
      <w:lvlJc w:val="left"/>
      <w:pPr>
        <w:ind w:left="2689" w:hanging="420"/>
      </w:pPr>
      <w:rPr>
        <w:rFonts w:ascii="Times New Roman" w:hAnsi="Times New Roman"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CE124E"/>
    <w:multiLevelType w:val="hybridMultilevel"/>
    <w:tmpl w:val="53CAC920"/>
    <w:lvl w:ilvl="0" w:tplc="7A78D8F2">
      <w:start w:val="1"/>
      <w:numFmt w:val="decimal"/>
      <w:lvlText w:val="Proposal %1: "/>
      <w:lvlJc w:val="left"/>
      <w:pPr>
        <w:ind w:left="420" w:hanging="420"/>
      </w:pPr>
      <w:rPr>
        <w:rFonts w:ascii="Times New Roman" w:hAnsi="Times New Roman" w:cs="Times New Roman" w:hint="default"/>
        <w:b/>
        <w:i w:val="0"/>
        <w:color w:val="auto"/>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0D44B4"/>
    <w:multiLevelType w:val="hybridMultilevel"/>
    <w:tmpl w:val="96AE2C0C"/>
    <w:lvl w:ilvl="0" w:tplc="0EAA0086">
      <w:start w:val="1"/>
      <w:numFmt w:val="decimal"/>
      <w:lvlText w:val="Proposal %1: "/>
      <w:lvlJc w:val="left"/>
      <w:pPr>
        <w:ind w:left="420" w:hanging="420"/>
      </w:pPr>
      <w:rPr>
        <w:rFonts w:ascii="Times New Roman" w:hAnsi="Times New Roman" w:cs="Times New Roman" w:hint="default"/>
        <w:b/>
        <w:i w:val="0"/>
        <w:color w:val="auto"/>
        <w:sz w:val="20"/>
        <w:szCs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643CCC"/>
    <w:multiLevelType w:val="hybridMultilevel"/>
    <w:tmpl w:val="2020CE84"/>
    <w:lvl w:ilvl="0" w:tplc="6276CD74">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240E6E3F"/>
    <w:multiLevelType w:val="hybridMultilevel"/>
    <w:tmpl w:val="85AA3168"/>
    <w:lvl w:ilvl="0" w:tplc="FFFFFFFF">
      <w:start w:val="1"/>
      <w:numFmt w:val="decimal"/>
      <w:lvlText w:val="Proposal %1: "/>
      <w:lvlJc w:val="left"/>
      <w:pPr>
        <w:ind w:left="420" w:hanging="420"/>
      </w:pPr>
      <w:rPr>
        <w:rFonts w:ascii="Times New Roman" w:hAnsi="Times New Roman" w:cs="Times New Roman" w:hint="default"/>
        <w:b/>
        <w:i w:val="0"/>
        <w:color w:val="auto"/>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38AB3B0C"/>
    <w:multiLevelType w:val="hybridMultilevel"/>
    <w:tmpl w:val="E4260606"/>
    <w:lvl w:ilvl="0" w:tplc="88546A4C">
      <w:start w:val="1"/>
      <w:numFmt w:val="decimal"/>
      <w:pStyle w:val="a0"/>
      <w:lvlText w:val="Proposal %1: "/>
      <w:lvlJc w:val="left"/>
      <w:pPr>
        <w:ind w:left="840" w:hanging="420"/>
      </w:pPr>
      <w:rPr>
        <w:rFonts w:ascii="Times New Roman" w:hAnsi="Times New Roman" w:cs="Times New Roman" w:hint="default"/>
        <w:b/>
        <w:i w:val="0"/>
        <w:color w:val="auto"/>
        <w:sz w:val="20"/>
        <w:szCs w:val="2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3AD37A3D"/>
    <w:multiLevelType w:val="multilevel"/>
    <w:tmpl w:val="853CB96E"/>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b w:val="0"/>
        <w:bCs/>
        <w:color w:val="auto"/>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6"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50D40EAA"/>
    <w:multiLevelType w:val="hybridMultilevel"/>
    <w:tmpl w:val="86D65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145549D"/>
    <w:multiLevelType w:val="hybridMultilevel"/>
    <w:tmpl w:val="C0FC00A6"/>
    <w:lvl w:ilvl="0" w:tplc="3614244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A313636"/>
    <w:multiLevelType w:val="hybridMultilevel"/>
    <w:tmpl w:val="D8F825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3817D1"/>
    <w:multiLevelType w:val="hybridMultilevel"/>
    <w:tmpl w:val="E0D4D29E"/>
    <w:lvl w:ilvl="0" w:tplc="6C7EB390">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CF7E94"/>
    <w:multiLevelType w:val="hybridMultilevel"/>
    <w:tmpl w:val="8F2E656A"/>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1"/>
  </w:num>
  <w:num w:numId="3">
    <w:abstractNumId w:val="18"/>
  </w:num>
  <w:num w:numId="4">
    <w:abstractNumId w:val="14"/>
  </w:num>
  <w:num w:numId="5">
    <w:abstractNumId w:val="22"/>
  </w:num>
  <w:num w:numId="6">
    <w:abstractNumId w:val="2"/>
  </w:num>
  <w:num w:numId="7">
    <w:abstractNumId w:val="15"/>
  </w:num>
  <w:num w:numId="8">
    <w:abstractNumId w:val="0"/>
  </w:num>
  <w:num w:numId="9">
    <w:abstractNumId w:val="20"/>
  </w:num>
  <w:num w:numId="10">
    <w:abstractNumId w:val="16"/>
  </w:num>
  <w:num w:numId="11">
    <w:abstractNumId w:val="6"/>
  </w:num>
  <w:num w:numId="12">
    <w:abstractNumId w:val="6"/>
  </w:num>
  <w:num w:numId="13">
    <w:abstractNumId w:val="6"/>
  </w:num>
  <w:num w:numId="14">
    <w:abstractNumId w:val="6"/>
  </w:num>
  <w:num w:numId="15">
    <w:abstractNumId w:val="6"/>
  </w:num>
  <w:num w:numId="16">
    <w:abstractNumId w:val="13"/>
  </w:num>
  <w:num w:numId="17">
    <w:abstractNumId w:val="17"/>
  </w:num>
  <w:num w:numId="18">
    <w:abstractNumId w:val="19"/>
  </w:num>
  <w:num w:numId="19">
    <w:abstractNumId w:val="23"/>
  </w:num>
  <w:num w:numId="20">
    <w:abstractNumId w:val="8"/>
  </w:num>
  <w:num w:numId="21">
    <w:abstractNumId w:val="7"/>
  </w:num>
  <w:num w:numId="22">
    <w:abstractNumId w:val="10"/>
  </w:num>
  <w:num w:numId="23">
    <w:abstractNumId w:val="9"/>
  </w:num>
  <w:num w:numId="24">
    <w:abstractNumId w:val="5"/>
  </w:num>
  <w:num w:numId="25">
    <w:abstractNumId w:val="4"/>
  </w:num>
  <w:num w:numId="26">
    <w:abstractNumId w:val="1"/>
  </w:num>
  <w:num w:numId="27">
    <w:abstractNumId w:val="1"/>
  </w:num>
  <w:num w:numId="28">
    <w:abstractNumId w:val="1"/>
    <w:lvlOverride w:ilvl="0">
      <w:startOverride w:val="1"/>
    </w:lvlOverride>
  </w:num>
  <w:num w:numId="29">
    <w:abstractNumId w:val="12"/>
  </w:num>
  <w:num w:numId="30">
    <w:abstractNumId w:val="12"/>
  </w:num>
  <w:num w:numId="31">
    <w:abstractNumId w:val="12"/>
    <w:lvlOverride w:ilvl="0">
      <w:startOverride w:val="1"/>
    </w:lvlOverride>
  </w:num>
  <w:num w:numId="32">
    <w:abstractNumId w:val="3"/>
  </w:num>
  <w:num w:numId="33">
    <w:abstractNumId w:val="21"/>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010B78"/>
    <w:rsid w:val="0002091A"/>
    <w:rsid w:val="000258D6"/>
    <w:rsid w:val="00047C06"/>
    <w:rsid w:val="00074A47"/>
    <w:rsid w:val="000A5012"/>
    <w:rsid w:val="000B4344"/>
    <w:rsid w:val="000D1B7C"/>
    <w:rsid w:val="000E6C24"/>
    <w:rsid w:val="000F2E7D"/>
    <w:rsid w:val="001004AE"/>
    <w:rsid w:val="00102B9F"/>
    <w:rsid w:val="0011241B"/>
    <w:rsid w:val="00115281"/>
    <w:rsid w:val="0012548E"/>
    <w:rsid w:val="00126929"/>
    <w:rsid w:val="001345FB"/>
    <w:rsid w:val="001365DD"/>
    <w:rsid w:val="00140168"/>
    <w:rsid w:val="00143700"/>
    <w:rsid w:val="001467C4"/>
    <w:rsid w:val="00175E4C"/>
    <w:rsid w:val="00187AED"/>
    <w:rsid w:val="001A4AE7"/>
    <w:rsid w:val="001B3322"/>
    <w:rsid w:val="001F0C71"/>
    <w:rsid w:val="00234F17"/>
    <w:rsid w:val="00262807"/>
    <w:rsid w:val="00286006"/>
    <w:rsid w:val="002930E0"/>
    <w:rsid w:val="002B5B8D"/>
    <w:rsid w:val="002C4908"/>
    <w:rsid w:val="002D03B6"/>
    <w:rsid w:val="00316A9F"/>
    <w:rsid w:val="00336921"/>
    <w:rsid w:val="003621FA"/>
    <w:rsid w:val="003916BC"/>
    <w:rsid w:val="003B5777"/>
    <w:rsid w:val="003E2FD5"/>
    <w:rsid w:val="003E4CC3"/>
    <w:rsid w:val="003E794D"/>
    <w:rsid w:val="003F42A5"/>
    <w:rsid w:val="00402D79"/>
    <w:rsid w:val="00406B28"/>
    <w:rsid w:val="0041662F"/>
    <w:rsid w:val="004230EE"/>
    <w:rsid w:val="004366BA"/>
    <w:rsid w:val="00441C18"/>
    <w:rsid w:val="00450D21"/>
    <w:rsid w:val="004811F8"/>
    <w:rsid w:val="00497F07"/>
    <w:rsid w:val="004A00D4"/>
    <w:rsid w:val="004C517C"/>
    <w:rsid w:val="004F48C7"/>
    <w:rsid w:val="00515D32"/>
    <w:rsid w:val="005249FF"/>
    <w:rsid w:val="00527577"/>
    <w:rsid w:val="005671BF"/>
    <w:rsid w:val="00577680"/>
    <w:rsid w:val="00593412"/>
    <w:rsid w:val="005953FA"/>
    <w:rsid w:val="005A76E8"/>
    <w:rsid w:val="005B245F"/>
    <w:rsid w:val="005E3A82"/>
    <w:rsid w:val="005F35AC"/>
    <w:rsid w:val="00600A7C"/>
    <w:rsid w:val="00610F4A"/>
    <w:rsid w:val="006D3856"/>
    <w:rsid w:val="00710133"/>
    <w:rsid w:val="00752765"/>
    <w:rsid w:val="0078607A"/>
    <w:rsid w:val="007C5BE9"/>
    <w:rsid w:val="007D73EA"/>
    <w:rsid w:val="007E40C2"/>
    <w:rsid w:val="007E4F80"/>
    <w:rsid w:val="0083663A"/>
    <w:rsid w:val="00845C44"/>
    <w:rsid w:val="00846C3E"/>
    <w:rsid w:val="008501D6"/>
    <w:rsid w:val="00881CBE"/>
    <w:rsid w:val="00882136"/>
    <w:rsid w:val="00885274"/>
    <w:rsid w:val="008B4E3A"/>
    <w:rsid w:val="008B7DAA"/>
    <w:rsid w:val="008D49C5"/>
    <w:rsid w:val="008F28C0"/>
    <w:rsid w:val="008F350F"/>
    <w:rsid w:val="00942736"/>
    <w:rsid w:val="009540D7"/>
    <w:rsid w:val="00975E9E"/>
    <w:rsid w:val="0097777F"/>
    <w:rsid w:val="00996977"/>
    <w:rsid w:val="009B59C5"/>
    <w:rsid w:val="009D01F0"/>
    <w:rsid w:val="00A0005B"/>
    <w:rsid w:val="00A01AA4"/>
    <w:rsid w:val="00A05AF5"/>
    <w:rsid w:val="00A102F4"/>
    <w:rsid w:val="00A22E5B"/>
    <w:rsid w:val="00A46B08"/>
    <w:rsid w:val="00A478A9"/>
    <w:rsid w:val="00A77630"/>
    <w:rsid w:val="00A95AD1"/>
    <w:rsid w:val="00AA2E81"/>
    <w:rsid w:val="00B0081F"/>
    <w:rsid w:val="00B015F4"/>
    <w:rsid w:val="00B11600"/>
    <w:rsid w:val="00B416EA"/>
    <w:rsid w:val="00B77CFD"/>
    <w:rsid w:val="00B81F6D"/>
    <w:rsid w:val="00BE5EC1"/>
    <w:rsid w:val="00BE6586"/>
    <w:rsid w:val="00BF77CF"/>
    <w:rsid w:val="00C24FD6"/>
    <w:rsid w:val="00C263FF"/>
    <w:rsid w:val="00C36495"/>
    <w:rsid w:val="00C958EF"/>
    <w:rsid w:val="00C96550"/>
    <w:rsid w:val="00CE13B6"/>
    <w:rsid w:val="00D0120D"/>
    <w:rsid w:val="00D3393C"/>
    <w:rsid w:val="00D700EA"/>
    <w:rsid w:val="00D72BFE"/>
    <w:rsid w:val="00D765BC"/>
    <w:rsid w:val="00D944DD"/>
    <w:rsid w:val="00DA45D4"/>
    <w:rsid w:val="00DB6EB4"/>
    <w:rsid w:val="00DB7A6C"/>
    <w:rsid w:val="00E15835"/>
    <w:rsid w:val="00E22E11"/>
    <w:rsid w:val="00E26041"/>
    <w:rsid w:val="00E4380E"/>
    <w:rsid w:val="00E7118F"/>
    <w:rsid w:val="00EB660B"/>
    <w:rsid w:val="00ED44D0"/>
    <w:rsid w:val="00ED72C3"/>
    <w:rsid w:val="00EF6F52"/>
    <w:rsid w:val="00F05B01"/>
    <w:rsid w:val="00F27EC4"/>
    <w:rsid w:val="00F36B50"/>
    <w:rsid w:val="00F80B18"/>
    <w:rsid w:val="00F90EDD"/>
    <w:rsid w:val="00F97782"/>
    <w:rsid w:val="00FC7B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3B58DD"/>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7BA2"/>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h1,1,Titre§"/>
    <w:next w:val="a1"/>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Head 2,l2,TitreProp,Header 2,ITT t2,PA Major Section,Livello 2,R2,H21,Heading 2 Hidden,Head1,2nd level,heading 2,I2,Section Title,Heading2,list2,H2-Heading 2,Header2,22"/>
    <w:basedOn w:val="1"/>
    <w:next w:val="a1"/>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l3,3"/>
    <w:basedOn w:val="2"/>
    <w:next w:val="a1"/>
    <w:link w:val="30"/>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1"/>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1"/>
    <w:link w:val="50"/>
    <w:qFormat/>
    <w:rsid w:val="00010B78"/>
    <w:pPr>
      <w:numPr>
        <w:ilvl w:val="5"/>
      </w:numPr>
      <w:tabs>
        <w:tab w:val="clear" w:pos="1152"/>
        <w:tab w:val="num" w:pos="360"/>
      </w:tabs>
      <w:spacing w:after="120"/>
      <w:ind w:left="0" w:firstLine="0"/>
      <w:outlineLvl w:val="4"/>
    </w:pPr>
    <w:rPr>
      <w:rFonts w:eastAsia="Times New Roman"/>
      <w:sz w:val="21"/>
    </w:rPr>
  </w:style>
  <w:style w:type="paragraph" w:styleId="6">
    <w:name w:val="heading 6"/>
    <w:basedOn w:val="a1"/>
    <w:next w:val="a1"/>
    <w:link w:val="60"/>
    <w:qFormat/>
    <w:rsid w:val="00102B9F"/>
    <w:pPr>
      <w:keepNext/>
      <w:keepLines/>
      <w:spacing w:before="120"/>
      <w:ind w:left="1152" w:hanging="1152"/>
      <w:outlineLvl w:val="5"/>
    </w:pPr>
    <w:rPr>
      <w:rFonts w:ascii="Arial" w:eastAsia="宋体" w:hAnsi="Arial"/>
      <w:szCs w:val="18"/>
      <w:lang w:val="sv-SE" w:eastAsia="zh-CN"/>
    </w:rPr>
  </w:style>
  <w:style w:type="paragraph" w:styleId="7">
    <w:name w:val="heading 7"/>
    <w:basedOn w:val="a1"/>
    <w:next w:val="a1"/>
    <w:link w:val="70"/>
    <w:qFormat/>
    <w:rsid w:val="00FC7BA2"/>
    <w:pPr>
      <w:keepNext/>
      <w:keepLines/>
      <w:numPr>
        <w:ilvl w:val="6"/>
        <w:numId w:val="1"/>
      </w:numPr>
      <w:spacing w:before="120"/>
      <w:outlineLvl w:val="6"/>
    </w:pPr>
    <w:rPr>
      <w:rFonts w:ascii="Arial" w:hAnsi="Arial"/>
    </w:rPr>
  </w:style>
  <w:style w:type="paragraph" w:styleId="8">
    <w:name w:val="heading 8"/>
    <w:basedOn w:val="1"/>
    <w:next w:val="a1"/>
    <w:link w:val="80"/>
    <w:qFormat/>
    <w:rsid w:val="00FC7BA2"/>
    <w:pPr>
      <w:numPr>
        <w:ilvl w:val="7"/>
      </w:numPr>
      <w:outlineLvl w:val="7"/>
    </w:pPr>
  </w:style>
  <w:style w:type="paragraph" w:styleId="9">
    <w:name w:val="heading 9"/>
    <w:basedOn w:val="8"/>
    <w:next w:val="a1"/>
    <w:link w:val="90"/>
    <w:qFormat/>
    <w:rsid w:val="00FC7BA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2"/>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Head 2 字符,l2 字符,TitreProp 字符,Header 2 字符,ITT t2 字符,PA Major Section 字符,Livello 2 字符,R2 字符,H21 字符,Heading 2 Hidden 字符,Head1 字符,I2 字符"/>
    <w:basedOn w:val="a2"/>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2"/>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2"/>
    <w:link w:val="5"/>
    <w:rsid w:val="00010B78"/>
    <w:rPr>
      <w:rFonts w:ascii="Arial" w:eastAsia="Times New Roman" w:hAnsi="Arial" w:cs="Times New Roman"/>
      <w:kern w:val="0"/>
      <w:szCs w:val="20"/>
      <w:lang w:val="en-GB" w:eastAsia="en-US"/>
    </w:rPr>
  </w:style>
  <w:style w:type="character" w:customStyle="1" w:styleId="70">
    <w:name w:val="标题 7 字符"/>
    <w:basedOn w:val="a2"/>
    <w:link w:val="7"/>
    <w:rsid w:val="00FC7BA2"/>
    <w:rPr>
      <w:rFonts w:ascii="Arial" w:eastAsia="MS Mincho" w:hAnsi="Arial" w:cs="Times New Roman"/>
      <w:kern w:val="0"/>
      <w:sz w:val="20"/>
      <w:szCs w:val="20"/>
      <w:lang w:val="en-GB" w:eastAsia="en-US"/>
    </w:rPr>
  </w:style>
  <w:style w:type="character" w:customStyle="1" w:styleId="80">
    <w:name w:val="标题 8 字符"/>
    <w:basedOn w:val="a2"/>
    <w:link w:val="8"/>
    <w:rsid w:val="00FC7BA2"/>
    <w:rPr>
      <w:rFonts w:ascii="Arial" w:eastAsia="MS Mincho" w:hAnsi="Arial" w:cs="Times New Roman"/>
      <w:kern w:val="0"/>
      <w:sz w:val="36"/>
      <w:szCs w:val="20"/>
      <w:lang w:val="en-GB" w:eastAsia="en-US"/>
    </w:rPr>
  </w:style>
  <w:style w:type="character" w:customStyle="1" w:styleId="90">
    <w:name w:val="标题 9 字符"/>
    <w:basedOn w:val="a2"/>
    <w:link w:val="9"/>
    <w:rsid w:val="00FC7BA2"/>
    <w:rPr>
      <w:rFonts w:ascii="Arial" w:eastAsia="MS Mincho" w:hAnsi="Arial" w:cs="Times New Roman"/>
      <w:kern w:val="0"/>
      <w:sz w:val="36"/>
      <w:szCs w:val="20"/>
      <w:lang w:val="en-GB" w:eastAsia="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rsid w:val="00FC7BA2"/>
    <w:pPr>
      <w:widowControl w:val="0"/>
    </w:pPr>
    <w:rPr>
      <w:rFonts w:ascii="Arial" w:eastAsia="MS Mincho" w:hAnsi="Arial" w:cs="Times New Roman"/>
      <w:b/>
      <w:noProof/>
      <w:kern w:val="0"/>
      <w:sz w:val="18"/>
      <w:szCs w:val="20"/>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FC7BA2"/>
    <w:rPr>
      <w:rFonts w:ascii="Arial" w:eastAsia="MS Mincho" w:hAnsi="Arial" w:cs="Times New Roman"/>
      <w:b/>
      <w:noProof/>
      <w:kern w:val="0"/>
      <w:sz w:val="18"/>
      <w:szCs w:val="20"/>
    </w:rPr>
  </w:style>
  <w:style w:type="table" w:styleId="a7">
    <w:name w:val="Table Grid"/>
    <w:basedOn w:val="a3"/>
    <w:uiPriority w:val="39"/>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1"/>
    <w:link w:val="a9"/>
    <w:uiPriority w:val="34"/>
    <w:qFormat/>
    <w:rsid w:val="00FC7BA2"/>
    <w:pPr>
      <w:spacing w:after="0"/>
      <w:ind w:left="720"/>
      <w:contextualSpacing/>
    </w:pPr>
    <w:rPr>
      <w:rFonts w:eastAsia="Times New Roman"/>
      <w:sz w:val="24"/>
      <w:szCs w:val="24"/>
      <w:lang w:val="x-none"/>
    </w:r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FC7BA2"/>
    <w:rPr>
      <w:rFonts w:ascii="Times New Roman" w:eastAsia="Times New Roman" w:hAnsi="Times New Roman" w:cs="Times New Roman"/>
      <w:kern w:val="0"/>
      <w:sz w:val="24"/>
      <w:szCs w:val="24"/>
      <w:lang w:val="x-none" w:eastAsia="en-US"/>
    </w:rPr>
  </w:style>
  <w:style w:type="paragraph" w:styleId="aa">
    <w:name w:val="footer"/>
    <w:basedOn w:val="a1"/>
    <w:link w:val="ab"/>
    <w:uiPriority w:val="99"/>
    <w:unhideWhenUsed/>
    <w:rsid w:val="003E2FD5"/>
    <w:pPr>
      <w:tabs>
        <w:tab w:val="center" w:pos="4153"/>
        <w:tab w:val="right" w:pos="8306"/>
      </w:tabs>
      <w:snapToGrid w:val="0"/>
    </w:pPr>
    <w:rPr>
      <w:sz w:val="18"/>
      <w:szCs w:val="18"/>
    </w:rPr>
  </w:style>
  <w:style w:type="character" w:customStyle="1" w:styleId="ab">
    <w:name w:val="页脚 字符"/>
    <w:basedOn w:val="a2"/>
    <w:link w:val="aa"/>
    <w:uiPriority w:val="99"/>
    <w:rsid w:val="003E2FD5"/>
    <w:rPr>
      <w:rFonts w:ascii="Times New Roman" w:eastAsia="MS Mincho" w:hAnsi="Times New Roman" w:cs="Times New Roman"/>
      <w:kern w:val="0"/>
      <w:sz w:val="18"/>
      <w:szCs w:val="18"/>
      <w:lang w:val="en-GB" w:eastAsia="en-US"/>
    </w:rPr>
  </w:style>
  <w:style w:type="paragraph" w:customStyle="1" w:styleId="TAL">
    <w:name w:val="TAL"/>
    <w:basedOn w:val="a1"/>
    <w:link w:val="TALChar"/>
    <w:qFormat/>
    <w:rsid w:val="00A95AD1"/>
    <w:pPr>
      <w:keepNext/>
      <w:keepLines/>
      <w:spacing w:after="0"/>
    </w:pPr>
    <w:rPr>
      <w:rFonts w:ascii="Arial" w:eastAsia="宋体" w:hAnsi="Arial"/>
      <w:sz w:val="18"/>
      <w:lang w:val="zh-CN"/>
    </w:rPr>
  </w:style>
  <w:style w:type="character" w:customStyle="1" w:styleId="TALChar">
    <w:name w:val="TAL Char"/>
    <w:link w:val="TAL"/>
    <w:qFormat/>
    <w:rsid w:val="00A95AD1"/>
    <w:rPr>
      <w:rFonts w:ascii="Arial" w:eastAsia="宋体" w:hAnsi="Arial" w:cs="Times New Roman"/>
      <w:kern w:val="0"/>
      <w:sz w:val="18"/>
      <w:szCs w:val="20"/>
      <w:lang w:val="zh-CN" w:eastAsia="en-US"/>
    </w:rPr>
  </w:style>
  <w:style w:type="paragraph" w:styleId="ac">
    <w:name w:val="Balloon Text"/>
    <w:basedOn w:val="a1"/>
    <w:link w:val="ad"/>
    <w:uiPriority w:val="99"/>
    <w:semiHidden/>
    <w:unhideWhenUsed/>
    <w:rsid w:val="00A95AD1"/>
    <w:pPr>
      <w:spacing w:after="0"/>
    </w:pPr>
    <w:rPr>
      <w:sz w:val="18"/>
      <w:szCs w:val="18"/>
    </w:rPr>
  </w:style>
  <w:style w:type="character" w:customStyle="1" w:styleId="ad">
    <w:name w:val="批注框文本 字符"/>
    <w:basedOn w:val="a2"/>
    <w:link w:val="ac"/>
    <w:uiPriority w:val="99"/>
    <w:semiHidden/>
    <w:rsid w:val="00A95AD1"/>
    <w:rPr>
      <w:rFonts w:ascii="Times New Roman" w:eastAsia="MS Mincho" w:hAnsi="Times New Roman" w:cs="Times New Roman"/>
      <w:kern w:val="0"/>
      <w:sz w:val="18"/>
      <w:szCs w:val="18"/>
      <w:lang w:val="en-GB" w:eastAsia="en-US"/>
    </w:rPr>
  </w:style>
  <w:style w:type="paragraph" w:customStyle="1" w:styleId="Default">
    <w:name w:val="Default"/>
    <w:rsid w:val="002D03B6"/>
    <w:pPr>
      <w:widowControl w:val="0"/>
      <w:autoSpaceDE w:val="0"/>
      <w:autoSpaceDN w:val="0"/>
      <w:adjustRightInd w:val="0"/>
    </w:pPr>
    <w:rPr>
      <w:rFonts w:ascii="Times New Roman" w:hAnsi="Times New Roman" w:cs="Times New Roman"/>
      <w:color w:val="000000"/>
      <w:kern w:val="0"/>
      <w:sz w:val="24"/>
      <w:szCs w:val="24"/>
    </w:rPr>
  </w:style>
  <w:style w:type="paragraph" w:styleId="a">
    <w:name w:val="Quote"/>
    <w:basedOn w:val="Default"/>
    <w:next w:val="Default"/>
    <w:link w:val="ae"/>
    <w:autoRedefine/>
    <w:uiPriority w:val="29"/>
    <w:qFormat/>
    <w:rsid w:val="00010B78"/>
    <w:pPr>
      <w:numPr>
        <w:numId w:val="25"/>
      </w:numPr>
      <w:spacing w:before="120" w:after="120"/>
      <w:jc w:val="both"/>
    </w:pPr>
    <w:rPr>
      <w:rFonts w:eastAsia="宋体"/>
      <w:b/>
      <w:i/>
      <w:iCs/>
      <w:color w:val="000000" w:themeColor="text1"/>
      <w:sz w:val="21"/>
      <w:szCs w:val="21"/>
    </w:rPr>
  </w:style>
  <w:style w:type="character" w:customStyle="1" w:styleId="ae">
    <w:name w:val="引用 字符"/>
    <w:basedOn w:val="a2"/>
    <w:link w:val="a"/>
    <w:uiPriority w:val="29"/>
    <w:rsid w:val="00010B78"/>
    <w:rPr>
      <w:rFonts w:ascii="Times New Roman" w:eastAsia="宋体" w:hAnsi="Times New Roman" w:cs="Times New Roman"/>
      <w:b/>
      <w:i/>
      <w:iCs/>
      <w:color w:val="000000" w:themeColor="text1"/>
      <w:kern w:val="0"/>
      <w:szCs w:val="21"/>
    </w:rPr>
  </w:style>
  <w:style w:type="character" w:customStyle="1" w:styleId="60">
    <w:name w:val="标题 6 字符"/>
    <w:basedOn w:val="a2"/>
    <w:link w:val="6"/>
    <w:rsid w:val="00102B9F"/>
    <w:rPr>
      <w:rFonts w:ascii="Arial" w:eastAsia="宋体" w:hAnsi="Arial" w:cs="Times New Roman"/>
      <w:kern w:val="0"/>
      <w:sz w:val="20"/>
      <w:szCs w:val="18"/>
      <w:lang w:val="sv-SE"/>
    </w:rPr>
  </w:style>
  <w:style w:type="paragraph" w:styleId="a0">
    <w:name w:val="Title"/>
    <w:aliases w:val="proposal"/>
    <w:basedOn w:val="5"/>
    <w:next w:val="a1"/>
    <w:link w:val="af"/>
    <w:autoRedefine/>
    <w:uiPriority w:val="10"/>
    <w:qFormat/>
    <w:rsid w:val="004811F8"/>
    <w:pPr>
      <w:numPr>
        <w:ilvl w:val="0"/>
        <w:numId w:val="29"/>
      </w:numPr>
      <w:outlineLvl w:val="0"/>
    </w:pPr>
    <w:rPr>
      <w:rFonts w:ascii="Times New Roman" w:hAnsi="Times New Roman" w:cstheme="majorBidi"/>
      <w:b/>
      <w:bCs/>
      <w:i/>
      <w:szCs w:val="32"/>
      <w:lang w:eastAsia="zh-CN"/>
    </w:rPr>
  </w:style>
  <w:style w:type="character" w:customStyle="1" w:styleId="af">
    <w:name w:val="标题 字符"/>
    <w:aliases w:val="proposal 字符"/>
    <w:basedOn w:val="a2"/>
    <w:link w:val="a0"/>
    <w:uiPriority w:val="10"/>
    <w:rsid w:val="004811F8"/>
    <w:rPr>
      <w:rFonts w:ascii="Times New Roman" w:eastAsia="Times New Roman" w:hAnsi="Times New Roman" w:cstheme="majorBidi"/>
      <w:b/>
      <w:bCs/>
      <w:i/>
      <w:kern w:val="0"/>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28989">
      <w:bodyDiv w:val="1"/>
      <w:marLeft w:val="0"/>
      <w:marRight w:val="0"/>
      <w:marTop w:val="0"/>
      <w:marBottom w:val="0"/>
      <w:divBdr>
        <w:top w:val="none" w:sz="0" w:space="0" w:color="auto"/>
        <w:left w:val="none" w:sz="0" w:space="0" w:color="auto"/>
        <w:bottom w:val="none" w:sz="0" w:space="0" w:color="auto"/>
        <w:right w:val="none" w:sz="0" w:space="0" w:color="auto"/>
      </w:divBdr>
    </w:div>
    <w:div w:id="129516139">
      <w:bodyDiv w:val="1"/>
      <w:marLeft w:val="0"/>
      <w:marRight w:val="0"/>
      <w:marTop w:val="0"/>
      <w:marBottom w:val="0"/>
      <w:divBdr>
        <w:top w:val="none" w:sz="0" w:space="0" w:color="auto"/>
        <w:left w:val="none" w:sz="0" w:space="0" w:color="auto"/>
        <w:bottom w:val="none" w:sz="0" w:space="0" w:color="auto"/>
        <w:right w:val="none" w:sz="0" w:space="0" w:color="auto"/>
      </w:divBdr>
      <w:divsChild>
        <w:div w:id="609508956">
          <w:marLeft w:val="547"/>
          <w:marRight w:val="0"/>
          <w:marTop w:val="120"/>
          <w:marBottom w:val="0"/>
          <w:divBdr>
            <w:top w:val="none" w:sz="0" w:space="0" w:color="auto"/>
            <w:left w:val="none" w:sz="0" w:space="0" w:color="auto"/>
            <w:bottom w:val="none" w:sz="0" w:space="0" w:color="auto"/>
            <w:right w:val="none" w:sz="0" w:space="0" w:color="auto"/>
          </w:divBdr>
        </w:div>
        <w:div w:id="1390959982">
          <w:marLeft w:val="547"/>
          <w:marRight w:val="0"/>
          <w:marTop w:val="120"/>
          <w:marBottom w:val="0"/>
          <w:divBdr>
            <w:top w:val="none" w:sz="0" w:space="0" w:color="auto"/>
            <w:left w:val="none" w:sz="0" w:space="0" w:color="auto"/>
            <w:bottom w:val="none" w:sz="0" w:space="0" w:color="auto"/>
            <w:right w:val="none" w:sz="0" w:space="0" w:color="auto"/>
          </w:divBdr>
        </w:div>
        <w:div w:id="271674646">
          <w:marLeft w:val="547"/>
          <w:marRight w:val="0"/>
          <w:marTop w:val="120"/>
          <w:marBottom w:val="0"/>
          <w:divBdr>
            <w:top w:val="none" w:sz="0" w:space="0" w:color="auto"/>
            <w:left w:val="none" w:sz="0" w:space="0" w:color="auto"/>
            <w:bottom w:val="none" w:sz="0" w:space="0" w:color="auto"/>
            <w:right w:val="none" w:sz="0" w:space="0" w:color="auto"/>
          </w:divBdr>
        </w:div>
        <w:div w:id="330717310">
          <w:marLeft w:val="547"/>
          <w:marRight w:val="0"/>
          <w:marTop w:val="120"/>
          <w:marBottom w:val="0"/>
          <w:divBdr>
            <w:top w:val="none" w:sz="0" w:space="0" w:color="auto"/>
            <w:left w:val="none" w:sz="0" w:space="0" w:color="auto"/>
            <w:bottom w:val="none" w:sz="0" w:space="0" w:color="auto"/>
            <w:right w:val="none" w:sz="0" w:space="0" w:color="auto"/>
          </w:divBdr>
        </w:div>
      </w:divsChild>
    </w:div>
    <w:div w:id="442916448">
      <w:bodyDiv w:val="1"/>
      <w:marLeft w:val="0"/>
      <w:marRight w:val="0"/>
      <w:marTop w:val="0"/>
      <w:marBottom w:val="0"/>
      <w:divBdr>
        <w:top w:val="none" w:sz="0" w:space="0" w:color="auto"/>
        <w:left w:val="none" w:sz="0" w:space="0" w:color="auto"/>
        <w:bottom w:val="none" w:sz="0" w:space="0" w:color="auto"/>
        <w:right w:val="none" w:sz="0" w:space="0" w:color="auto"/>
      </w:divBdr>
      <w:divsChild>
        <w:div w:id="89474585">
          <w:marLeft w:val="547"/>
          <w:marRight w:val="0"/>
          <w:marTop w:val="120"/>
          <w:marBottom w:val="0"/>
          <w:divBdr>
            <w:top w:val="none" w:sz="0" w:space="0" w:color="auto"/>
            <w:left w:val="none" w:sz="0" w:space="0" w:color="auto"/>
            <w:bottom w:val="none" w:sz="0" w:space="0" w:color="auto"/>
            <w:right w:val="none" w:sz="0" w:space="0" w:color="auto"/>
          </w:divBdr>
        </w:div>
        <w:div w:id="112091538">
          <w:marLeft w:val="547"/>
          <w:marRight w:val="0"/>
          <w:marTop w:val="120"/>
          <w:marBottom w:val="0"/>
          <w:divBdr>
            <w:top w:val="none" w:sz="0" w:space="0" w:color="auto"/>
            <w:left w:val="none" w:sz="0" w:space="0" w:color="auto"/>
            <w:bottom w:val="none" w:sz="0" w:space="0" w:color="auto"/>
            <w:right w:val="none" w:sz="0" w:space="0" w:color="auto"/>
          </w:divBdr>
        </w:div>
        <w:div w:id="1750611545">
          <w:marLeft w:val="547"/>
          <w:marRight w:val="0"/>
          <w:marTop w:val="120"/>
          <w:marBottom w:val="0"/>
          <w:divBdr>
            <w:top w:val="none" w:sz="0" w:space="0" w:color="auto"/>
            <w:left w:val="none" w:sz="0" w:space="0" w:color="auto"/>
            <w:bottom w:val="none" w:sz="0" w:space="0" w:color="auto"/>
            <w:right w:val="none" w:sz="0" w:space="0" w:color="auto"/>
          </w:divBdr>
        </w:div>
      </w:divsChild>
    </w:div>
    <w:div w:id="58584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44ECD-CFF2-46AD-933B-F6B91D863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1287</Words>
  <Characters>7339</Characters>
  <Application>Microsoft Office Word</Application>
  <DocSecurity>0</DocSecurity>
  <Lines>61</Lines>
  <Paragraphs>17</Paragraphs>
  <ScaleCrop>false</ScaleCrop>
  <Company/>
  <LinksUpToDate>false</LinksUpToDate>
  <CharactersWithSpaces>8609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Roy Hu</cp:lastModifiedBy>
  <cp:revision>4</cp:revision>
  <dcterms:created xsi:type="dcterms:W3CDTF">2025-03-24T10:11:00Z</dcterms:created>
  <dcterms:modified xsi:type="dcterms:W3CDTF">2025-03-28T10:22:00Z</dcterms:modified>
</cp:coreProperties>
</file>